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6CF6D10F" w:rsidR="00A66B18" w:rsidRDefault="00A66B18"/>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792A5948" w14:textId="032A9EF1" w:rsidR="005459B5" w:rsidRPr="005459B5" w:rsidRDefault="00982F7C" w:rsidP="00F1737B">
      <w:pPr>
        <w:spacing w:before="0" w:after="0"/>
        <w:ind w:left="0" w:right="0"/>
        <w:rPr>
          <w:b/>
          <w:bCs/>
          <w:i/>
          <w:iCs/>
          <w:noProof/>
          <w:sz w:val="22"/>
          <w:szCs w:val="18"/>
          <w:lang w:val="en-AU"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4D74CBD6" w:rsidR="004D1382" w:rsidRDefault="00FB278D" w:rsidP="00DB10EA">
            <w:pPr>
              <w:spacing w:before="0" w:after="0"/>
              <w:ind w:left="0" w:right="0"/>
              <w:rPr>
                <w:noProof/>
                <w:lang w:val="en-AU" w:eastAsia="en-AU"/>
              </w:rPr>
            </w:pPr>
            <w:r w:rsidRPr="00E3689D">
              <w:rPr>
                <w:noProof/>
                <w:color w:val="000000" w:themeColor="text1"/>
                <w:lang w:val="en-AU" w:eastAsia="en-AU"/>
              </w:rPr>
              <w:t>Safe</w:t>
            </w:r>
          </w:p>
        </w:tc>
        <w:tc>
          <w:tcPr>
            <w:tcW w:w="7109" w:type="dxa"/>
          </w:tcPr>
          <w:p w14:paraId="62A5BA31" w14:textId="77777777" w:rsidR="00EC24F8" w:rsidRDefault="00EC24F8" w:rsidP="00EC24F8">
            <w:pPr>
              <w:pStyle w:val="ListParagraph"/>
              <w:numPr>
                <w:ilvl w:val="0"/>
                <w:numId w:val="6"/>
              </w:numPr>
              <w:spacing w:before="0" w:after="0"/>
              <w:ind w:right="0"/>
              <w:rPr>
                <w:noProof/>
                <w:lang w:val="en-AU" w:eastAsia="en-AU"/>
              </w:rPr>
            </w:pPr>
            <w:r w:rsidRPr="00EC24F8">
              <w:rPr>
                <w:noProof/>
                <w:lang w:val="en-AU" w:eastAsia="en-AU"/>
              </w:rPr>
              <w:t>The recipient knows the sender, which reduces the likelihood of the email being malicious. If the sender is trusted and known to the recipient, it's less likely that the email contains harmful content.</w:t>
            </w:r>
          </w:p>
          <w:p w14:paraId="45AA9772" w14:textId="32040A05" w:rsidR="00FB278D" w:rsidRPr="00EC24F8" w:rsidRDefault="00EC24F8" w:rsidP="00EC24F8">
            <w:pPr>
              <w:pStyle w:val="ListParagraph"/>
              <w:numPr>
                <w:ilvl w:val="0"/>
                <w:numId w:val="6"/>
              </w:numPr>
              <w:spacing w:before="0" w:after="0"/>
              <w:ind w:right="0"/>
              <w:rPr>
                <w:noProof/>
                <w:lang w:val="en-AU" w:eastAsia="en-AU"/>
              </w:rPr>
            </w:pPr>
            <w:r w:rsidRPr="00EC24F8">
              <w:rPr>
                <w:noProof/>
                <w:lang w:val="en-AU" w:eastAsia="en-AU"/>
              </w:rPr>
              <w:t>The conversation appears normal, and there are no suspicious links or spelling mistakes. Normal conversation patterns and absence of errors further support the email's safety.</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53DBB1A6" w:rsidR="004225F9" w:rsidRDefault="00FB278D" w:rsidP="004E6A37">
            <w:pPr>
              <w:spacing w:before="0" w:after="0"/>
              <w:ind w:left="0" w:right="0"/>
              <w:rPr>
                <w:noProof/>
                <w:lang w:val="en-AU" w:eastAsia="en-AU"/>
              </w:rPr>
            </w:pPr>
            <w:r w:rsidRPr="00E3689D">
              <w:rPr>
                <w:noProof/>
                <w:color w:val="000000" w:themeColor="text1"/>
                <w:lang w:val="en-AU" w:eastAsia="en-AU"/>
              </w:rPr>
              <w:t>Malicious</w:t>
            </w:r>
          </w:p>
        </w:tc>
        <w:tc>
          <w:tcPr>
            <w:tcW w:w="7109" w:type="dxa"/>
          </w:tcPr>
          <w:p w14:paraId="6785F9AB" w14:textId="046E2057" w:rsidR="00FB278D" w:rsidRDefault="00EC24F8" w:rsidP="00EC24F8">
            <w:pPr>
              <w:pStyle w:val="ListParagraph"/>
              <w:numPr>
                <w:ilvl w:val="0"/>
                <w:numId w:val="7"/>
              </w:numPr>
              <w:spacing w:before="0" w:after="0"/>
              <w:ind w:right="0"/>
              <w:rPr>
                <w:noProof/>
                <w:lang w:val="en-AU" w:eastAsia="en-AU"/>
              </w:rPr>
            </w:pPr>
            <w:r w:rsidRPr="00EC24F8">
              <w:rPr>
                <w:noProof/>
                <w:lang w:val="en-AU" w:eastAsia="en-AU"/>
              </w:rPr>
              <w:t>The presence of a sense of urgency is a common tactic used by malicious actors to pressure recipients into taking immediate action without thoroughly considering the consequences. This urgency can indicate an attempt to manipulate the recipient into clicking on links or providing sensitive information hastily.</w:t>
            </w:r>
            <w:r>
              <w:rPr>
                <w:noProof/>
                <w:lang w:val="en-AU" w:eastAsia="en-AU"/>
              </w:rPr>
              <w:br/>
            </w:r>
          </w:p>
          <w:p w14:paraId="6AB78105" w14:textId="6D09E77C" w:rsidR="00EC24F8" w:rsidRDefault="00EC24F8" w:rsidP="00EC24F8">
            <w:pPr>
              <w:pStyle w:val="ListParagraph"/>
              <w:numPr>
                <w:ilvl w:val="0"/>
                <w:numId w:val="7"/>
              </w:numPr>
              <w:spacing w:before="0" w:after="0"/>
              <w:ind w:right="0"/>
              <w:rPr>
                <w:noProof/>
                <w:lang w:val="en-AU" w:eastAsia="en-AU"/>
              </w:rPr>
            </w:pPr>
            <w:r w:rsidRPr="00EC24F8">
              <w:rPr>
                <w:noProof/>
                <w:lang w:val="en-AU" w:eastAsia="en-AU"/>
              </w:rPr>
              <w:t>The account name mentioned in the email is irrelevant to the request or context of the email, it raises suspicion</w:t>
            </w:r>
          </w:p>
          <w:p w14:paraId="684D0808" w14:textId="58BE1639" w:rsidR="00EC24F8" w:rsidRPr="00EC24F8" w:rsidRDefault="00EC24F8" w:rsidP="00EC24F8">
            <w:pPr>
              <w:pStyle w:val="ListParagraph"/>
              <w:numPr>
                <w:ilvl w:val="0"/>
                <w:numId w:val="7"/>
              </w:numPr>
              <w:spacing w:before="0" w:after="0"/>
              <w:ind w:right="0"/>
              <w:rPr>
                <w:noProof/>
                <w:lang w:val="en-AU" w:eastAsia="en-AU"/>
              </w:rPr>
            </w:pPr>
            <w:r w:rsidRPr="00EC24F8">
              <w:rPr>
                <w:noProof/>
                <w:lang w:val="en-AU" w:eastAsia="en-AU"/>
              </w:rPr>
              <w:t xml:space="preserve">Promising security or safety in exchange for clicking on links is a common tactic used in phishing emails. </w:t>
            </w:r>
          </w:p>
          <w:p w14:paraId="05B40888" w14:textId="4EE1EF69" w:rsidR="00FB278D" w:rsidRPr="00EC24F8" w:rsidRDefault="00FB278D" w:rsidP="00EC24F8">
            <w:pPr>
              <w:spacing w:before="0" w:after="0"/>
              <w:ind w:left="360" w:right="0"/>
              <w:rPr>
                <w:noProof/>
                <w:lang w:val="en-AU" w:eastAsia="en-AU"/>
              </w:rPr>
            </w:pPr>
          </w:p>
          <w:p w14:paraId="4FB5F4BB" w14:textId="4586775C" w:rsidR="00FB278D" w:rsidRPr="00FB278D" w:rsidRDefault="00FB278D" w:rsidP="00EC24F8">
            <w:pPr>
              <w:pStyle w:val="ListParagraph"/>
              <w:spacing w:before="0" w:after="0"/>
              <w:ind w:left="360" w:right="0"/>
              <w:rPr>
                <w:noProof/>
                <w:lang w:val="en-AU" w:eastAsia="en-AU"/>
              </w:rPr>
            </w:pP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365850A0" w:rsidR="004225F9" w:rsidRDefault="00FB278D" w:rsidP="004E6A37">
            <w:pPr>
              <w:spacing w:before="0" w:after="0"/>
              <w:ind w:left="0" w:right="0"/>
              <w:rPr>
                <w:noProof/>
                <w:lang w:val="en-AU" w:eastAsia="en-AU"/>
              </w:rPr>
            </w:pPr>
            <w:r w:rsidRPr="00E3689D">
              <w:rPr>
                <w:noProof/>
                <w:color w:val="000000" w:themeColor="text1"/>
                <w:lang w:val="en-AU" w:eastAsia="en-AU"/>
              </w:rPr>
              <w:t>Malicious</w:t>
            </w:r>
          </w:p>
        </w:tc>
        <w:tc>
          <w:tcPr>
            <w:tcW w:w="7109" w:type="dxa"/>
          </w:tcPr>
          <w:p w14:paraId="48AA949D" w14:textId="61BDEB03" w:rsidR="004225F9" w:rsidRPr="00FB278D" w:rsidRDefault="00EC24F8" w:rsidP="00EC24F8">
            <w:pPr>
              <w:pStyle w:val="ListParagraph"/>
              <w:numPr>
                <w:ilvl w:val="0"/>
                <w:numId w:val="8"/>
              </w:numPr>
              <w:spacing w:before="0" w:after="0"/>
              <w:ind w:right="0"/>
              <w:rPr>
                <w:noProof/>
                <w:lang w:val="en-AU" w:eastAsia="en-AU"/>
              </w:rPr>
            </w:pPr>
            <w:r w:rsidRPr="00EC24F8">
              <w:rPr>
                <w:noProof/>
                <w:lang w:val="en-AU" w:eastAsia="en-AU"/>
              </w:rPr>
              <w:t>Spelling mistakes or unusual characters within a link can indicate an attempt to disguise a malicious URL</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1FAC72D8" w:rsidR="004225F9" w:rsidRDefault="00D646EA" w:rsidP="004E6A37">
            <w:pPr>
              <w:spacing w:before="0" w:after="0"/>
              <w:ind w:left="0" w:right="0"/>
              <w:rPr>
                <w:noProof/>
                <w:lang w:val="en-AU" w:eastAsia="en-AU"/>
              </w:rPr>
            </w:pPr>
            <w:r>
              <w:rPr>
                <w:noProof/>
                <w:color w:val="000000" w:themeColor="text1"/>
                <w:lang w:val="en-AU" w:eastAsia="en-AU"/>
              </w:rPr>
              <w:t>Safe</w:t>
            </w:r>
          </w:p>
        </w:tc>
        <w:tc>
          <w:tcPr>
            <w:tcW w:w="7109" w:type="dxa"/>
          </w:tcPr>
          <w:p w14:paraId="68665BEB" w14:textId="77777777" w:rsidR="00D646EA" w:rsidRPr="000D48D0" w:rsidRDefault="00D646EA" w:rsidP="00D646EA">
            <w:pPr>
              <w:pStyle w:val="ListParagraph"/>
              <w:numPr>
                <w:ilvl w:val="0"/>
                <w:numId w:val="5"/>
              </w:numPr>
              <w:rPr>
                <w:noProof/>
                <w:lang w:val="en-AU" w:eastAsia="en-AU"/>
              </w:rPr>
            </w:pPr>
            <w:r w:rsidRPr="000D48D0">
              <w:rPr>
                <w:noProof/>
                <w:lang w:val="en-AU" w:eastAsia="en-AU"/>
              </w:rPr>
              <w:t>If googled, the site can be seen as a sales site that contains no malicious content.</w:t>
            </w:r>
          </w:p>
          <w:p w14:paraId="36D46D31" w14:textId="39E13E8F" w:rsidR="00FB278D" w:rsidRPr="00FB278D" w:rsidRDefault="00D646EA" w:rsidP="00D646EA">
            <w:pPr>
              <w:pStyle w:val="ListParagraph"/>
              <w:numPr>
                <w:ilvl w:val="0"/>
                <w:numId w:val="5"/>
              </w:numPr>
              <w:spacing w:before="0" w:after="0"/>
              <w:ind w:right="0"/>
              <w:rPr>
                <w:noProof/>
                <w:lang w:val="en-AU" w:eastAsia="en-AU"/>
              </w:rPr>
            </w:pPr>
            <w:r w:rsidRPr="000D48D0">
              <w:rPr>
                <w:noProof/>
                <w:lang w:val="en-AU" w:eastAsia="en-AU"/>
              </w:rPr>
              <w:t>The email contains no links or requests for information, just pure advertising.</w:t>
            </w: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68F1CF9C" w:rsidR="004225F9" w:rsidRDefault="00FB278D" w:rsidP="00E3689D">
            <w:pPr>
              <w:spacing w:before="0" w:after="0"/>
              <w:ind w:left="0" w:right="0"/>
              <w:rPr>
                <w:noProof/>
                <w:lang w:val="en-AU" w:eastAsia="en-AU"/>
              </w:rPr>
            </w:pPr>
            <w:r w:rsidRPr="00E3689D">
              <w:rPr>
                <w:noProof/>
                <w:color w:val="000000" w:themeColor="text1"/>
                <w:lang w:val="en-AU" w:eastAsia="en-AU"/>
              </w:rPr>
              <w:t>Maliciois</w:t>
            </w:r>
          </w:p>
        </w:tc>
        <w:tc>
          <w:tcPr>
            <w:tcW w:w="7109" w:type="dxa"/>
          </w:tcPr>
          <w:p w14:paraId="74444308" w14:textId="00116BDB" w:rsidR="004225F9" w:rsidRDefault="00EC24F8" w:rsidP="00EC24F8">
            <w:pPr>
              <w:pStyle w:val="ListParagraph"/>
              <w:numPr>
                <w:ilvl w:val="0"/>
                <w:numId w:val="9"/>
              </w:numPr>
              <w:spacing w:before="0" w:after="0"/>
              <w:ind w:right="0"/>
              <w:rPr>
                <w:noProof/>
                <w:lang w:val="en-AU" w:eastAsia="en-AU"/>
              </w:rPr>
            </w:pPr>
            <w:r w:rsidRPr="00EC24F8">
              <w:rPr>
                <w:noProof/>
                <w:lang w:val="en-AU" w:eastAsia="en-AU"/>
              </w:rPr>
              <w:t>Emails that create a sense of urgency often aim to pressure the recipient into taking immediate action without thinking carefully. This urgency is a common tactic used by malicious actors to manipulate recipients into clicking on links or providing sensitive information hastily, before they have a chance to scrutinize the email properly.</w:t>
            </w:r>
          </w:p>
          <w:p w14:paraId="534DD91B" w14:textId="7E40E632" w:rsidR="009F533C" w:rsidRDefault="00EC24F8" w:rsidP="00EC24F8">
            <w:pPr>
              <w:pStyle w:val="ListParagraph"/>
              <w:numPr>
                <w:ilvl w:val="0"/>
                <w:numId w:val="9"/>
              </w:numPr>
              <w:spacing w:before="0" w:after="0"/>
              <w:ind w:right="0"/>
              <w:rPr>
                <w:noProof/>
                <w:lang w:val="en-AU" w:eastAsia="en-AU"/>
              </w:rPr>
            </w:pPr>
            <w:r w:rsidRPr="00EC24F8">
              <w:rPr>
                <w:noProof/>
                <w:lang w:val="en-AU" w:eastAsia="en-AU"/>
              </w:rPr>
              <w:t>Requests for access to accounts, especially without proper authentication or verification processes, are highly suspicious.</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4A637BA1" w:rsidR="004225F9" w:rsidRDefault="009F533C" w:rsidP="004E6A37">
            <w:pPr>
              <w:spacing w:before="0" w:after="0"/>
              <w:ind w:left="0" w:right="0"/>
              <w:rPr>
                <w:noProof/>
                <w:lang w:val="en-AU" w:eastAsia="en-AU"/>
              </w:rPr>
            </w:pPr>
            <w:r w:rsidRPr="00E3689D">
              <w:rPr>
                <w:noProof/>
                <w:color w:val="000000" w:themeColor="text1"/>
                <w:lang w:val="en-AU" w:eastAsia="en-AU"/>
              </w:rPr>
              <w:t>Safe</w:t>
            </w:r>
          </w:p>
        </w:tc>
        <w:tc>
          <w:tcPr>
            <w:tcW w:w="7109" w:type="dxa"/>
          </w:tcPr>
          <w:p w14:paraId="55CC4DF9" w14:textId="430D474D" w:rsidR="00E3689D" w:rsidRPr="00E3689D" w:rsidRDefault="00E3689D" w:rsidP="00E3689D">
            <w:pPr>
              <w:pStyle w:val="ListParagraph"/>
              <w:numPr>
                <w:ilvl w:val="0"/>
                <w:numId w:val="10"/>
              </w:numPr>
              <w:spacing w:before="0" w:after="0"/>
              <w:ind w:right="0"/>
              <w:rPr>
                <w:noProof/>
                <w:lang w:val="en-AU" w:eastAsia="en-AU"/>
              </w:rPr>
            </w:pPr>
            <w:r w:rsidRPr="00E3689D">
              <w:rPr>
                <w:noProof/>
                <w:lang w:val="en-AU" w:eastAsia="en-AU"/>
              </w:rPr>
              <w:t>The email pertains to a work-related conversation, indicating that it's likely part of normal business communication.</w:t>
            </w:r>
          </w:p>
          <w:p w14:paraId="19D83B93" w14:textId="7D6661CC" w:rsidR="00E3689D" w:rsidRPr="00E3689D" w:rsidRDefault="00E3689D" w:rsidP="00E3689D">
            <w:pPr>
              <w:pStyle w:val="ListParagraph"/>
              <w:numPr>
                <w:ilvl w:val="0"/>
                <w:numId w:val="10"/>
              </w:numPr>
              <w:spacing w:before="0" w:after="0"/>
              <w:ind w:right="0"/>
              <w:rPr>
                <w:noProof/>
                <w:lang w:val="en-AU" w:eastAsia="en-AU"/>
              </w:rPr>
            </w:pPr>
            <w:r w:rsidRPr="00E3689D">
              <w:rPr>
                <w:noProof/>
                <w:lang w:val="en-AU" w:eastAsia="en-AU"/>
              </w:rPr>
              <w:t>The absence of urgency in the email suggests that there's no pressure on the recipient to take immediate action.</w:t>
            </w:r>
          </w:p>
          <w:p w14:paraId="6DC27B26" w14:textId="777D28F6" w:rsidR="00EC24F8" w:rsidRPr="00EC24F8" w:rsidRDefault="00E3689D" w:rsidP="00E3689D">
            <w:pPr>
              <w:pStyle w:val="ListParagraph"/>
              <w:numPr>
                <w:ilvl w:val="0"/>
                <w:numId w:val="10"/>
              </w:numPr>
              <w:spacing w:before="0" w:after="0"/>
              <w:ind w:right="0"/>
              <w:rPr>
                <w:noProof/>
                <w:lang w:val="en-AU" w:eastAsia="en-AU"/>
              </w:rPr>
            </w:pPr>
            <w:r w:rsidRPr="00E3689D">
              <w:rPr>
                <w:noProof/>
                <w:lang w:val="en-AU" w:eastAsia="en-AU"/>
              </w:rPr>
              <w:t>The inclusion of employee tags and images further supports the legitimacy of the email. It indicates that the email is likely sent from within the organization and contains familiar elements that employees would recognize.</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34EC1981" w:rsidR="004225F9" w:rsidRDefault="009F533C" w:rsidP="004E6A37">
            <w:pPr>
              <w:spacing w:before="0" w:after="0"/>
              <w:ind w:left="0" w:right="0"/>
              <w:rPr>
                <w:noProof/>
                <w:lang w:val="en-AU" w:eastAsia="en-AU"/>
              </w:rPr>
            </w:pPr>
            <w:r w:rsidRPr="00E3689D">
              <w:rPr>
                <w:noProof/>
                <w:color w:val="000000" w:themeColor="text1"/>
                <w:lang w:val="en-AU" w:eastAsia="en-AU"/>
              </w:rPr>
              <w:t>Malicious</w:t>
            </w:r>
          </w:p>
        </w:tc>
        <w:tc>
          <w:tcPr>
            <w:tcW w:w="7109" w:type="dxa"/>
          </w:tcPr>
          <w:p w14:paraId="0B8E4FE7" w14:textId="77777777" w:rsidR="009F533C" w:rsidRDefault="00E3689D" w:rsidP="00E3689D">
            <w:pPr>
              <w:pStyle w:val="ListParagraph"/>
              <w:numPr>
                <w:ilvl w:val="0"/>
                <w:numId w:val="11"/>
              </w:numPr>
              <w:spacing w:before="0" w:after="0"/>
              <w:ind w:right="0"/>
              <w:rPr>
                <w:noProof/>
                <w:lang w:val="en-AU" w:eastAsia="en-AU"/>
              </w:rPr>
            </w:pPr>
            <w:r w:rsidRPr="00E3689D">
              <w:rPr>
                <w:noProof/>
                <w:lang w:val="en-AU" w:eastAsia="en-AU"/>
              </w:rPr>
              <w:t>The presence of a random username, especially when combined with a link, strongly indicates a phishing attempt.</w:t>
            </w:r>
          </w:p>
          <w:p w14:paraId="42A4ED90" w14:textId="77777777" w:rsidR="00E3689D" w:rsidRDefault="00E3689D" w:rsidP="00E3689D">
            <w:pPr>
              <w:pStyle w:val="ListParagraph"/>
              <w:numPr>
                <w:ilvl w:val="0"/>
                <w:numId w:val="11"/>
              </w:numPr>
              <w:spacing w:before="0" w:after="0"/>
              <w:ind w:right="0"/>
              <w:rPr>
                <w:noProof/>
                <w:lang w:val="en-AU" w:eastAsia="en-AU"/>
              </w:rPr>
            </w:pPr>
            <w:r w:rsidRPr="00E3689D">
              <w:rPr>
                <w:noProof/>
                <w:lang w:val="en-AU" w:eastAsia="en-AU"/>
              </w:rPr>
              <w:t>The use of a random username that is not associated with the legitimate sender, such as Geico in this case, is a common tactic used by phishing scammers.</w:t>
            </w:r>
          </w:p>
          <w:p w14:paraId="143AA46B" w14:textId="4570B0D3" w:rsidR="00E3689D" w:rsidRPr="00E3689D" w:rsidRDefault="00E3689D" w:rsidP="00E3689D">
            <w:pPr>
              <w:pStyle w:val="ListParagraph"/>
              <w:numPr>
                <w:ilvl w:val="0"/>
                <w:numId w:val="11"/>
              </w:numPr>
              <w:spacing w:before="0" w:after="0"/>
              <w:ind w:right="0"/>
              <w:rPr>
                <w:noProof/>
                <w:lang w:val="en-AU" w:eastAsia="en-AU"/>
              </w:rPr>
            </w:pPr>
            <w:r w:rsidRPr="00E3689D">
              <w:rPr>
                <w:noProof/>
                <w:lang w:val="en-AU" w:eastAsia="en-AU"/>
              </w:rPr>
              <w:t>The use of "hxxp" instead of "http" in the link is another indicator of a phishing attempt. Phishing scammers often manipulate URLs in this way to bypass email filters or to make the link appear less suspicious to recipients.</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9F7B9C">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015C" w14:textId="77777777" w:rsidR="009F7B9C" w:rsidRDefault="009F7B9C" w:rsidP="00A66B18">
      <w:pPr>
        <w:spacing w:before="0" w:after="0"/>
      </w:pPr>
      <w:r>
        <w:separator/>
      </w:r>
    </w:p>
  </w:endnote>
  <w:endnote w:type="continuationSeparator" w:id="0">
    <w:p w14:paraId="7BA96B20" w14:textId="77777777" w:rsidR="009F7B9C" w:rsidRDefault="009F7B9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D120" w14:textId="77777777" w:rsidR="009F7B9C" w:rsidRDefault="009F7B9C" w:rsidP="00A66B18">
      <w:pPr>
        <w:spacing w:before="0" w:after="0"/>
      </w:pPr>
      <w:r>
        <w:separator/>
      </w:r>
    </w:p>
  </w:footnote>
  <w:footnote w:type="continuationSeparator" w:id="0">
    <w:p w14:paraId="26D0E5C8" w14:textId="77777777" w:rsidR="009F7B9C" w:rsidRDefault="009F7B9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4AD"/>
    <w:multiLevelType w:val="hybridMultilevel"/>
    <w:tmpl w:val="87D0A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20B37"/>
    <w:multiLevelType w:val="hybridMultilevel"/>
    <w:tmpl w:val="E0F4A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056EDE"/>
    <w:multiLevelType w:val="hybridMultilevel"/>
    <w:tmpl w:val="2ABCC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B4C1A"/>
    <w:multiLevelType w:val="hybridMultilevel"/>
    <w:tmpl w:val="2CC26C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710F75"/>
    <w:multiLevelType w:val="hybridMultilevel"/>
    <w:tmpl w:val="4A3EA13A"/>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15:restartNumberingAfterBreak="0">
    <w:nsid w:val="364379A4"/>
    <w:multiLevelType w:val="hybridMultilevel"/>
    <w:tmpl w:val="BDB09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655D7B"/>
    <w:multiLevelType w:val="hybridMultilevel"/>
    <w:tmpl w:val="9BE6441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3007FF"/>
    <w:multiLevelType w:val="hybridMultilevel"/>
    <w:tmpl w:val="D6340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985B87"/>
    <w:multiLevelType w:val="hybridMultilevel"/>
    <w:tmpl w:val="098C9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7E18EA"/>
    <w:multiLevelType w:val="hybridMultilevel"/>
    <w:tmpl w:val="F6BE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41DAD"/>
    <w:multiLevelType w:val="hybridMultilevel"/>
    <w:tmpl w:val="FD207D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7678857">
    <w:abstractNumId w:val="1"/>
  </w:num>
  <w:num w:numId="2" w16cid:durableId="176775797">
    <w:abstractNumId w:val="8"/>
  </w:num>
  <w:num w:numId="3" w16cid:durableId="796795805">
    <w:abstractNumId w:val="11"/>
  </w:num>
  <w:num w:numId="4" w16cid:durableId="1374379398">
    <w:abstractNumId w:val="6"/>
  </w:num>
  <w:num w:numId="5" w16cid:durableId="829760124">
    <w:abstractNumId w:val="4"/>
  </w:num>
  <w:num w:numId="6" w16cid:durableId="1983803532">
    <w:abstractNumId w:val="0"/>
  </w:num>
  <w:num w:numId="7" w16cid:durableId="733166299">
    <w:abstractNumId w:val="5"/>
  </w:num>
  <w:num w:numId="8" w16cid:durableId="2099281723">
    <w:abstractNumId w:val="7"/>
  </w:num>
  <w:num w:numId="9" w16cid:durableId="76095670">
    <w:abstractNumId w:val="2"/>
  </w:num>
  <w:num w:numId="10" w16cid:durableId="612134499">
    <w:abstractNumId w:val="3"/>
  </w:num>
  <w:num w:numId="11" w16cid:durableId="1294948677">
    <w:abstractNumId w:val="9"/>
  </w:num>
  <w:num w:numId="12" w16cid:durableId="1022826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979DE"/>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9F533C"/>
    <w:rsid w:val="009F7B9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46EA"/>
    <w:rsid w:val="00D66593"/>
    <w:rsid w:val="00DB10EA"/>
    <w:rsid w:val="00DE6DA2"/>
    <w:rsid w:val="00DF2D30"/>
    <w:rsid w:val="00E3689D"/>
    <w:rsid w:val="00E4786A"/>
    <w:rsid w:val="00E55D74"/>
    <w:rsid w:val="00E6540C"/>
    <w:rsid w:val="00E81E2A"/>
    <w:rsid w:val="00EC24F8"/>
    <w:rsid w:val="00EC33FF"/>
    <w:rsid w:val="00EE0952"/>
    <w:rsid w:val="00F1737B"/>
    <w:rsid w:val="00FB278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67F5C1-0120-441D-AF2D-F5BE15E6CA00}">
  <ds:schemaRefs>
    <ds:schemaRef ds:uri="http://schemas.openxmlformats.org/officeDocument/2006/bibliography"/>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2024-03-05T21:41:00Z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