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153AF" w14:textId="400D375D" w:rsidR="00A068B7" w:rsidRDefault="00A068B7" w:rsidP="00A068B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A068B7">
        <w:rPr>
          <w:rFonts w:ascii="Times New Roman" w:hAnsi="Times New Roman" w:cs="Times New Roman"/>
          <w:b/>
          <w:bCs/>
          <w:sz w:val="28"/>
          <w:szCs w:val="28"/>
        </w:rPr>
        <w:t>Business Summary Report:</w:t>
      </w:r>
    </w:p>
    <w:p w14:paraId="57EDF94E" w14:textId="1DB40DD0" w:rsidR="00A068B7" w:rsidRPr="00A068B7" w:rsidRDefault="00A068B7" w:rsidP="00A068B7">
      <w:pPr>
        <w:spacing w:line="360" w:lineRule="auto"/>
        <w:jc w:val="both"/>
        <w:rPr>
          <w:rFonts w:ascii="Times New Roman" w:hAnsi="Times New Roman" w:cs="Times New Roman"/>
          <w:b/>
          <w:bCs/>
          <w:sz w:val="28"/>
          <w:szCs w:val="28"/>
        </w:rPr>
      </w:pPr>
      <w:r w:rsidRPr="00A068B7">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A068B7">
        <w:rPr>
          <w:rFonts w:ascii="Times New Roman" w:hAnsi="Times New Roman" w:cs="Times New Roman"/>
          <w:b/>
          <w:bCs/>
          <w:sz w:val="28"/>
          <w:szCs w:val="28"/>
        </w:rPr>
        <w:t>Predictive Insights for Collections Strategy</w:t>
      </w:r>
    </w:p>
    <w:p w14:paraId="5F8209F7" w14:textId="77777777" w:rsidR="00A068B7" w:rsidRPr="00A068B7" w:rsidRDefault="00A068B7" w:rsidP="00A068B7">
      <w:pPr>
        <w:spacing w:line="360" w:lineRule="auto"/>
        <w:jc w:val="both"/>
        <w:rPr>
          <w:rFonts w:ascii="Times New Roman" w:hAnsi="Times New Roman" w:cs="Times New Roman"/>
        </w:rPr>
      </w:pPr>
    </w:p>
    <w:p w14:paraId="1AC52066" w14:textId="77777777" w:rsidR="00A068B7" w:rsidRPr="00A068B7" w:rsidRDefault="00A068B7" w:rsidP="00A068B7">
      <w:pPr>
        <w:spacing w:line="360" w:lineRule="auto"/>
        <w:jc w:val="both"/>
        <w:rPr>
          <w:rFonts w:ascii="Times New Roman" w:hAnsi="Times New Roman" w:cs="Times New Roman"/>
          <w:b/>
          <w:bCs/>
        </w:rPr>
      </w:pPr>
      <w:r w:rsidRPr="00A068B7">
        <w:rPr>
          <w:rFonts w:ascii="Times New Roman" w:hAnsi="Times New Roman" w:cs="Times New Roman"/>
          <w:b/>
          <w:bCs/>
        </w:rPr>
        <w:t xml:space="preserve">Prepared for: </w:t>
      </w:r>
      <w:proofErr w:type="spellStart"/>
      <w:r w:rsidRPr="00A068B7">
        <w:rPr>
          <w:rFonts w:ascii="Times New Roman" w:hAnsi="Times New Roman" w:cs="Times New Roman"/>
          <w:b/>
          <w:bCs/>
        </w:rPr>
        <w:t>Geldium</w:t>
      </w:r>
      <w:proofErr w:type="spellEnd"/>
      <w:r w:rsidRPr="00A068B7">
        <w:rPr>
          <w:rFonts w:ascii="Times New Roman" w:hAnsi="Times New Roman" w:cs="Times New Roman"/>
          <w:b/>
          <w:bCs/>
        </w:rPr>
        <w:t xml:space="preserve"> Head of Collections</w:t>
      </w:r>
    </w:p>
    <w:p w14:paraId="1778B077" w14:textId="77777777" w:rsidR="00A068B7" w:rsidRPr="00A068B7" w:rsidRDefault="00A068B7" w:rsidP="00A068B7">
      <w:pPr>
        <w:spacing w:line="360" w:lineRule="auto"/>
        <w:jc w:val="both"/>
        <w:rPr>
          <w:rFonts w:ascii="Times New Roman" w:hAnsi="Times New Roman" w:cs="Times New Roman"/>
        </w:rPr>
      </w:pPr>
    </w:p>
    <w:p w14:paraId="0C167CAE" w14:textId="77777777" w:rsidR="00A068B7" w:rsidRPr="00A068B7" w:rsidRDefault="00A068B7" w:rsidP="00A068B7">
      <w:pPr>
        <w:spacing w:line="360" w:lineRule="auto"/>
        <w:jc w:val="both"/>
        <w:rPr>
          <w:rFonts w:ascii="Times New Roman" w:hAnsi="Times New Roman" w:cs="Times New Roman"/>
          <w:b/>
          <w:bCs/>
        </w:rPr>
      </w:pPr>
      <w:r w:rsidRPr="00A068B7">
        <w:rPr>
          <w:rFonts w:ascii="Times New Roman" w:hAnsi="Times New Roman" w:cs="Times New Roman"/>
          <w:b/>
          <w:bCs/>
        </w:rPr>
        <w:t>1. Summary of Predictive Insights</w:t>
      </w:r>
    </w:p>
    <w:p w14:paraId="55B9E292" w14:textId="77777777" w:rsidR="00A068B7" w:rsidRPr="00A068B7" w:rsidRDefault="00A068B7" w:rsidP="00A068B7">
      <w:pPr>
        <w:spacing w:line="360" w:lineRule="auto"/>
        <w:jc w:val="both"/>
        <w:rPr>
          <w:rFonts w:ascii="Times New Roman" w:hAnsi="Times New Roman" w:cs="Times New Roman"/>
        </w:rPr>
      </w:pPr>
    </w:p>
    <w:p w14:paraId="5735E031" w14:textId="77777777" w:rsidR="00A068B7" w:rsidRPr="00A068B7" w:rsidRDefault="00A068B7" w:rsidP="00A068B7">
      <w:pPr>
        <w:spacing w:line="360" w:lineRule="auto"/>
        <w:jc w:val="both"/>
        <w:rPr>
          <w:rFonts w:ascii="Times New Roman" w:hAnsi="Times New Roman" w:cs="Times New Roman"/>
        </w:rPr>
      </w:pPr>
      <w:r w:rsidRPr="00A068B7">
        <w:rPr>
          <w:rFonts w:ascii="Times New Roman" w:hAnsi="Times New Roman" w:cs="Times New Roman"/>
        </w:rPr>
        <w:t>The dataset contains 500 customer records, including 80 delinquent customers (16%) and 420 non-delinquent customers (84%). The following are the top three observed risk indicators from the exploratory data analysis (EDA).</w:t>
      </w:r>
    </w:p>
    <w:p w14:paraId="51AA4406" w14:textId="77777777" w:rsidR="00A068B7" w:rsidRPr="00A068B7" w:rsidRDefault="00A068B7" w:rsidP="00A068B7">
      <w:pPr>
        <w:spacing w:line="360" w:lineRule="auto"/>
        <w:jc w:val="both"/>
        <w:rPr>
          <w:rFonts w:ascii="Times New Roman" w:hAnsi="Times New Roman" w:cs="Times New Roman"/>
          <w:b/>
          <w:bCs/>
        </w:rPr>
      </w:pPr>
      <w:r w:rsidRPr="00A068B7">
        <w:rPr>
          <w:rFonts w:ascii="Times New Roman" w:hAnsi="Times New Roman" w:cs="Times New Roman"/>
          <w:b/>
          <w:bCs/>
        </w:rPr>
        <w:t>Top 3 Risk Factors</w:t>
      </w:r>
    </w:p>
    <w:p w14:paraId="096CAA1C" w14:textId="77777777" w:rsidR="00A068B7" w:rsidRPr="00A068B7" w:rsidRDefault="00A068B7" w:rsidP="00A068B7">
      <w:pPr>
        <w:spacing w:line="360" w:lineRule="auto"/>
        <w:jc w:val="both"/>
        <w:rPr>
          <w:rFonts w:ascii="Times New Roman" w:hAnsi="Times New Roman" w:cs="Times New Roman"/>
        </w:rPr>
      </w:pPr>
      <w:r w:rsidRPr="00A068B7">
        <w:rPr>
          <w:rFonts w:ascii="Times New Roman" w:hAnsi="Times New Roman" w:cs="Times New Roman"/>
        </w:rPr>
        <w:t>- Missed Payments: Customers with 5 missed payments had an observed delinquency rate of 22.1% (15 out of 68 customers), the highest among the missed-payment groups. However, the rate did not increase consistently across all groups, so further investigation is required.</w:t>
      </w:r>
    </w:p>
    <w:p w14:paraId="6B2DF98A" w14:textId="77777777" w:rsidR="00A068B7" w:rsidRPr="00A068B7" w:rsidRDefault="00A068B7" w:rsidP="00A068B7">
      <w:pPr>
        <w:spacing w:line="360" w:lineRule="auto"/>
        <w:jc w:val="both"/>
        <w:rPr>
          <w:rFonts w:ascii="Times New Roman" w:hAnsi="Times New Roman" w:cs="Times New Roman"/>
        </w:rPr>
      </w:pPr>
      <w:r w:rsidRPr="00A068B7">
        <w:rPr>
          <w:rFonts w:ascii="Times New Roman" w:hAnsi="Times New Roman" w:cs="Times New Roman"/>
        </w:rPr>
        <w:t>- Credit Utilization: Customers in the 0.25–0.45 utilization band had an observed delinquency rate of 18.2% (30 out of 165 customers). The relationship was not consistent across utilization bands, so this variable should be assessed alongside other customer information.</w:t>
      </w:r>
    </w:p>
    <w:p w14:paraId="52880979" w14:textId="77777777" w:rsidR="00A068B7" w:rsidRPr="00A068B7" w:rsidRDefault="00A068B7" w:rsidP="00A068B7">
      <w:pPr>
        <w:spacing w:line="360" w:lineRule="auto"/>
        <w:jc w:val="both"/>
        <w:rPr>
          <w:rFonts w:ascii="Times New Roman" w:hAnsi="Times New Roman" w:cs="Times New Roman"/>
        </w:rPr>
      </w:pPr>
      <w:r w:rsidRPr="00A068B7">
        <w:rPr>
          <w:rFonts w:ascii="Times New Roman" w:hAnsi="Times New Roman" w:cs="Times New Roman"/>
        </w:rPr>
        <w:t>- Credit Score: The 801–900 credit-score group had an observed delinquency rate of 20.7% (12 out of 58 customers), while the 501–600 group had a rate of 7.8% (6 out of 77 customers). This unexpected pattern should be checked for data quality and sample effects.</w:t>
      </w:r>
    </w:p>
    <w:p w14:paraId="04F117F2" w14:textId="77777777" w:rsidR="00A068B7" w:rsidRPr="00A068B7" w:rsidRDefault="00A068B7" w:rsidP="00A068B7">
      <w:pPr>
        <w:spacing w:line="360" w:lineRule="auto"/>
        <w:jc w:val="both"/>
        <w:rPr>
          <w:rFonts w:ascii="Times New Roman" w:hAnsi="Times New Roman" w:cs="Times New Roman"/>
        </w:rPr>
      </w:pPr>
      <w:r w:rsidRPr="00A068B7">
        <w:rPr>
          <w:rFonts w:ascii="Times New Roman" w:hAnsi="Times New Roman" w:cs="Times New Roman"/>
        </w:rPr>
        <w:t xml:space="preserve">Income and </w:t>
      </w:r>
      <w:proofErr w:type="spellStart"/>
      <w:r w:rsidRPr="00A068B7">
        <w:rPr>
          <w:rFonts w:ascii="Times New Roman" w:hAnsi="Times New Roman" w:cs="Times New Roman"/>
        </w:rPr>
        <w:t>Loan_Balance</w:t>
      </w:r>
      <w:proofErr w:type="spellEnd"/>
      <w:r w:rsidRPr="00A068B7">
        <w:rPr>
          <w:rFonts w:ascii="Times New Roman" w:hAnsi="Times New Roman" w:cs="Times New Roman"/>
        </w:rPr>
        <w:t xml:space="preserve"> are additional candidate variables for future predictive modelling. These findings are descriptive associations from EDA; they do not establish causation or confirm which variables are the strongest predictors. No predictive model has yet been trained or tested.</w:t>
      </w:r>
    </w:p>
    <w:p w14:paraId="46601452" w14:textId="77777777" w:rsidR="00A068B7" w:rsidRPr="00A068B7" w:rsidRDefault="00A068B7" w:rsidP="00A068B7">
      <w:pPr>
        <w:spacing w:line="360" w:lineRule="auto"/>
        <w:jc w:val="both"/>
        <w:rPr>
          <w:rFonts w:ascii="Times New Roman" w:hAnsi="Times New Roman" w:cs="Times New Roman"/>
          <w:b/>
          <w:bCs/>
        </w:rPr>
      </w:pPr>
      <w:r w:rsidRPr="00A068B7">
        <w:rPr>
          <w:rFonts w:ascii="Times New Roman" w:hAnsi="Times New Roman" w:cs="Times New Roman"/>
          <w:b/>
          <w:bCs/>
        </w:rPr>
        <w:t>2. Recommendation Framework</w:t>
      </w:r>
    </w:p>
    <w:p w14:paraId="4DA05B26" w14:textId="77777777" w:rsidR="00A068B7" w:rsidRPr="00A068B7" w:rsidRDefault="00A068B7" w:rsidP="00A068B7">
      <w:pPr>
        <w:spacing w:line="360" w:lineRule="auto"/>
        <w:jc w:val="both"/>
        <w:rPr>
          <w:rFonts w:ascii="Times New Roman" w:hAnsi="Times New Roman" w:cs="Times New Roman"/>
          <w:b/>
          <w:bCs/>
        </w:rPr>
      </w:pPr>
      <w:r w:rsidRPr="00A068B7">
        <w:rPr>
          <w:rFonts w:ascii="Times New Roman" w:hAnsi="Times New Roman" w:cs="Times New Roman"/>
          <w:b/>
          <w:bCs/>
        </w:rPr>
        <w:t>Restated Insight</w:t>
      </w:r>
    </w:p>
    <w:p w14:paraId="6B194EF1" w14:textId="77777777" w:rsidR="00A068B7" w:rsidRPr="00A068B7" w:rsidRDefault="00A068B7" w:rsidP="00A068B7">
      <w:pPr>
        <w:spacing w:line="360" w:lineRule="auto"/>
        <w:jc w:val="both"/>
        <w:rPr>
          <w:rFonts w:ascii="Times New Roman" w:hAnsi="Times New Roman" w:cs="Times New Roman"/>
        </w:rPr>
      </w:pPr>
      <w:r w:rsidRPr="00A068B7">
        <w:rPr>
          <w:rFonts w:ascii="Times New Roman" w:hAnsi="Times New Roman" w:cs="Times New Roman"/>
        </w:rPr>
        <w:t>The group with 5 missed payments showed the highest observed delinquency rate at 22.1%. This suggests that payment history may help identify customers who could benefit from timely support, although the pattern requires further validation.</w:t>
      </w:r>
    </w:p>
    <w:p w14:paraId="7FE7EFC5" w14:textId="77777777" w:rsidR="00A068B7" w:rsidRDefault="00A068B7" w:rsidP="00A068B7">
      <w:pPr>
        <w:spacing w:line="360" w:lineRule="auto"/>
        <w:jc w:val="both"/>
        <w:rPr>
          <w:rFonts w:ascii="Times New Roman" w:hAnsi="Times New Roman" w:cs="Times New Roman"/>
          <w:b/>
          <w:bCs/>
        </w:rPr>
      </w:pPr>
      <w:r w:rsidRPr="00A068B7">
        <w:rPr>
          <w:rFonts w:ascii="Times New Roman" w:hAnsi="Times New Roman" w:cs="Times New Roman"/>
          <w:b/>
          <w:bCs/>
        </w:rPr>
        <w:t>Proposed SMART Recommendation</w:t>
      </w:r>
    </w:p>
    <w:p w14:paraId="0992B031" w14:textId="52722450" w:rsidR="00A068B7" w:rsidRPr="00A068B7" w:rsidRDefault="00A068B7" w:rsidP="00A068B7">
      <w:pPr>
        <w:spacing w:line="360" w:lineRule="auto"/>
        <w:jc w:val="both"/>
        <w:rPr>
          <w:rFonts w:ascii="Times New Roman" w:hAnsi="Times New Roman" w:cs="Times New Roman"/>
          <w:b/>
          <w:bCs/>
        </w:rPr>
      </w:pPr>
      <w:r w:rsidRPr="00A068B7">
        <w:rPr>
          <w:rFonts w:ascii="Times New Roman" w:hAnsi="Times New Roman" w:cs="Times New Roman"/>
        </w:rPr>
        <w:t>- Specific: Conduct a six-week pilot offering timely payment reminders and information about available payment arrangements to eligible customers with recent missed payments.</w:t>
      </w:r>
    </w:p>
    <w:p w14:paraId="4C01873D" w14:textId="77777777" w:rsidR="00A068B7" w:rsidRDefault="00A068B7" w:rsidP="00A068B7">
      <w:pPr>
        <w:spacing w:line="360" w:lineRule="auto"/>
        <w:jc w:val="both"/>
        <w:rPr>
          <w:rFonts w:ascii="Times New Roman" w:hAnsi="Times New Roman" w:cs="Times New Roman"/>
        </w:rPr>
      </w:pPr>
      <w:r w:rsidRPr="00A068B7">
        <w:rPr>
          <w:rFonts w:ascii="Times New Roman" w:hAnsi="Times New Roman" w:cs="Times New Roman"/>
        </w:rPr>
        <w:t>- Measurable: Track successful customer contact, responses, payment arrangements, subsequent missed payments, and complaints. Compare the results with a suitable baseline or comparison group.</w:t>
      </w:r>
    </w:p>
    <w:p w14:paraId="091DFB7D" w14:textId="40926A37" w:rsidR="00A068B7" w:rsidRPr="00A068B7" w:rsidRDefault="00A068B7" w:rsidP="00A068B7">
      <w:pPr>
        <w:spacing w:line="360" w:lineRule="auto"/>
        <w:jc w:val="both"/>
        <w:rPr>
          <w:rFonts w:ascii="Times New Roman" w:hAnsi="Times New Roman" w:cs="Times New Roman"/>
        </w:rPr>
      </w:pPr>
      <w:r w:rsidRPr="00A068B7">
        <w:rPr>
          <w:rFonts w:ascii="Times New Roman" w:hAnsi="Times New Roman" w:cs="Times New Roman"/>
        </w:rPr>
        <w:lastRenderedPageBreak/>
        <w:t>- Actionable: Collections staff should review eligible accounts and use approved communication methods. Human staff must review customer circumstances rather than relying solely on an unvalidated AI prediction.</w:t>
      </w:r>
    </w:p>
    <w:p w14:paraId="5E45A215" w14:textId="77777777" w:rsidR="00A068B7" w:rsidRPr="00A068B7" w:rsidRDefault="00A068B7" w:rsidP="00A068B7">
      <w:pPr>
        <w:spacing w:line="360" w:lineRule="auto"/>
        <w:jc w:val="both"/>
        <w:rPr>
          <w:rFonts w:ascii="Times New Roman" w:hAnsi="Times New Roman" w:cs="Times New Roman"/>
        </w:rPr>
      </w:pPr>
      <w:r w:rsidRPr="00A068B7">
        <w:rPr>
          <w:rFonts w:ascii="Times New Roman" w:hAnsi="Times New Roman" w:cs="Times New Roman"/>
        </w:rPr>
        <w:t>- Relevant: The pilot aims to encourage repayment, support customers experiencing payment difficulties, and improve collections efficiency.</w:t>
      </w:r>
    </w:p>
    <w:p w14:paraId="3067D7E5" w14:textId="77777777" w:rsidR="00A068B7" w:rsidRPr="00A068B7" w:rsidRDefault="00A068B7" w:rsidP="00A068B7">
      <w:pPr>
        <w:spacing w:line="360" w:lineRule="auto"/>
        <w:jc w:val="both"/>
        <w:rPr>
          <w:rFonts w:ascii="Times New Roman" w:hAnsi="Times New Roman" w:cs="Times New Roman"/>
        </w:rPr>
      </w:pPr>
      <w:r w:rsidRPr="00A068B7">
        <w:rPr>
          <w:rFonts w:ascii="Times New Roman" w:hAnsi="Times New Roman" w:cs="Times New Roman"/>
        </w:rPr>
        <w:t>- Time-bound: Review the results after six weeks and decide whether to continue, modify, or stop the pilot based on measured outcomes and fairness checks.</w:t>
      </w:r>
    </w:p>
    <w:p w14:paraId="0FAD3464" w14:textId="77777777" w:rsidR="00A068B7" w:rsidRPr="00A068B7" w:rsidRDefault="00A068B7" w:rsidP="00A068B7">
      <w:pPr>
        <w:spacing w:line="360" w:lineRule="auto"/>
        <w:jc w:val="both"/>
        <w:rPr>
          <w:rFonts w:ascii="Times New Roman" w:hAnsi="Times New Roman" w:cs="Times New Roman"/>
          <w:b/>
          <w:bCs/>
        </w:rPr>
      </w:pPr>
      <w:r w:rsidRPr="00A068B7">
        <w:rPr>
          <w:rFonts w:ascii="Times New Roman" w:hAnsi="Times New Roman" w:cs="Times New Roman"/>
          <w:b/>
          <w:bCs/>
        </w:rPr>
        <w:t>Justification and Business Rationale</w:t>
      </w:r>
    </w:p>
    <w:p w14:paraId="0D6A76EC" w14:textId="77777777" w:rsidR="00A068B7" w:rsidRPr="00A068B7" w:rsidRDefault="00A068B7" w:rsidP="00A068B7">
      <w:pPr>
        <w:spacing w:line="360" w:lineRule="auto"/>
        <w:jc w:val="both"/>
        <w:rPr>
          <w:rFonts w:ascii="Times New Roman" w:hAnsi="Times New Roman" w:cs="Times New Roman"/>
        </w:rPr>
      </w:pPr>
      <w:r w:rsidRPr="00A068B7">
        <w:rPr>
          <w:rFonts w:ascii="Times New Roman" w:hAnsi="Times New Roman" w:cs="Times New Roman"/>
        </w:rPr>
        <w:t xml:space="preserve">A small pilot allows </w:t>
      </w:r>
      <w:proofErr w:type="spellStart"/>
      <w:r w:rsidRPr="00A068B7">
        <w:rPr>
          <w:rFonts w:ascii="Times New Roman" w:hAnsi="Times New Roman" w:cs="Times New Roman"/>
        </w:rPr>
        <w:t>Geldium</w:t>
      </w:r>
      <w:proofErr w:type="spellEnd"/>
      <w:r w:rsidRPr="00A068B7">
        <w:rPr>
          <w:rFonts w:ascii="Times New Roman" w:hAnsi="Times New Roman" w:cs="Times New Roman"/>
        </w:rPr>
        <w:t xml:space="preserve"> to test a practical intervention before expanding it. Measuring the results will help the Collections team understand whether timely, supportive communication improves repayment outcomes without creating unnecessary customer distress or unfair treatment.</w:t>
      </w:r>
    </w:p>
    <w:p w14:paraId="494D18B9" w14:textId="77777777" w:rsidR="00A068B7" w:rsidRPr="00A068B7" w:rsidRDefault="00A068B7" w:rsidP="00A068B7">
      <w:pPr>
        <w:spacing w:line="360" w:lineRule="auto"/>
        <w:jc w:val="both"/>
        <w:rPr>
          <w:rFonts w:ascii="Times New Roman" w:hAnsi="Times New Roman" w:cs="Times New Roman"/>
          <w:b/>
          <w:bCs/>
        </w:rPr>
      </w:pPr>
      <w:r w:rsidRPr="00A068B7">
        <w:rPr>
          <w:rFonts w:ascii="Times New Roman" w:hAnsi="Times New Roman" w:cs="Times New Roman"/>
          <w:b/>
          <w:bCs/>
        </w:rPr>
        <w:t>3. Ethical and Responsible AI Considerations</w:t>
      </w:r>
    </w:p>
    <w:p w14:paraId="6061EB92" w14:textId="77777777" w:rsidR="00A068B7" w:rsidRPr="00A068B7" w:rsidRDefault="00A068B7" w:rsidP="00A068B7">
      <w:pPr>
        <w:spacing w:line="360" w:lineRule="auto"/>
        <w:jc w:val="both"/>
        <w:rPr>
          <w:rFonts w:ascii="Times New Roman" w:hAnsi="Times New Roman" w:cs="Times New Roman"/>
        </w:rPr>
      </w:pPr>
      <w:r w:rsidRPr="00A068B7">
        <w:rPr>
          <w:rFonts w:ascii="Times New Roman" w:hAnsi="Times New Roman" w:cs="Times New Roman"/>
          <w:b/>
          <w:bCs/>
        </w:rPr>
        <w:t>1. Fairness and Bias</w:t>
      </w:r>
      <w:r w:rsidRPr="00A068B7">
        <w:rPr>
          <w:rFonts w:ascii="Times New Roman" w:hAnsi="Times New Roman" w:cs="Times New Roman"/>
        </w:rPr>
        <w:t xml:space="preserve">: Missing data, limited sample sizes, or differences between customer groups may lead to unfair risk assessments. </w:t>
      </w:r>
      <w:proofErr w:type="spellStart"/>
      <w:r w:rsidRPr="00A068B7">
        <w:rPr>
          <w:rFonts w:ascii="Times New Roman" w:hAnsi="Times New Roman" w:cs="Times New Roman"/>
        </w:rPr>
        <w:t>Geldium</w:t>
      </w:r>
      <w:proofErr w:type="spellEnd"/>
      <w:r w:rsidRPr="00A068B7">
        <w:rPr>
          <w:rFonts w:ascii="Times New Roman" w:hAnsi="Times New Roman" w:cs="Times New Roman"/>
        </w:rPr>
        <w:t xml:space="preserve"> should examine data quality and compare appropriate performance and error rates across customer groups where legally permitted. Differences should be investigated before using predictions in practice.</w:t>
      </w:r>
    </w:p>
    <w:p w14:paraId="6D945E35" w14:textId="77777777" w:rsidR="00A068B7" w:rsidRPr="00A068B7" w:rsidRDefault="00A068B7" w:rsidP="00A068B7">
      <w:pPr>
        <w:spacing w:line="360" w:lineRule="auto"/>
        <w:jc w:val="both"/>
        <w:rPr>
          <w:rFonts w:ascii="Times New Roman" w:hAnsi="Times New Roman" w:cs="Times New Roman"/>
        </w:rPr>
      </w:pPr>
      <w:r w:rsidRPr="00A068B7">
        <w:rPr>
          <w:rFonts w:ascii="Times New Roman" w:hAnsi="Times New Roman" w:cs="Times New Roman"/>
          <w:b/>
          <w:bCs/>
        </w:rPr>
        <w:t>2. Explainability and Human Oversight</w:t>
      </w:r>
      <w:r w:rsidRPr="00A068B7">
        <w:rPr>
          <w:rFonts w:ascii="Times New Roman" w:hAnsi="Times New Roman" w:cs="Times New Roman"/>
        </w:rPr>
        <w:t>: Collections staff should be able to explain predictions in plain language, including the factors considered and the uncertainty involved. Staff should review inaccurate records and potential errors. An AI score must not be the sole basis for an adverse financial decision.</w:t>
      </w:r>
    </w:p>
    <w:p w14:paraId="3E0587A2" w14:textId="77777777" w:rsidR="00A068B7" w:rsidRPr="00A068B7" w:rsidRDefault="00A068B7" w:rsidP="00A068B7">
      <w:pPr>
        <w:spacing w:line="360" w:lineRule="auto"/>
        <w:jc w:val="both"/>
        <w:rPr>
          <w:rFonts w:ascii="Times New Roman" w:hAnsi="Times New Roman" w:cs="Times New Roman"/>
        </w:rPr>
      </w:pPr>
      <w:r w:rsidRPr="00A068B7">
        <w:rPr>
          <w:rFonts w:ascii="Times New Roman" w:hAnsi="Times New Roman" w:cs="Times New Roman"/>
          <w:b/>
          <w:bCs/>
        </w:rPr>
        <w:t>3. Privacy and Accountability</w:t>
      </w:r>
      <w:r w:rsidRPr="00A068B7">
        <w:rPr>
          <w:rFonts w:ascii="Times New Roman" w:hAnsi="Times New Roman" w:cs="Times New Roman"/>
        </w:rPr>
        <w:t xml:space="preserve">: Customer data must be protected and used only for approved purposes. </w:t>
      </w:r>
      <w:proofErr w:type="spellStart"/>
      <w:r w:rsidRPr="00A068B7">
        <w:rPr>
          <w:rFonts w:ascii="Times New Roman" w:hAnsi="Times New Roman" w:cs="Times New Roman"/>
        </w:rPr>
        <w:t>Geldium</w:t>
      </w:r>
      <w:proofErr w:type="spellEnd"/>
      <w:r w:rsidRPr="00A068B7">
        <w:rPr>
          <w:rFonts w:ascii="Times New Roman" w:hAnsi="Times New Roman" w:cs="Times New Roman"/>
        </w:rPr>
        <w:t xml:space="preserve"> should document model assumptions, monitor performance and fairness over time, and maintain human oversight of important decisions.</w:t>
      </w:r>
    </w:p>
    <w:p w14:paraId="3887DE8B" w14:textId="1F82A407" w:rsidR="00094F46" w:rsidRPr="00A068B7" w:rsidRDefault="00A068B7" w:rsidP="00A068B7">
      <w:pPr>
        <w:spacing w:line="360" w:lineRule="auto"/>
        <w:jc w:val="both"/>
        <w:rPr>
          <w:rFonts w:ascii="Times New Roman" w:hAnsi="Times New Roman" w:cs="Times New Roman"/>
        </w:rPr>
      </w:pPr>
      <w:r w:rsidRPr="00A068B7">
        <w:rPr>
          <w:rFonts w:ascii="Times New Roman" w:hAnsi="Times New Roman" w:cs="Times New Roman"/>
        </w:rPr>
        <w:t xml:space="preserve">Conclusion: EDA identified variation in delinquency rates across missed-payment, credit-utilization, and credit-score groups. </w:t>
      </w:r>
      <w:proofErr w:type="spellStart"/>
      <w:r w:rsidRPr="00A068B7">
        <w:rPr>
          <w:rFonts w:ascii="Times New Roman" w:hAnsi="Times New Roman" w:cs="Times New Roman"/>
        </w:rPr>
        <w:t>Geldium</w:t>
      </w:r>
      <w:proofErr w:type="spellEnd"/>
      <w:r w:rsidRPr="00A068B7">
        <w:rPr>
          <w:rFonts w:ascii="Times New Roman" w:hAnsi="Times New Roman" w:cs="Times New Roman"/>
        </w:rPr>
        <w:t xml:space="preserve"> should validate these patterns using a properly trained and tested model before treating them as reliable predictors. A measured, human-reviewed collections pilot can help the business test potential improvements while prioritizing fairness, transparency, and responsible customer treatment.</w:t>
      </w:r>
    </w:p>
    <w:sectPr w:rsidR="00094F46" w:rsidRPr="00A068B7" w:rsidSect="00E363C4">
      <w:pgSz w:w="11906" w:h="16838"/>
      <w:pgMar w:top="1440" w:right="1077" w:bottom="1440"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8B7"/>
    <w:rsid w:val="00094F46"/>
    <w:rsid w:val="00147128"/>
    <w:rsid w:val="00220AE4"/>
    <w:rsid w:val="00653144"/>
    <w:rsid w:val="00A068B7"/>
    <w:rsid w:val="00E36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A2DC6"/>
  <w15:chartTrackingRefBased/>
  <w15:docId w15:val="{7B6DF5C3-86A6-4093-B844-F18596D0C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8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68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68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68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68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68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8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8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8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8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68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68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68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68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6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8B7"/>
    <w:rPr>
      <w:rFonts w:eastAsiaTheme="majorEastAsia" w:cstheme="majorBidi"/>
      <w:color w:val="272727" w:themeColor="text1" w:themeTint="D8"/>
    </w:rPr>
  </w:style>
  <w:style w:type="paragraph" w:styleId="Title">
    <w:name w:val="Title"/>
    <w:basedOn w:val="Normal"/>
    <w:next w:val="Normal"/>
    <w:link w:val="TitleChar"/>
    <w:uiPriority w:val="10"/>
    <w:qFormat/>
    <w:rsid w:val="00A068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8B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8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8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68B7"/>
    <w:rPr>
      <w:i/>
      <w:iCs/>
      <w:color w:val="404040" w:themeColor="text1" w:themeTint="BF"/>
    </w:rPr>
  </w:style>
  <w:style w:type="paragraph" w:styleId="ListParagraph">
    <w:name w:val="List Paragraph"/>
    <w:basedOn w:val="Normal"/>
    <w:uiPriority w:val="34"/>
    <w:qFormat/>
    <w:rsid w:val="00A068B7"/>
    <w:pPr>
      <w:ind w:left="720"/>
      <w:contextualSpacing/>
    </w:pPr>
  </w:style>
  <w:style w:type="character" w:styleId="IntenseEmphasis">
    <w:name w:val="Intense Emphasis"/>
    <w:basedOn w:val="DefaultParagraphFont"/>
    <w:uiPriority w:val="21"/>
    <w:qFormat/>
    <w:rsid w:val="00A068B7"/>
    <w:rPr>
      <w:i/>
      <w:iCs/>
      <w:color w:val="2F5496" w:themeColor="accent1" w:themeShade="BF"/>
    </w:rPr>
  </w:style>
  <w:style w:type="paragraph" w:styleId="IntenseQuote">
    <w:name w:val="Intense Quote"/>
    <w:basedOn w:val="Normal"/>
    <w:next w:val="Normal"/>
    <w:link w:val="IntenseQuoteChar"/>
    <w:uiPriority w:val="30"/>
    <w:qFormat/>
    <w:rsid w:val="00A068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68B7"/>
    <w:rPr>
      <w:i/>
      <w:iCs/>
      <w:color w:val="2F5496" w:themeColor="accent1" w:themeShade="BF"/>
    </w:rPr>
  </w:style>
  <w:style w:type="character" w:styleId="IntenseReference">
    <w:name w:val="Intense Reference"/>
    <w:basedOn w:val="DefaultParagraphFont"/>
    <w:uiPriority w:val="32"/>
    <w:qFormat/>
    <w:rsid w:val="00A068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662</Words>
  <Characters>3775</Characters>
  <Application>Microsoft Office Word</Application>
  <DocSecurity>0</DocSecurity>
  <Lines>31</Lines>
  <Paragraphs>8</Paragraphs>
  <ScaleCrop>false</ScaleCrop>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j</dc:creator>
  <cp:keywords/>
  <dc:description/>
  <cp:lastModifiedBy>jahnavi j</cp:lastModifiedBy>
  <cp:revision>1</cp:revision>
  <dcterms:created xsi:type="dcterms:W3CDTF">2026-10-20T08:47:00Z</dcterms:created>
  <dcterms:modified xsi:type="dcterms:W3CDTF">2026-10-20T08:52:00Z</dcterms:modified>
</cp:coreProperties>
</file>