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EB01" w14:textId="6918617D" w:rsidR="000705F8" w:rsidRPr="000705F8" w:rsidRDefault="000705F8" w:rsidP="000705F8">
      <w:pPr>
        <w:spacing w:line="360" w:lineRule="auto"/>
        <w:jc w:val="both"/>
        <w:rPr>
          <w:rFonts w:ascii="Times New Roman" w:hAnsi="Times New Roman" w:cs="Times New Roman"/>
        </w:rPr>
      </w:pPr>
      <w:r>
        <w:rPr>
          <w:rFonts w:ascii="Times New Roman" w:hAnsi="Times New Roman" w:cs="Times New Roman"/>
          <w:b/>
          <w:bCs/>
        </w:rPr>
        <w:t xml:space="preserve">                                                                      </w:t>
      </w:r>
      <w:r w:rsidRPr="000705F8">
        <w:rPr>
          <w:rFonts w:ascii="Times New Roman" w:hAnsi="Times New Roman" w:cs="Times New Roman"/>
          <w:b/>
          <w:bCs/>
        </w:rPr>
        <w:t>GELDIUM</w:t>
      </w:r>
      <w:r w:rsidRPr="000705F8">
        <w:rPr>
          <w:rFonts w:ascii="Times New Roman" w:hAnsi="Times New Roman" w:cs="Times New Roman"/>
          <w:b/>
          <w:bCs/>
        </w:rPr>
        <w:br/>
      </w:r>
      <w:r>
        <w:rPr>
          <w:rFonts w:ascii="Times New Roman" w:hAnsi="Times New Roman" w:cs="Times New Roman"/>
          <w:b/>
          <w:bCs/>
        </w:rPr>
        <w:t xml:space="preserve">                                       </w:t>
      </w:r>
      <w:r w:rsidRPr="000705F8">
        <w:rPr>
          <w:rFonts w:ascii="Times New Roman" w:hAnsi="Times New Roman" w:cs="Times New Roman"/>
          <w:b/>
          <w:bCs/>
        </w:rPr>
        <w:t>PREDICTIVE DELINQUENCY MODEL PLAN</w:t>
      </w:r>
    </w:p>
    <w:p w14:paraId="247147C0"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i/>
          <w:iCs/>
        </w:rPr>
        <w:t>Task 2: Predicting Delinquency with AI</w:t>
      </w:r>
    </w:p>
    <w:p w14:paraId="28DA680B" w14:textId="77777777" w:rsidR="000705F8" w:rsidRPr="000705F8" w:rsidRDefault="000705F8" w:rsidP="000705F8">
      <w:pPr>
        <w:spacing w:line="360" w:lineRule="auto"/>
        <w:jc w:val="both"/>
        <w:rPr>
          <w:rFonts w:ascii="Times New Roman" w:hAnsi="Times New Roman" w:cs="Times New Roman"/>
          <w:b/>
          <w:bCs/>
        </w:rPr>
      </w:pPr>
      <w:r w:rsidRPr="000705F8">
        <w:rPr>
          <w:rFonts w:ascii="Times New Roman" w:hAnsi="Times New Roman" w:cs="Times New Roman"/>
          <w:b/>
          <w:bCs/>
        </w:rPr>
        <w:t>1. Generated Model Logic</w:t>
      </w:r>
    </w:p>
    <w:p w14:paraId="5DD638EC"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Recommended starting model: Logistic Regression. It estimates the probability that a customer will be delinquent (Delinquent = 1) using customer-level features. As a comparison, a Decision Tree can capture non-linear patterns and interactions; it should be tested against the logistic-regression baseline before choosing a final model.</w:t>
      </w:r>
    </w:p>
    <w:p w14:paraId="7E52A825"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Top five input features to test:</w:t>
      </w:r>
    </w:p>
    <w:p w14:paraId="4409A1A8" w14:textId="77777777" w:rsidR="000705F8" w:rsidRPr="000705F8" w:rsidRDefault="000705F8" w:rsidP="000705F8">
      <w:pPr>
        <w:numPr>
          <w:ilvl w:val="0"/>
          <w:numId w:val="1"/>
        </w:numPr>
        <w:spacing w:line="360" w:lineRule="auto"/>
        <w:jc w:val="both"/>
        <w:rPr>
          <w:rFonts w:ascii="Times New Roman" w:hAnsi="Times New Roman" w:cs="Times New Roman"/>
        </w:rPr>
      </w:pPr>
      <w:proofErr w:type="spellStart"/>
      <w:r w:rsidRPr="000705F8">
        <w:rPr>
          <w:rFonts w:ascii="Times New Roman" w:hAnsi="Times New Roman" w:cs="Times New Roman"/>
        </w:rPr>
        <w:t>Missed_Payments</w:t>
      </w:r>
      <w:proofErr w:type="spellEnd"/>
      <w:r w:rsidRPr="000705F8">
        <w:rPr>
          <w:rFonts w:ascii="Times New Roman" w:hAnsi="Times New Roman" w:cs="Times New Roman"/>
        </w:rPr>
        <w:t xml:space="preserve"> — may capture recent payment difficulty; EDA showed the delinquency rate varied by missed-payment count and was highest in the 5-payment group, so the relationship may not be linear.</w:t>
      </w:r>
    </w:p>
    <w:p w14:paraId="408B7A94" w14:textId="77777777" w:rsidR="000705F8" w:rsidRPr="000705F8" w:rsidRDefault="000705F8" w:rsidP="000705F8">
      <w:pPr>
        <w:numPr>
          <w:ilvl w:val="0"/>
          <w:numId w:val="1"/>
        </w:numPr>
        <w:spacing w:line="360" w:lineRule="auto"/>
        <w:jc w:val="both"/>
        <w:rPr>
          <w:rFonts w:ascii="Times New Roman" w:hAnsi="Times New Roman" w:cs="Times New Roman"/>
        </w:rPr>
      </w:pPr>
      <w:proofErr w:type="spellStart"/>
      <w:r w:rsidRPr="000705F8">
        <w:rPr>
          <w:rFonts w:ascii="Times New Roman" w:hAnsi="Times New Roman" w:cs="Times New Roman"/>
        </w:rPr>
        <w:t>Credit_Utilization</w:t>
      </w:r>
      <w:proofErr w:type="spellEnd"/>
      <w:r w:rsidRPr="000705F8">
        <w:rPr>
          <w:rFonts w:ascii="Times New Roman" w:hAnsi="Times New Roman" w:cs="Times New Roman"/>
        </w:rPr>
        <w:t xml:space="preserve"> — may indicate how much of available credit a customer is using; EDA rates differed across utilization bands but did not rise steadily.</w:t>
      </w:r>
    </w:p>
    <w:p w14:paraId="41EA63B8" w14:textId="77777777" w:rsidR="000705F8" w:rsidRPr="000705F8" w:rsidRDefault="000705F8" w:rsidP="000705F8">
      <w:pPr>
        <w:numPr>
          <w:ilvl w:val="0"/>
          <w:numId w:val="1"/>
        </w:numPr>
        <w:spacing w:line="360" w:lineRule="auto"/>
        <w:jc w:val="both"/>
        <w:rPr>
          <w:rFonts w:ascii="Times New Roman" w:hAnsi="Times New Roman" w:cs="Times New Roman"/>
        </w:rPr>
      </w:pPr>
      <w:proofErr w:type="spellStart"/>
      <w:r w:rsidRPr="000705F8">
        <w:rPr>
          <w:rFonts w:ascii="Times New Roman" w:hAnsi="Times New Roman" w:cs="Times New Roman"/>
        </w:rPr>
        <w:t>Credit_Score</w:t>
      </w:r>
      <w:proofErr w:type="spellEnd"/>
      <w:r w:rsidRPr="000705F8">
        <w:rPr>
          <w:rFonts w:ascii="Times New Roman" w:hAnsi="Times New Roman" w:cs="Times New Roman"/>
        </w:rPr>
        <w:t xml:space="preserve"> — summarizes aspects of credit history; EDA rates varied by score band and were not consistently higher at lower scores, so the effect must be validated.</w:t>
      </w:r>
    </w:p>
    <w:p w14:paraId="58006F85" w14:textId="77777777" w:rsidR="000705F8" w:rsidRPr="000705F8" w:rsidRDefault="000705F8" w:rsidP="000705F8">
      <w:pPr>
        <w:numPr>
          <w:ilvl w:val="0"/>
          <w:numId w:val="1"/>
        </w:numPr>
        <w:spacing w:line="360" w:lineRule="auto"/>
        <w:jc w:val="both"/>
        <w:rPr>
          <w:rFonts w:ascii="Times New Roman" w:hAnsi="Times New Roman" w:cs="Times New Roman"/>
        </w:rPr>
      </w:pPr>
      <w:r w:rsidRPr="000705F8">
        <w:rPr>
          <w:rFonts w:ascii="Times New Roman" w:hAnsi="Times New Roman" w:cs="Times New Roman"/>
        </w:rPr>
        <w:t>Income — may help describe repayment capacity; the observed high-income band was small, so its rate should not be generalized without reviewing all bands.</w:t>
      </w:r>
    </w:p>
    <w:p w14:paraId="23C32DD1" w14:textId="77777777" w:rsidR="000705F8" w:rsidRPr="000705F8" w:rsidRDefault="000705F8" w:rsidP="000705F8">
      <w:pPr>
        <w:numPr>
          <w:ilvl w:val="0"/>
          <w:numId w:val="1"/>
        </w:numPr>
        <w:spacing w:line="360" w:lineRule="auto"/>
        <w:jc w:val="both"/>
        <w:rPr>
          <w:rFonts w:ascii="Times New Roman" w:hAnsi="Times New Roman" w:cs="Times New Roman"/>
        </w:rPr>
      </w:pPr>
      <w:proofErr w:type="spellStart"/>
      <w:r w:rsidRPr="000705F8">
        <w:rPr>
          <w:rFonts w:ascii="Times New Roman" w:hAnsi="Times New Roman" w:cs="Times New Roman"/>
        </w:rPr>
        <w:t>Loan_Balance</w:t>
      </w:r>
      <w:proofErr w:type="spellEnd"/>
      <w:r w:rsidRPr="000705F8">
        <w:rPr>
          <w:rFonts w:ascii="Times New Roman" w:hAnsi="Times New Roman" w:cs="Times New Roman"/>
        </w:rPr>
        <w:t xml:space="preserve"> — may represent the amount of outstanding debt and should be tested alongside other features.</w:t>
      </w:r>
    </w:p>
    <w:p w14:paraId="11C15F01"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 xml:space="preserve">Workflow: (1) load the dataset and confirm the target column; (2) split records into training, validation, and test sets, using a stratified split to preserve the 16% delinquency rate; (3) fit preprocessing steps on the training data only, including median imputation for missing Income, </w:t>
      </w:r>
      <w:proofErr w:type="spellStart"/>
      <w:r w:rsidRPr="000705F8">
        <w:rPr>
          <w:rFonts w:ascii="Times New Roman" w:hAnsi="Times New Roman" w:cs="Times New Roman"/>
        </w:rPr>
        <w:t>Credit_Score</w:t>
      </w:r>
      <w:proofErr w:type="spellEnd"/>
      <w:r w:rsidRPr="000705F8">
        <w:rPr>
          <w:rFonts w:ascii="Times New Roman" w:hAnsi="Times New Roman" w:cs="Times New Roman"/>
        </w:rPr>
        <w:t xml:space="preserve">, and </w:t>
      </w:r>
      <w:proofErr w:type="spellStart"/>
      <w:r w:rsidRPr="000705F8">
        <w:rPr>
          <w:rFonts w:ascii="Times New Roman" w:hAnsi="Times New Roman" w:cs="Times New Roman"/>
        </w:rPr>
        <w:t>Loan_Balance</w:t>
      </w:r>
      <w:proofErr w:type="spellEnd"/>
      <w:r w:rsidRPr="000705F8">
        <w:rPr>
          <w:rFonts w:ascii="Times New Roman" w:hAnsi="Times New Roman" w:cs="Times New Roman"/>
        </w:rPr>
        <w:t>; (4) train logistic regression and a decision-tree comparison; (5) select a decision threshold using validation data and business costs; (6) evaluate the final model once on the untouched test set; and (7) produce a risk probability and a review category such as lower, medium, or higher risk. The original EDA workbook should remain unchanged.</w:t>
      </w:r>
    </w:p>
    <w:p w14:paraId="4266660E" w14:textId="77777777" w:rsidR="000705F8" w:rsidRPr="000705F8" w:rsidRDefault="000705F8" w:rsidP="000705F8">
      <w:pPr>
        <w:spacing w:line="360" w:lineRule="auto"/>
        <w:jc w:val="both"/>
        <w:rPr>
          <w:rFonts w:ascii="Times New Roman" w:hAnsi="Times New Roman" w:cs="Times New Roman"/>
          <w:b/>
          <w:bCs/>
        </w:rPr>
      </w:pPr>
      <w:r w:rsidRPr="000705F8">
        <w:rPr>
          <w:rFonts w:ascii="Times New Roman" w:hAnsi="Times New Roman" w:cs="Times New Roman"/>
          <w:b/>
          <w:bCs/>
        </w:rPr>
        <w:t>2. Justification for Model Choice</w:t>
      </w:r>
    </w:p>
    <w:p w14:paraId="6D6605DE"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 xml:space="preserve">Logistic regression is the recommended first model for </w:t>
      </w:r>
      <w:proofErr w:type="spellStart"/>
      <w:r w:rsidRPr="000705F8">
        <w:rPr>
          <w:rFonts w:ascii="Times New Roman" w:hAnsi="Times New Roman" w:cs="Times New Roman"/>
        </w:rPr>
        <w:t>Geldium</w:t>
      </w:r>
      <w:proofErr w:type="spellEnd"/>
      <w:r w:rsidRPr="000705F8">
        <w:rPr>
          <w:rFonts w:ascii="Times New Roman" w:hAnsi="Times New Roman" w:cs="Times New Roman"/>
        </w:rPr>
        <w:t xml:space="preserve"> because it is relatively simple, fast to train, easy to deploy, and more explainable than many complex models. Its coefficients and predicted probabilities can help analysts understand how input variables are associated with delinquency, supporting transparent review and model governance in a financial-services setting. The dataset is modest in size (500 customers) and the positive class is only 16%, so a transparent baseline is a sensible starting point. However, EDA found non-monotonic patterns in missed payments, credit utilization, </w:t>
      </w:r>
      <w:r w:rsidRPr="000705F8">
        <w:rPr>
          <w:rFonts w:ascii="Times New Roman" w:hAnsi="Times New Roman" w:cs="Times New Roman"/>
        </w:rPr>
        <w:lastRenderedPageBreak/>
        <w:t xml:space="preserve">and credit score; logistic regression may not capture all such relationships unless appropriate transformations or interaction terms are considered. A Decision Tree should therefore be evaluated as a comparison model. </w:t>
      </w:r>
      <w:proofErr w:type="spellStart"/>
      <w:r w:rsidRPr="000705F8">
        <w:rPr>
          <w:rFonts w:ascii="Times New Roman" w:hAnsi="Times New Roman" w:cs="Times New Roman"/>
        </w:rPr>
        <w:t>Geldium</w:t>
      </w:r>
      <w:proofErr w:type="spellEnd"/>
      <w:r w:rsidRPr="000705F8">
        <w:rPr>
          <w:rFonts w:ascii="Times New Roman" w:hAnsi="Times New Roman" w:cs="Times New Roman"/>
        </w:rPr>
        <w:t xml:space="preserve"> should choose the final model based on test performance, calibration, fairness, stability, and explainability—not accuracy alone. Predictions should support human review rather than automatically determine adverse customer outcomes.</w:t>
      </w:r>
    </w:p>
    <w:p w14:paraId="7DFC0D3B" w14:textId="77777777" w:rsidR="000705F8" w:rsidRPr="000705F8" w:rsidRDefault="000705F8" w:rsidP="000705F8">
      <w:pPr>
        <w:spacing w:line="360" w:lineRule="auto"/>
        <w:jc w:val="both"/>
        <w:rPr>
          <w:rFonts w:ascii="Times New Roman" w:hAnsi="Times New Roman" w:cs="Times New Roman"/>
          <w:b/>
          <w:bCs/>
        </w:rPr>
      </w:pPr>
      <w:r w:rsidRPr="000705F8">
        <w:rPr>
          <w:rFonts w:ascii="Times New Roman" w:hAnsi="Times New Roman" w:cs="Times New Roman"/>
          <w:b/>
          <w:bCs/>
        </w:rPr>
        <w:t>3. Evaluation Strategy</w:t>
      </w:r>
    </w:p>
    <w:p w14:paraId="49948CBD"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Use a stratified train/validation/test split (for example, 60%/20%/20%) and keep all preprocessing and feature selection inside the training process to avoid data leakage. With only 500 records, report uncertainty and, if appropriate, use stratified cross-validation on the training portion. Do not tune the model on the final test set.</w:t>
      </w:r>
    </w:p>
    <w:tbl>
      <w:tblPr>
        <w:tblW w:w="0" w:type="auto"/>
        <w:jc w:val="center"/>
        <w:tblCellMar>
          <w:top w:w="15" w:type="dxa"/>
          <w:left w:w="15" w:type="dxa"/>
          <w:bottom w:w="15" w:type="dxa"/>
          <w:right w:w="15" w:type="dxa"/>
        </w:tblCellMar>
        <w:tblLook w:val="04A0" w:firstRow="1" w:lastRow="0" w:firstColumn="1" w:lastColumn="0" w:noHBand="0" w:noVBand="1"/>
      </w:tblPr>
      <w:tblGrid>
        <w:gridCol w:w="1750"/>
        <w:gridCol w:w="3834"/>
        <w:gridCol w:w="4158"/>
      </w:tblGrid>
      <w:tr w:rsidR="000705F8" w:rsidRPr="000705F8" w14:paraId="515089D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E815AF"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Metric / check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94D168"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What it measures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328621"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How to interpret it</w:t>
            </w:r>
          </w:p>
        </w:tc>
      </w:tr>
      <w:tr w:rsidR="000705F8" w:rsidRPr="000705F8" w14:paraId="764C69F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C5B017"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Recall for delinquent customers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011CCD"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Share of actual delinquent customers identified by the model.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BAB206"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Higher recall means fewer at-risk customers are missed; consider the cost of false alarms.</w:t>
            </w:r>
          </w:p>
        </w:tc>
      </w:tr>
      <w:tr w:rsidR="000705F8" w:rsidRPr="000705F8" w14:paraId="1627522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89339D"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Precision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8E11FB"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Share of customers flagged as high risk who are actually delinquent.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54C570"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Higher precision means fewer false positives and more efficient follow-up.</w:t>
            </w:r>
          </w:p>
        </w:tc>
      </w:tr>
      <w:tr w:rsidR="000705F8" w:rsidRPr="000705F8" w14:paraId="6F6E86A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883ED1"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F1 score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DEDA26"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Balance between precision and recall.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63D851"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Useful when both missed delinquencies and unnecessary alerts matter.</w:t>
            </w:r>
          </w:p>
        </w:tc>
      </w:tr>
      <w:tr w:rsidR="000705F8" w:rsidRPr="000705F8" w14:paraId="28892EC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06571"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ROC-AUC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B0A9D9"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How well the model ranks delinquent customers above non-delinquent customers across thresholds.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709ECF"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Closer to 1 is better; around 0.5 indicates little ranking ability.</w:t>
            </w:r>
          </w:p>
        </w:tc>
      </w:tr>
      <w:tr w:rsidR="000705F8" w:rsidRPr="000705F8" w14:paraId="58D2D54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D4A8B7"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PR-AUC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594A33"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Precision-recall performance, especially relevant when delinquency is the minority class.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805892"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Compare with the 16% positive-class baseline; use alongside recall and precision.</w:t>
            </w:r>
          </w:p>
        </w:tc>
      </w:tr>
      <w:tr w:rsidR="000705F8" w:rsidRPr="000705F8" w14:paraId="315305C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4C980D"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Accuracy and confusion matrix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71F859"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Overall correct predictions and the types of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514F11"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Accuracy alone can be misleading because 84% of records are non-delinquent.</w:t>
            </w:r>
          </w:p>
        </w:tc>
      </w:tr>
      <w:tr w:rsidR="000705F8" w:rsidRPr="000705F8" w14:paraId="2F44213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10C15C"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Calibration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D6D71C"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Whether predicted probabilities match observed delinquency rates.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075491"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For example, customers assigned about 20% risk should be delinquent roughly 20% of the time over a sufficiently large group.</w:t>
            </w:r>
          </w:p>
        </w:tc>
      </w:tr>
      <w:tr w:rsidR="000705F8" w:rsidRPr="000705F8" w14:paraId="502B054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BAC29F"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Fairness checks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C93BD6"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 xml:space="preserve">Compare error rates, recall, precision, and selection/flag rates across legally </w:t>
            </w:r>
            <w:r w:rsidRPr="000705F8">
              <w:rPr>
                <w:rFonts w:ascii="Times New Roman" w:hAnsi="Times New Roman" w:cs="Times New Roman"/>
              </w:rPr>
              <w:lastRenderedPageBreak/>
              <w:t>and ethically appropriate customer groups.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092DB3"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lastRenderedPageBreak/>
              <w:t xml:space="preserve">Investigate material differences; use only lawfully available audit data, protect </w:t>
            </w:r>
            <w:r w:rsidRPr="000705F8">
              <w:rPr>
                <w:rFonts w:ascii="Times New Roman" w:hAnsi="Times New Roman" w:cs="Times New Roman"/>
              </w:rPr>
              <w:lastRenderedPageBreak/>
              <w:t>privacy, and do not assume equal rates prove fairness.</w:t>
            </w:r>
          </w:p>
        </w:tc>
      </w:tr>
    </w:tbl>
    <w:p w14:paraId="1D75E85B" w14:textId="77777777" w:rsidR="000705F8" w:rsidRPr="000705F8" w:rsidRDefault="000705F8" w:rsidP="000705F8">
      <w:pPr>
        <w:spacing w:line="360" w:lineRule="auto"/>
        <w:jc w:val="both"/>
        <w:rPr>
          <w:rFonts w:ascii="Times New Roman" w:hAnsi="Times New Roman" w:cs="Times New Roman"/>
          <w:b/>
          <w:bCs/>
        </w:rPr>
      </w:pPr>
      <w:r w:rsidRPr="000705F8">
        <w:rPr>
          <w:rFonts w:ascii="Times New Roman" w:hAnsi="Times New Roman" w:cs="Times New Roman"/>
          <w:b/>
          <w:bCs/>
        </w:rPr>
        <w:lastRenderedPageBreak/>
        <w:t>4. Fairness, Risk Controls, and Monitoring</w:t>
      </w:r>
    </w:p>
    <w:p w14:paraId="4F5FBF0D" w14:textId="77777777" w:rsidR="000705F8" w:rsidRPr="000705F8" w:rsidRDefault="000705F8" w:rsidP="000705F8">
      <w:pPr>
        <w:numPr>
          <w:ilvl w:val="0"/>
          <w:numId w:val="2"/>
        </w:numPr>
        <w:spacing w:line="360" w:lineRule="auto"/>
        <w:jc w:val="both"/>
        <w:rPr>
          <w:rFonts w:ascii="Times New Roman" w:hAnsi="Times New Roman" w:cs="Times New Roman"/>
        </w:rPr>
      </w:pPr>
      <w:r w:rsidRPr="000705F8">
        <w:rPr>
          <w:rFonts w:ascii="Times New Roman" w:hAnsi="Times New Roman" w:cs="Times New Roman"/>
        </w:rPr>
        <w:t>Check whether data quality or missingness differs across customer groups and whether those differences affect predictions.</w:t>
      </w:r>
    </w:p>
    <w:p w14:paraId="27314751" w14:textId="77777777" w:rsidR="000705F8" w:rsidRPr="000705F8" w:rsidRDefault="000705F8" w:rsidP="000705F8">
      <w:pPr>
        <w:numPr>
          <w:ilvl w:val="0"/>
          <w:numId w:val="2"/>
        </w:numPr>
        <w:spacing w:line="360" w:lineRule="auto"/>
        <w:jc w:val="both"/>
        <w:rPr>
          <w:rFonts w:ascii="Times New Roman" w:hAnsi="Times New Roman" w:cs="Times New Roman"/>
        </w:rPr>
      </w:pPr>
      <w:r w:rsidRPr="000705F8">
        <w:rPr>
          <w:rFonts w:ascii="Times New Roman" w:hAnsi="Times New Roman" w:cs="Times New Roman"/>
        </w:rPr>
        <w:t>Where legally permitted and appropriate, audit model performance across relevant demographic or customer segments; keep protected characteristics out of operational scoring unless specifically lawful and justified.</w:t>
      </w:r>
    </w:p>
    <w:p w14:paraId="2889AFFD" w14:textId="77777777" w:rsidR="000705F8" w:rsidRPr="000705F8" w:rsidRDefault="000705F8" w:rsidP="000705F8">
      <w:pPr>
        <w:numPr>
          <w:ilvl w:val="0"/>
          <w:numId w:val="2"/>
        </w:numPr>
        <w:spacing w:line="360" w:lineRule="auto"/>
        <w:jc w:val="both"/>
        <w:rPr>
          <w:rFonts w:ascii="Times New Roman" w:hAnsi="Times New Roman" w:cs="Times New Roman"/>
        </w:rPr>
      </w:pPr>
      <w:r w:rsidRPr="000705F8">
        <w:rPr>
          <w:rFonts w:ascii="Times New Roman" w:hAnsi="Times New Roman" w:cs="Times New Roman"/>
        </w:rPr>
        <w:t>Review false negatives (delinquent customers predicted as low risk) and false positives (non-delinquent customers predicted as high risk), especially for groups with small sample sizes.</w:t>
      </w:r>
    </w:p>
    <w:p w14:paraId="45315447" w14:textId="77777777" w:rsidR="000705F8" w:rsidRPr="000705F8" w:rsidRDefault="000705F8" w:rsidP="000705F8">
      <w:pPr>
        <w:numPr>
          <w:ilvl w:val="0"/>
          <w:numId w:val="2"/>
        </w:numPr>
        <w:spacing w:line="360" w:lineRule="auto"/>
        <w:jc w:val="both"/>
        <w:rPr>
          <w:rFonts w:ascii="Times New Roman" w:hAnsi="Times New Roman" w:cs="Times New Roman"/>
        </w:rPr>
      </w:pPr>
      <w:r w:rsidRPr="000705F8">
        <w:rPr>
          <w:rFonts w:ascii="Times New Roman" w:hAnsi="Times New Roman" w:cs="Times New Roman"/>
        </w:rPr>
        <w:t>Set a decision threshold with business and compliance stakeholders; document the trade-off between catching more delinquent customers and creating more false alarms.</w:t>
      </w:r>
    </w:p>
    <w:p w14:paraId="107AF9B1" w14:textId="77777777" w:rsidR="000705F8" w:rsidRPr="000705F8" w:rsidRDefault="000705F8" w:rsidP="000705F8">
      <w:pPr>
        <w:numPr>
          <w:ilvl w:val="0"/>
          <w:numId w:val="2"/>
        </w:numPr>
        <w:spacing w:line="360" w:lineRule="auto"/>
        <w:jc w:val="both"/>
        <w:rPr>
          <w:rFonts w:ascii="Times New Roman" w:hAnsi="Times New Roman" w:cs="Times New Roman"/>
        </w:rPr>
      </w:pPr>
      <w:r w:rsidRPr="000705F8">
        <w:rPr>
          <w:rFonts w:ascii="Times New Roman" w:hAnsi="Times New Roman" w:cs="Times New Roman"/>
        </w:rPr>
        <w:t>Monitor performance, calibration, data drift, and fairness after deployment; retrain only under a documented review process.</w:t>
      </w:r>
    </w:p>
    <w:p w14:paraId="58C9C33B" w14:textId="77777777" w:rsidR="000705F8" w:rsidRPr="000705F8" w:rsidRDefault="000705F8" w:rsidP="000705F8">
      <w:pPr>
        <w:numPr>
          <w:ilvl w:val="0"/>
          <w:numId w:val="2"/>
        </w:numPr>
        <w:spacing w:line="360" w:lineRule="auto"/>
        <w:jc w:val="both"/>
        <w:rPr>
          <w:rFonts w:ascii="Times New Roman" w:hAnsi="Times New Roman" w:cs="Times New Roman"/>
        </w:rPr>
      </w:pPr>
      <w:r w:rsidRPr="000705F8">
        <w:rPr>
          <w:rFonts w:ascii="Times New Roman" w:hAnsi="Times New Roman" w:cs="Times New Roman"/>
        </w:rPr>
        <w:t>Keep a human review and appeal process for consequential decisions, and document model version, features, assumptions, limitations, and approval.</w:t>
      </w:r>
    </w:p>
    <w:p w14:paraId="4F5396A9" w14:textId="77777777" w:rsidR="000705F8" w:rsidRPr="000705F8" w:rsidRDefault="000705F8" w:rsidP="000705F8">
      <w:pPr>
        <w:spacing w:line="360" w:lineRule="auto"/>
        <w:jc w:val="both"/>
        <w:rPr>
          <w:rFonts w:ascii="Times New Roman" w:hAnsi="Times New Roman" w:cs="Times New Roman"/>
          <w:b/>
          <w:bCs/>
        </w:rPr>
      </w:pPr>
      <w:r w:rsidRPr="000705F8">
        <w:rPr>
          <w:rFonts w:ascii="Times New Roman" w:hAnsi="Times New Roman" w:cs="Times New Roman"/>
          <w:b/>
          <w:bCs/>
        </w:rPr>
        <w:t>5. Limitations and EDA Considerations</w:t>
      </w:r>
    </w:p>
    <w:p w14:paraId="54C79E45"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The dataset contains 500 records, with 80 delinquent customers (16%). This is a small sample for reliable model development, particularly for fairness analysis and subgroup comparisons. EDA showed that delinquency rates were not consistently monotonic across the observed missed-payment, credit-utilization, and credit-score bands. The high observed rate in one income band was based on only 12 customers and should not be generalized. These are exploratory associations, not evidence of causation. Results should be validated on additional, representative data before real-world use.</w:t>
      </w:r>
    </w:p>
    <w:p w14:paraId="090FA4D9" w14:textId="77777777" w:rsidR="000705F8" w:rsidRPr="000705F8" w:rsidRDefault="000705F8" w:rsidP="000705F8">
      <w:pPr>
        <w:spacing w:line="360" w:lineRule="auto"/>
        <w:jc w:val="both"/>
        <w:rPr>
          <w:rFonts w:ascii="Times New Roman" w:hAnsi="Times New Roman" w:cs="Times New Roman"/>
          <w:b/>
          <w:bCs/>
        </w:rPr>
      </w:pPr>
      <w:r w:rsidRPr="000705F8">
        <w:rPr>
          <w:rFonts w:ascii="Times New Roman" w:hAnsi="Times New Roman" w:cs="Times New Roman"/>
          <w:b/>
          <w:bCs/>
        </w:rPr>
        <w:t>6. Conclusion</w:t>
      </w:r>
    </w:p>
    <w:p w14:paraId="3833BBE6" w14:textId="77777777" w:rsidR="000705F8" w:rsidRPr="000705F8" w:rsidRDefault="000705F8" w:rsidP="000705F8">
      <w:pPr>
        <w:spacing w:line="360" w:lineRule="auto"/>
        <w:jc w:val="both"/>
        <w:rPr>
          <w:rFonts w:ascii="Times New Roman" w:hAnsi="Times New Roman" w:cs="Times New Roman"/>
        </w:rPr>
      </w:pPr>
      <w:proofErr w:type="spellStart"/>
      <w:r w:rsidRPr="000705F8">
        <w:rPr>
          <w:rFonts w:ascii="Times New Roman" w:hAnsi="Times New Roman" w:cs="Times New Roman"/>
        </w:rPr>
        <w:t>Geldium</w:t>
      </w:r>
      <w:proofErr w:type="spellEnd"/>
      <w:r w:rsidRPr="000705F8">
        <w:rPr>
          <w:rFonts w:ascii="Times New Roman" w:hAnsi="Times New Roman" w:cs="Times New Roman"/>
        </w:rPr>
        <w:t xml:space="preserve"> should begin with an interpretable logistic-regression baseline and compare it with a decision tree. Evaluate the models using recall, precision, F1, ROC-AUC, PR-AUC, calibration, confusion-matrix analysis, and fairness checks—not accuracy alone. Choose a model only after test-set validation and documented review of performance, fairness, stability, and operational needs.</w:t>
      </w:r>
    </w:p>
    <w:p w14:paraId="33BC40B2" w14:textId="77777777" w:rsidR="000705F8" w:rsidRPr="000705F8" w:rsidRDefault="000705F8" w:rsidP="000705F8">
      <w:pPr>
        <w:spacing w:line="360" w:lineRule="auto"/>
        <w:jc w:val="both"/>
        <w:rPr>
          <w:rFonts w:ascii="Times New Roman" w:hAnsi="Times New Roman" w:cs="Times New Roman"/>
          <w:b/>
          <w:bCs/>
        </w:rPr>
      </w:pPr>
      <w:r w:rsidRPr="000705F8">
        <w:rPr>
          <w:rFonts w:ascii="Times New Roman" w:hAnsi="Times New Roman" w:cs="Times New Roman"/>
          <w:b/>
          <w:bCs/>
        </w:rPr>
        <w:t>GenAI Use Statement</w:t>
      </w:r>
    </w:p>
    <w:p w14:paraId="580AB3D8" w14:textId="77777777" w:rsidR="000705F8" w:rsidRPr="000705F8" w:rsidRDefault="000705F8" w:rsidP="000705F8">
      <w:pPr>
        <w:spacing w:line="360" w:lineRule="auto"/>
        <w:jc w:val="both"/>
        <w:rPr>
          <w:rFonts w:ascii="Times New Roman" w:hAnsi="Times New Roman" w:cs="Times New Roman"/>
        </w:rPr>
      </w:pPr>
      <w:r w:rsidRPr="000705F8">
        <w:rPr>
          <w:rFonts w:ascii="Times New Roman" w:hAnsi="Times New Roman" w:cs="Times New Roman"/>
        </w:rPr>
        <w:t xml:space="preserve">Generative AI was used to help structure the conceptual </w:t>
      </w:r>
      <w:proofErr w:type="spellStart"/>
      <w:r w:rsidRPr="000705F8">
        <w:rPr>
          <w:rFonts w:ascii="Times New Roman" w:hAnsi="Times New Roman" w:cs="Times New Roman"/>
        </w:rPr>
        <w:t>modeling</w:t>
      </w:r>
      <w:proofErr w:type="spellEnd"/>
      <w:r w:rsidRPr="000705F8">
        <w:rPr>
          <w:rFonts w:ascii="Times New Roman" w:hAnsi="Times New Roman" w:cs="Times New Roman"/>
        </w:rPr>
        <w:t xml:space="preserve"> workflow, identify candidate features, compare model options, and draft an evaluation and fairness plan. The recommendations were adapted to the EDA results from the </w:t>
      </w:r>
      <w:proofErr w:type="spellStart"/>
      <w:r w:rsidRPr="000705F8">
        <w:rPr>
          <w:rFonts w:ascii="Times New Roman" w:hAnsi="Times New Roman" w:cs="Times New Roman"/>
        </w:rPr>
        <w:t>Geldium</w:t>
      </w:r>
      <w:proofErr w:type="spellEnd"/>
      <w:r w:rsidRPr="000705F8">
        <w:rPr>
          <w:rFonts w:ascii="Times New Roman" w:hAnsi="Times New Roman" w:cs="Times New Roman"/>
        </w:rPr>
        <w:t xml:space="preserve"> dataset. This is a conceptual plan; no model was trained and no predictive performance is claimed.</w:t>
      </w:r>
    </w:p>
    <w:p w14:paraId="1355661B" w14:textId="77777777" w:rsidR="00094F46" w:rsidRPr="000705F8" w:rsidRDefault="00094F46" w:rsidP="000705F8">
      <w:pPr>
        <w:spacing w:line="360" w:lineRule="auto"/>
        <w:jc w:val="both"/>
        <w:rPr>
          <w:rFonts w:ascii="Times New Roman" w:hAnsi="Times New Roman" w:cs="Times New Roman"/>
        </w:rPr>
      </w:pPr>
    </w:p>
    <w:sectPr w:rsidR="00094F46" w:rsidRPr="000705F8" w:rsidSect="00E363C4">
      <w:pgSz w:w="11906" w:h="16838"/>
      <w:pgMar w:top="1440" w:right="1077"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5D2027"/>
    <w:multiLevelType w:val="multilevel"/>
    <w:tmpl w:val="5E22B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4F7897"/>
    <w:multiLevelType w:val="multilevel"/>
    <w:tmpl w:val="F446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258010">
    <w:abstractNumId w:val="0"/>
  </w:num>
  <w:num w:numId="2" w16cid:durableId="1727099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5F8"/>
    <w:rsid w:val="000705F8"/>
    <w:rsid w:val="00094F46"/>
    <w:rsid w:val="00147128"/>
    <w:rsid w:val="00220AE4"/>
    <w:rsid w:val="00653144"/>
    <w:rsid w:val="00E36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40C0C"/>
  <w15:chartTrackingRefBased/>
  <w15:docId w15:val="{9B8864D8-BF06-43EA-9508-7C1E4E81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5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05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05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05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05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05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5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5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5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5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05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05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05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05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0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5F8"/>
    <w:rPr>
      <w:rFonts w:eastAsiaTheme="majorEastAsia" w:cstheme="majorBidi"/>
      <w:color w:val="272727" w:themeColor="text1" w:themeTint="D8"/>
    </w:rPr>
  </w:style>
  <w:style w:type="paragraph" w:styleId="Title">
    <w:name w:val="Title"/>
    <w:basedOn w:val="Normal"/>
    <w:next w:val="Normal"/>
    <w:link w:val="TitleChar"/>
    <w:uiPriority w:val="10"/>
    <w:qFormat/>
    <w:rsid w:val="000705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5F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5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05F8"/>
    <w:rPr>
      <w:i/>
      <w:iCs/>
      <w:color w:val="404040" w:themeColor="text1" w:themeTint="BF"/>
    </w:rPr>
  </w:style>
  <w:style w:type="paragraph" w:styleId="ListParagraph">
    <w:name w:val="List Paragraph"/>
    <w:basedOn w:val="Normal"/>
    <w:uiPriority w:val="34"/>
    <w:qFormat/>
    <w:rsid w:val="000705F8"/>
    <w:pPr>
      <w:ind w:left="720"/>
      <w:contextualSpacing/>
    </w:pPr>
  </w:style>
  <w:style w:type="character" w:styleId="IntenseEmphasis">
    <w:name w:val="Intense Emphasis"/>
    <w:basedOn w:val="DefaultParagraphFont"/>
    <w:uiPriority w:val="21"/>
    <w:qFormat/>
    <w:rsid w:val="000705F8"/>
    <w:rPr>
      <w:i/>
      <w:iCs/>
      <w:color w:val="2F5496" w:themeColor="accent1" w:themeShade="BF"/>
    </w:rPr>
  </w:style>
  <w:style w:type="paragraph" w:styleId="IntenseQuote">
    <w:name w:val="Intense Quote"/>
    <w:basedOn w:val="Normal"/>
    <w:next w:val="Normal"/>
    <w:link w:val="IntenseQuoteChar"/>
    <w:uiPriority w:val="30"/>
    <w:qFormat/>
    <w:rsid w:val="000705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05F8"/>
    <w:rPr>
      <w:i/>
      <w:iCs/>
      <w:color w:val="2F5496" w:themeColor="accent1" w:themeShade="BF"/>
    </w:rPr>
  </w:style>
  <w:style w:type="character" w:styleId="IntenseReference">
    <w:name w:val="Intense Reference"/>
    <w:basedOn w:val="DefaultParagraphFont"/>
    <w:uiPriority w:val="32"/>
    <w:qFormat/>
    <w:rsid w:val="000705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1101</Words>
  <Characters>6276</Characters>
  <Application>Microsoft Office Word</Application>
  <DocSecurity>0</DocSecurity>
  <Lines>52</Lines>
  <Paragraphs>14</Paragraphs>
  <ScaleCrop>false</ScaleCrop>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j</dc:creator>
  <cp:keywords/>
  <dc:description/>
  <cp:lastModifiedBy>jahnavi j</cp:lastModifiedBy>
  <cp:revision>1</cp:revision>
  <dcterms:created xsi:type="dcterms:W3CDTF">2026-10-20T08:28:00Z</dcterms:created>
  <dcterms:modified xsi:type="dcterms:W3CDTF">2026-10-20T08:32:00Z</dcterms:modified>
</cp:coreProperties>
</file>