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Relatório executivo</w:t>
      </w:r>
    </w:p>
    <w:p>
      <w:pPr>
        <w:jc w:val="center"/>
      </w:pPr>
      <w:r>
        <w:t>Modernização da Linha Azul</w:t>
      </w:r>
    </w:p>
    <w:p>
      <w:r>
        <w:t>Período: 01/02/2030 a 05/02/2030 | Referência dos dados: 29/08/2026 16:30 Hora oficial do Brasil</w:t>
      </w:r>
    </w:p>
    <w:p>
      <w:pPr>
        <w:pStyle w:val="Heading1"/>
      </w:pPr>
      <w:r>
        <w:t>1. Síntese executiva</w:t>
      </w:r>
    </w:p>
    <w:p>
      <w:r>
        <w:t>O recorte reúne 1 projeto(s), com avanço físico médio realizado de 64.5% frente a 68.0% previsto (-3.5 ponto(s) percentual(is)). Foram identificados 1 risco(s) ou problema(s) de alta criticidade. As interpretações deste resumo derivam somente dos valores presentes na fotografia de dados indicada ao final do documento.</w:t>
      </w:r>
    </w:p>
    <w:p>
      <w:pPr>
        <w:pStyle w:val="Heading1"/>
      </w:pPr>
      <w:r>
        <w:t>2. Situação e indicadores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Projeto</w:t>
            </w:r>
          </w:p>
        </w:tc>
        <w:tc>
          <w:tcPr>
            <w:tcW w:type="dxa" w:w="1728"/>
          </w:tcPr>
          <w:p>
            <w:r>
              <w:t>Situação</w:t>
            </w:r>
          </w:p>
        </w:tc>
        <w:tc>
          <w:tcPr>
            <w:tcW w:type="dxa" w:w="1728"/>
          </w:tcPr>
          <w:p>
            <w:r>
              <w:t>Fase</w:t>
            </w:r>
          </w:p>
        </w:tc>
        <w:tc>
          <w:tcPr>
            <w:tcW w:type="dxa" w:w="1728"/>
          </w:tcPr>
          <w:p>
            <w:r>
              <w:t>Responsável</w:t>
            </w:r>
          </w:p>
        </w:tc>
        <w:tc>
          <w:tcPr>
            <w:tcW w:type="dxa" w:w="1728"/>
          </w:tcPr>
          <w:p>
            <w:r>
              <w:t>Atualização</w:t>
            </w:r>
          </w:p>
        </w:tc>
      </w:tr>
      <w:tr>
        <w:tc>
          <w:tcPr>
            <w:tcW w:type="dxa" w:w="1728"/>
          </w:tcPr>
          <w:p>
            <w:r>
              <w:t>PRJ-0442 — Modernização da Linha Azul</w:t>
            </w:r>
          </w:p>
        </w:tc>
        <w:tc>
          <w:tcPr>
            <w:tcW w:type="dxa" w:w="1728"/>
          </w:tcPr>
          <w:p>
            <w:r>
              <w:t>amarelo</w:t>
            </w:r>
          </w:p>
        </w:tc>
        <w:tc>
          <w:tcPr>
            <w:tcW w:type="dxa" w:w="1728"/>
          </w:tcPr>
          <w:p>
            <w:r>
              <w:t>execução</w:t>
            </w:r>
          </w:p>
        </w:tc>
        <w:tc>
          <w:tcPr>
            <w:tcW w:type="dxa" w:w="1728"/>
          </w:tcPr>
          <w:p>
            <w:r>
              <w:t>Marina Costa</w:t>
            </w:r>
          </w:p>
        </w:tc>
        <w:tc>
          <w:tcPr>
            <w:tcW w:type="dxa" w:w="1728"/>
          </w:tcPr>
          <w:p>
            <w:r>
              <w:t>2026-08-29T16:30:00-03:00</w:t>
            </w:r>
          </w:p>
        </w:tc>
      </w:tr>
    </w:tbl>
    <w:p>
      <w:pPr>
        <w:pStyle w:val="Heading1"/>
      </w:pPr>
      <w:r>
        <w:t>3. Previsto versus realizado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Projeto</w:t>
            </w:r>
          </w:p>
        </w:tc>
        <w:tc>
          <w:tcPr>
            <w:tcW w:type="dxa" w:w="2160"/>
          </w:tcPr>
          <w:p>
            <w:r>
              <w:t>Previsto (%)</w:t>
            </w:r>
          </w:p>
        </w:tc>
        <w:tc>
          <w:tcPr>
            <w:tcW w:type="dxa" w:w="2160"/>
          </w:tcPr>
          <w:p>
            <w:r>
              <w:t>Realizado (%)</w:t>
            </w:r>
          </w:p>
        </w:tc>
        <w:tc>
          <w:tcPr>
            <w:tcW w:type="dxa" w:w="2160"/>
          </w:tcPr>
          <w:p>
            <w:r>
              <w:t>Desvio (p.p.)</w:t>
            </w:r>
          </w:p>
        </w:tc>
      </w:tr>
      <w:tr>
        <w:tc>
          <w:tcPr>
            <w:tcW w:type="dxa" w:w="2160"/>
          </w:tcPr>
          <w:p>
            <w:r>
              <w:t>PRJ-0442</w:t>
            </w:r>
          </w:p>
        </w:tc>
        <w:tc>
          <w:tcPr>
            <w:tcW w:type="dxa" w:w="2160"/>
          </w:tcPr>
          <w:p>
            <w:r>
              <w:t>68.0</w:t>
            </w:r>
          </w:p>
        </w:tc>
        <w:tc>
          <w:tcPr>
            <w:tcW w:type="dxa" w:w="2160"/>
          </w:tcPr>
          <w:p>
            <w:r>
              <w:t>64.5</w:t>
            </w:r>
          </w:p>
        </w:tc>
        <w:tc>
          <w:tcPr>
            <w:tcW w:type="dxa" w:w="2160"/>
          </w:tcPr>
          <w:p>
            <w:r>
              <w:t>-3.5</w:t>
            </w:r>
          </w:p>
        </w:tc>
      </w:tr>
    </w:tbl>
    <w:p>
      <w:pPr>
        <w:pStyle w:val="Heading1"/>
      </w:pPr>
      <w:r>
        <w:t>4. Marcos e próximas entregas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Marco</w:t>
            </w:r>
          </w:p>
        </w:tc>
        <w:tc>
          <w:tcPr>
            <w:tcW w:type="dxa" w:w="2880"/>
          </w:tcPr>
          <w:p>
            <w:r>
              <w:t>Data prevista</w:t>
            </w:r>
          </w:p>
        </w:tc>
        <w:tc>
          <w:tcPr>
            <w:tcW w:type="dxa" w:w="2880"/>
          </w:tcPr>
          <w:p>
            <w:r>
              <w:t>Situação</w:t>
            </w:r>
          </w:p>
        </w:tc>
      </w:tr>
      <w:tr>
        <w:tc>
          <w:tcPr>
            <w:tcW w:type="dxa" w:w="2880"/>
          </w:tcPr>
          <w:p>
            <w:r>
              <w:t>Instalação do primeiro lote</w:t>
            </w:r>
          </w:p>
        </w:tc>
        <w:tc>
          <w:tcPr>
            <w:tcW w:type="dxa" w:w="2880"/>
          </w:tcPr>
          <w:p>
            <w:r>
              <w:t>2026-09-20</w:t>
            </w:r>
          </w:p>
        </w:tc>
        <w:tc>
          <w:tcPr>
            <w:tcW w:type="dxa" w:w="2880"/>
          </w:tcPr>
          <w:p>
            <w:r>
              <w:t>em_andamento</w:t>
            </w:r>
          </w:p>
        </w:tc>
      </w:tr>
    </w:tbl>
    <w:p>
      <w:pPr>
        <w:pStyle w:val="Heading1"/>
      </w:pPr>
      <w:r>
        <w:t>5. Riscos e pontos de atenção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Risco ou problema</w:t>
            </w:r>
          </w:p>
        </w:tc>
        <w:tc>
          <w:tcPr>
            <w:tcW w:type="dxa" w:w="2160"/>
          </w:tcPr>
          <w:p>
            <w:r>
              <w:t>Criticidade</w:t>
            </w:r>
          </w:p>
        </w:tc>
        <w:tc>
          <w:tcPr>
            <w:tcW w:type="dxa" w:w="2160"/>
          </w:tcPr>
          <w:p>
            <w:r>
              <w:t>Tratamento</w:t>
            </w:r>
          </w:p>
        </w:tc>
        <w:tc>
          <w:tcPr>
            <w:tcW w:type="dxa" w:w="2160"/>
          </w:tcPr>
          <w:p>
            <w:r>
              <w:t>Responsável</w:t>
            </w:r>
          </w:p>
        </w:tc>
      </w:tr>
      <w:tr>
        <w:tc>
          <w:tcPr>
            <w:tcW w:type="dxa" w:w="2160"/>
          </w:tcPr>
          <w:p>
            <w:r>
              <w:t>Restrição de janela operacional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Replanejar instalação por lotes e manter janela de contingência.</w:t>
            </w:r>
          </w:p>
        </w:tc>
        <w:tc>
          <w:tcPr>
            <w:tcW w:type="dxa" w:w="2160"/>
          </w:tcPr>
          <w:p>
            <w:r>
              <w:t>Coordenação de Implantação</w:t>
            </w:r>
          </w:p>
        </w:tc>
      </w:tr>
    </w:tbl>
    <w:p>
      <w:pPr>
        <w:pStyle w:val="Heading1"/>
      </w:pPr>
      <w:r>
        <w:t>6. Realizações, mudanças e decisões</w:t>
      </w:r>
    </w:p>
    <w:p>
      <w:pPr>
        <w:pStyle w:val="ListBullet"/>
      </w:pPr>
      <w:r>
        <w:t>PRJ-0442: Conclusão dos testes de bancada e liberação do primeiro lote para instalação.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Mudança</w:t>
            </w:r>
          </w:p>
        </w:tc>
        <w:tc>
          <w:tcPr>
            <w:tcW w:type="dxa" w:w="2880"/>
          </w:tcPr>
          <w:p>
            <w:r>
              <w:t>Situação</w:t>
            </w:r>
          </w:p>
        </w:tc>
        <w:tc>
          <w:tcPr>
            <w:tcW w:type="dxa" w:w="2880"/>
          </w:tcPr>
          <w:p>
            <w:r>
              <w:t>Impacto</w:t>
            </w:r>
          </w:p>
        </w:tc>
      </w:tr>
      <w:tr>
        <w:tc>
          <w:tcPr>
            <w:tcW w:type="dxa" w:w="2880"/>
          </w:tcPr>
          <w:p>
            <w:r>
              <w:t>Reprogramação da instalação do lote 2</w:t>
            </w:r>
          </w:p>
        </w:tc>
        <w:tc>
          <w:tcPr>
            <w:tcW w:type="dxa" w:w="2880"/>
          </w:tcPr>
          <w:p>
            <w:r>
              <w:t>aprovada</w:t>
            </w:r>
          </w:p>
        </w:tc>
        <w:tc>
          <w:tcPr>
            <w:tcW w:type="dxa" w:w="2880"/>
          </w:tcPr>
          <w:p>
            <w:r>
              <w:t>Postergação de 14 dias sem alteração do marco final aprovado.</w:t>
            </w:r>
          </w:p>
        </w:tc>
      </w:tr>
    </w:tbl>
    <w:p>
      <w:pPr>
        <w:pStyle w:val="Heading1"/>
      </w:pPr>
      <w:r>
        <w:t>7. Benefícios e alinhamento estratégico</w:t>
      </w:r>
    </w:p>
    <w:p>
      <w:r>
        <w:t>Elevar a confiabilidade, a capacidade e a qualidade percebida da operação metroviária.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Benefício</w:t>
            </w:r>
          </w:p>
        </w:tc>
        <w:tc>
          <w:tcPr>
            <w:tcW w:type="dxa" w:w="2160"/>
          </w:tcPr>
          <w:p>
            <w:r>
              <w:t>Indicador</w:t>
            </w:r>
          </w:p>
        </w:tc>
        <w:tc>
          <w:tcPr>
            <w:tcW w:type="dxa" w:w="2160"/>
          </w:tcPr>
          <w:p>
            <w:r>
              <w:t>Valor esperado</w:t>
            </w:r>
          </w:p>
        </w:tc>
        <w:tc>
          <w:tcPr>
            <w:tcW w:type="dxa" w:w="2160"/>
          </w:tcPr>
          <w:p>
            <w:r>
              <w:t>Início da captura</w:t>
            </w:r>
          </w:p>
        </w:tc>
      </w:tr>
      <w:tr>
        <w:tc>
          <w:tcPr>
            <w:tcW w:type="dxa" w:w="2160"/>
          </w:tcPr>
          <w:p>
            <w:r>
              <w:t>Redução de falhas em equipamentos críticos</w:t>
            </w:r>
          </w:p>
        </w:tc>
        <w:tc>
          <w:tcPr>
            <w:tcW w:type="dxa" w:w="2160"/>
          </w:tcPr>
          <w:p>
            <w:r>
              <w:t>Falhas por milhão de quilômetros</w:t>
            </w:r>
          </w:p>
        </w:tc>
        <w:tc>
          <w:tcPr>
            <w:tcW w:type="dxa" w:w="2160"/>
          </w:tcPr>
          <w:p>
            <w:r>
              <w:t>redução de 12%</w:t>
            </w:r>
          </w:p>
        </w:tc>
        <w:tc>
          <w:tcPr>
            <w:tcW w:type="dxa" w:w="2160"/>
          </w:tcPr>
          <w:p>
            <w:r>
              <w:t>2027-01</w:t>
            </w:r>
          </w:p>
        </w:tc>
      </w:tr>
    </w:tbl>
    <w:p>
      <w:pPr>
        <w:pStyle w:val="Heading1"/>
      </w:pPr>
      <w:r>
        <w:t>8. Contexto adicional confirmado pelo usuário</w:t>
      </w:r>
    </w:p>
    <w:p>
      <w:r>
        <w:t>Destacar o próximo marco e o consumo do orçamento.</w:t>
      </w:r>
    </w:p>
    <w:p>
      <w:pPr>
        <w:pStyle w:val="Heading1"/>
      </w:pPr>
      <w:r>
        <w:t>Fontes, atualização e limitações</w:t>
      </w:r>
    </w:p>
    <w:p>
      <w:r>
        <w:t>Este documento foi gerado automaticamente a partir de uma fotografia imutável dos dados autorizados para o período confirmado.</w:t>
      </w:r>
    </w:p>
    <w:p>
      <w:pPr>
        <w:pStyle w:val="ListBullet"/>
      </w:pPr>
      <w:r>
        <w:t>Cronograma sintético do portfólio — Cronograma CP!A9:AK20 — atualização: 30/08/2026 12:00 Hora oficial do Brasil</w:t>
      </w:r>
    </w:p>
    <w:p>
      <w:pPr>
        <w:pStyle w:val="ListBullet"/>
      </w:pPr>
      <w:r>
        <w:t>Mapa sintético de benefícios — Benefícios!A1:H5 — atualização: 28/08/2026 17:00 Hora oficial do Brasil</w:t>
      </w:r>
    </w:p>
    <w:p>
      <w:pPr>
        <w:pStyle w:val="ListBullet"/>
      </w:pPr>
      <w:r>
        <w:t>Base sintética de riscos e situação — mock://portfolio/status/2026-08 — atualização: 31/08/2026 18:00 Hora oficial do Brasil</w:t>
      </w:r>
    </w:p>
    <w:p>
      <w:pPr>
        <w:pStyle w:val="ListBullet"/>
      </w:pPr>
      <w:r>
        <w:t>Limitação: A massa utilizada é sintética e não representa o ambiente corporativo do Metrô.</w:t>
      </w:r>
    </w:p>
    <w:p>
      <w:pPr>
        <w:pStyle w:val="ListBullet"/>
      </w:pPr>
      <w:r>
        <w:t>Limitação: Valores financeiros e benefícios realizados não estão disponíveis neste recorte.</w:t>
      </w:r>
    </w:p>
    <w:p>
      <w:pPr>
        <w:pStyle w:val="ListBullet"/>
      </w:pPr>
      <w:r>
        <w:t>Limitação: A integração real com Power Automate, AI Builder e identidade corporativa depende de provisionamento externo.</w:t>
      </w:r>
    </w:p>
    <w:p>
      <w:r>
        <w:t>Identificadores: execução a7176e17-6ce3-4d4d-812b-7fc251d7d4ea; correlação 8fa8f7f0-b4c3-46c3-80c2-18622611157a; contrato 1.0.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