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Heading2"/>
        <w:rPr>
          <w:color w:val="1a703a"/>
        </w:rPr>
      </w:pPr>
      <w:bookmarkStart w:colFirst="0" w:colLast="0" w:name="_heading=h.fuuxw87etzty" w:id="0"/>
      <w:bookmarkEnd w:id="0"/>
      <w:r>
        <w:rPr>
          <w:color w:val="1a703a"/>
          <w:rtl w:val="0"/>
        </w:rPr>
        <w:t xml:space="preserve">Experiment Analysis</w:t>
      </w:r>
    </w:p>
    <w:p w14:paraId="00000002">
      <w:pPr>
        <w:rPr>
          <w:rFonts w:ascii="Georgia" w:cs="Georgia" w:eastAsia="Georgia" w:hAnsi="Georgia"/>
          <w:color w:val="002715"/>
        </w:rPr>
      </w:pPr>
      <w:r>
        <w:rPr>
          <w:rtl w:val="0"/>
        </w:rPr>
      </w:r>
    </w:p>
    <w:p w14:paraId="00000003">
      <w:pPr>
        <w:rPr>
          <w:rFonts w:ascii="Georgia" w:cs="Georgia" w:eastAsia="Georgia" w:hAnsi="Georgia"/>
          <w:color w:val="002715"/>
        </w:rPr>
      </w:pPr>
      <w:r>
        <w:rPr>
          <w:rtl w:val="0"/>
        </w:rPr>
      </w:r>
    </w:p>
    <w:p w14:paraId="00000004">
      <w:pPr>
        <w:rPr>
          <w:rFonts w:ascii="Georgia" w:cs="Georgia" w:eastAsia="Georgia" w:hAnsi="Georgia"/>
          <w:color w:val="002715"/>
        </w:rPr>
      </w:pPr>
      <w:r>
        <w:rPr>
          <w:rtl w:val="0"/>
        </w:rPr>
      </w:r>
      <w:r>
        <mc:AlternateContent>
          <mc:Choice Requires="wpg">
            <w:drawing>
              <wp:anchor allowOverlap="1" behindDoc="0" distB="228600" distT="228600" distL="228600" distR="228600" hidden="0" layoutInCell="1" locked="0" relativeHeight="0" simplePos="0">
                <wp:simplePos x="0" y="0"/>
                <wp:positionH relativeFrom="column">
                  <wp:posOffset>2600325</wp:posOffset>
                </wp:positionH>
                <wp:positionV relativeFrom="paragraph">
                  <wp:posOffset>352425</wp:posOffset>
                </wp:positionV>
                <wp:extent cx="742950" cy="16449"/>
                <wp:effectExtent b="0" l="0" r="0" t="0"/>
                <wp:wrapTopAndBottom distB="228600" distT="228600"/>
                <wp:docPr id="1" name=""/>
                <a:graphic>
                  <a:graphicData uri="http://schemas.microsoft.com/office/word/2010/wordprocessingShape">
                    <wps:wsp>
                      <wps:cNvSpPr/>
                      <wps:cNvPr id="2" name="Shape 2"/>
                      <wps:spPr>
                        <a:xfrm>
                          <a:off x="4060250" y="3527350"/>
                          <a:ext cx="2563200" cy="33900"/>
                        </a:xfrm>
                        <a:prstGeom prst="rect">
                          <a:avLst/>
                        </a:prstGeom>
                        <a:solidFill>
                          <a:srgbClr val="1A703A"/>
                        </a:solidFill>
                        <a:ln>
                          <a:noFill/>
                        </a:ln>
                      </wps:spPr>
                      <wps:txbx>
                        <w:txbxContent>
                          <w:p>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228600" distT="228600" distL="228600" distR="228600" hidden="0" layoutInCell="1" locked="0" relativeHeight="0" simplePos="0">
                <wp:simplePos x="0" y="0"/>
                <wp:positionH relativeFrom="column">
                  <wp:posOffset>2600325</wp:posOffset>
                </wp:positionH>
                <wp:positionV relativeFrom="paragraph">
                  <wp:posOffset>352425</wp:posOffset>
                </wp:positionV>
                <wp:extent cx="742950" cy="16449"/>
                <wp:effectExtent b="0" l="0" r="0" t="0"/>
                <wp:wrapTopAndBottom distB="228600" distT="2286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42950" cy="16449"/>
                        </a:xfrm>
                        <a:prstGeom prst="rect"/>
                        <a:ln/>
                      </pic:spPr>
                    </pic:pic>
                  </a:graphicData>
                </a:graphic>
              </wp:anchor>
            </w:drawing>
          </mc:Fallback>
        </mc:AlternateContent>
      </w:r>
    </w:p>
    <w:p w14:paraId="00000005">
      <w:pPr>
        <w:rPr>
          <w:rFonts w:ascii="Georgia" w:cs="Georgia" w:eastAsia="Georgia" w:hAnsi="Georgia"/>
          <w:color w:val="002715"/>
        </w:rPr>
      </w:pPr>
      <w:r>
        <w:rPr>
          <w:rtl w:val="0"/>
        </w:rPr>
      </w:r>
    </w:p>
    <w:p w14:paraId="00000006">
      <w:pPr>
        <w:rPr>
          <w:rFonts w:ascii="Georgia" w:cs="Georgia" w:eastAsia="Georgia" w:hAnsi="Georgia"/>
          <w:color w:val="002715"/>
        </w:rPr>
      </w:pPr>
      <w:r>
        <w:rPr>
          <w:rtl w:val="0"/>
        </w:rPr>
      </w:r>
    </w:p>
    <w:p w14:paraId="00000007">
      <w:pPr>
        <w:pStyle w:val="Title"/>
        <w:rPr>
          <w:rFonts w:ascii="Georgia" w:cs="Georgia" w:eastAsia="Georgia" w:hAnsi="Georgia"/>
          <w:color w:val="1a703a"/>
        </w:rPr>
      </w:pPr>
      <w:r>
        <w:rPr>
          <w:rFonts w:ascii="Georgia" w:cs="Georgia" w:eastAsia="Georgia" w:hAnsi="Georgia"/>
          <w:color w:val="1a703a"/>
          <w:rtl w:val="0"/>
        </w:rPr>
        <w:t xml:space="preserve">AIMZ Egypt</w:t>
      </w:r>
    </w:p>
    <w:p w14:paraId="00000008">
      <w:pPr>
        <w:pStyle w:val="Title"/>
        <w:rPr>
          <w:rFonts w:ascii="Georgia" w:cs="Georgia" w:eastAsia="Georgia" w:hAnsi="Georgia"/>
          <w:color w:val="1a703a"/>
        </w:rPr>
      </w:pPr>
      <w:r>
        <w:rPr>
          <w:rFonts w:ascii="Georgia" w:cs="Georgia" w:eastAsia="Georgia" w:hAnsi="Georgia"/>
          <w:color w:val="1a703a"/>
          <w:rtl w:val="0"/>
        </w:rPr>
        <w:t xml:space="preserve">MVP Validation Plan</w:t>
      </w:r>
    </w:p>
    <w:p w14:paraId="00000009">
      <w:pPr>
        <w:pStyle w:val="Heading3"/>
        <w:rPr>
          <w:color w:val="105128"/>
        </w:rPr>
      </w:pPr>
      <w:bookmarkStart w:colFirst="0" w:colLast="0" w:name="_heading=h.vj0y3v9ru4fn" w:id="1"/>
      <w:bookmarkEnd w:id="1"/>
      <w:r>
        <w:rPr>
          <w:rtl w:val="0"/>
        </w:rPr>
      </w:r>
    </w:p>
    <w:p w14:paraId="0000000A">
      <w:pPr>
        <w:pStyle w:val="Heading3"/>
        <w:rPr>
          <w:color w:val="105128"/>
        </w:rPr>
      </w:pPr>
      <w:bookmarkStart w:colFirst="0" w:colLast="0" w:name="_heading=h.r64a6lc0ytip" w:id="2"/>
      <w:bookmarkEnd w:id="2"/>
      <w:r>
        <w:rPr>
          <w:rtl w:val="0"/>
        </w:rPr>
      </w:r>
    </w:p>
    <w:p w14:paraId="0000000B">
      <w:pPr>
        <w:pStyle w:val="Heading3"/>
        <w:rPr>
          <w:color w:val="105128"/>
        </w:rPr>
      </w:pPr>
      <w:bookmarkStart w:colFirst="0" w:colLast="0" w:name="_heading=h.8n89tlutz5i6" w:id="3"/>
      <w:bookmarkEnd w:id="3"/>
      <w:r>
        <w:rPr>
          <w:rtl w:val="0"/>
        </w:rPr>
      </w:r>
    </w:p>
    <w:p w14:paraId="0000000C">
      <w:pPr>
        <w:pStyle w:val="Heading3"/>
        <w:rPr>
          <w:color w:val="053b22"/>
        </w:rPr>
      </w:pPr>
      <w:bookmarkStart w:colFirst="0" w:colLast="0" w:name="_heading=h.rnjlnh61vquq" w:id="4"/>
      <w:bookmarkEnd w:id="4"/>
      <w:r>
        <w:rPr>
          <w:rtl w:val="0"/>
        </w:rPr>
      </w:r>
    </w:p>
    <w:p w14:paraId="0000000D">
      <w:pPr>
        <w:rPr>
          <w:color w:val="002715"/>
        </w:rPr>
      </w:pPr>
      <w:r>
        <w:rPr>
          <w:rtl w:val="0"/>
        </w:rPr>
      </w:r>
    </w:p>
    <w:p w14:paraId="0000000E">
      <w:pPr>
        <w:rPr>
          <w:color w:val="002715"/>
        </w:rPr>
      </w:pPr>
      <w:r>
        <w:rPr>
          <w:rtl w:val="0"/>
        </w:rPr>
      </w:r>
    </w:p>
    <w:p w14:paraId="0000000F">
      <w:pPr>
        <w:rPr>
          <w:color w:val="002715"/>
        </w:rPr>
      </w:pPr>
      <w:r>
        <w:rPr>
          <w:rtl w:val="0"/>
        </w:rPr>
      </w:r>
    </w:p>
    <w:p w14:paraId="00000010">
      <w:pPr>
        <w:rPr>
          <w:color w:val="002715"/>
        </w:rPr>
      </w:pPr>
      <w:r>
        <w:rPr>
          <w:rtl w:val="0"/>
        </w:rPr>
      </w:r>
    </w:p>
    <w:p w14:paraId="00000011">
      <w:pPr>
        <w:rPr>
          <w:color w:val="002715"/>
        </w:rPr>
      </w:pPr>
      <w:r>
        <w:rPr>
          <w:rtl w:val="0"/>
        </w:rPr>
      </w:r>
    </w:p>
    <w:p w14:paraId="00000012">
      <w:pPr>
        <w:rPr>
          <w:color w:val="002715"/>
        </w:rPr>
      </w:pPr>
      <w:r>
        <w:rPr>
          <w:rtl w:val="0"/>
        </w:rPr>
      </w:r>
    </w:p>
    <w:p w14:paraId="00000013">
      <w:pPr>
        <w:rPr>
          <w:color w:val="002715"/>
        </w:rPr>
      </w:pPr>
      <w:r>
        <w:rPr>
          <w:rtl w:val="0"/>
        </w:rPr>
      </w:r>
    </w:p>
    <w:p w14:paraId="00000014">
      <w:pPr>
        <w:rPr>
          <w:color w:val="002715"/>
        </w:rPr>
      </w:pPr>
      <w:r>
        <w:rPr>
          <w:rtl w:val="0"/>
        </w:rPr>
      </w:r>
    </w:p>
    <w:p w14:paraId="00000015">
      <w:pPr>
        <w:rPr>
          <w:color w:val="002715"/>
        </w:rPr>
      </w:pPr>
      <w:r>
        <w:rPr>
          <w:rtl w:val="0"/>
        </w:rPr>
      </w:r>
    </w:p>
    <w:p w14:paraId="00000016">
      <w:pPr>
        <w:rPr>
          <w:color w:val="002715"/>
        </w:rPr>
      </w:pPr>
      <w:r>
        <w:rPr>
          <w:rtl w:val="0"/>
        </w:rPr>
      </w:r>
    </w:p>
    <w:p w14:paraId="00000017">
      <w:pPr>
        <w:rPr>
          <w:color w:val="434343"/>
        </w:rPr>
      </w:pPr>
      <w:r>
        <w:rPr>
          <w:rtl w:val="0"/>
        </w:rPr>
      </w:r>
    </w:p>
    <w:p w14:paraId="00000018">
      <w:pPr>
        <w:pStyle w:val="Heading3"/>
        <w:rPr>
          <w:color w:val="000000"/>
        </w:rPr>
      </w:pPr>
      <w:bookmarkStart w:colFirst="0" w:colLast="0" w:name="_heading=h.a28c2t63c20t" w:id="5"/>
      <w:bookmarkEnd w:id="5"/>
      <w:r>
        <w:rPr>
          <w:color w:val="000000"/>
          <w:rtl w:val="0"/>
        </w:rPr>
        <w:t xml:space="preserve">Prepared for AIMZ Egypt</w:t>
      </w:r>
    </w:p>
    <w:p w14:paraId="00000019">
      <w:pPr>
        <w:pStyle w:val="Heading3"/>
        <w:rPr>
          <w:color w:val="000000"/>
        </w:rPr>
      </w:pPr>
      <w:bookmarkStart w:colFirst="0" w:colLast="0" w:name="_heading=h.io4lnv62zpnv" w:id="6"/>
      <w:bookmarkEnd w:id="6"/>
      <w:r>
        <w:rPr>
          <w:color w:val="000000"/>
          <w:rtl w:val="0"/>
        </w:rPr>
        <w:t xml:space="preserve">August 18, 2026</w:t>
      </w:r>
    </w:p>
    <w:p w14:paraId="0000001A">
      <w:pPr>
        <w:pStyle w:val="Heading3"/>
        <w:rPr>
          <w:color w:val="000000"/>
        </w:rPr>
      </w:pPr>
      <w:bookmarkStart w:colFirst="0" w:colLast="0" w:name="_heading=h.l0z5dez015hw" w:id="7"/>
      <w:bookmarkEnd w:id="7"/>
      <w:r>
        <w:br w:type="page"/>
      </w:r>
      <w:r>
        <w:rPr>
          <w:rtl w:val="0"/>
        </w:rPr>
      </w:r>
    </w:p>
    <w:p w14:paraId="0000001B">
      <w:pPr>
        <w:pStyle w:val="Heading1"/>
        <w:rPr/>
      </w:pPr>
      <w:r>
        <w:rPr>
          <w:rtl w:val="0"/>
        </w:rPr>
        <w:t xml:space="preserve">Document Control</w:t>
      </w:r>
    </w:p>
    <w:p w14:paraId="0000001C">
      <w:pPr>
        <w:rPr/>
      </w:pPr>
      <w:r>
        <w:rPr>
          <w:rtl w:val="0"/>
        </w:rPr>
      </w:r>
    </w:p>
    <w:tbl>
      <w:tblPr>
        <w:tblStyle w:val="Table1"/>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405"/>
        <w:gridCol w:w="6945"/>
        <w:tblGridChange w:id="0">
          <w:tblGrid>
            <w:gridCol w:w="2405"/>
            <w:gridCol w:w="6945"/>
          </w:tblGrid>
        </w:tblGridChange>
      </w:tblGrid>
      <w:tr>
        <w:trPr>
          <w:cantSplit w:val="0"/>
          <w:trHeight w:val="431.99999999999994" w:hRule="atLeast"/>
          <w:tblHeader w:val="0"/>
        </w:trPr>
        <w:tc>
          <w:tcPr>
            <w:vAlign w:val="center"/>
          </w:tcPr>
          <w:p w14:paraId="0000001D">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Version</w:t>
            </w:r>
          </w:p>
        </w:tc>
        <w:tc>
          <w:tcPr>
            <w:vAlign w:val="center"/>
          </w:tcPr>
          <w:p w14:paraId="0000001E">
            <w:pPr>
              <w:rPr>
                <w:rFonts w:ascii="Georgia" w:cs="Georgia" w:eastAsia="Georgia" w:hAnsi="Georgia"/>
                <w:sz w:val="20"/>
                <w:szCs w:val="20"/>
              </w:rPr>
            </w:pPr>
            <w:r>
              <w:rPr>
                <w:rFonts w:ascii="Georgia" w:cs="Georgia" w:eastAsia="Georgia" w:hAnsi="Georgia"/>
                <w:sz w:val="20"/>
                <w:szCs w:val="20"/>
                <w:rtl w:val="0"/>
              </w:rPr>
              <w:t xml:space="preserve">0.1</w:t>
            </w:r>
          </w:p>
        </w:tc>
      </w:tr>
      <w:tr>
        <w:trPr>
          <w:cantSplit w:val="0"/>
          <w:trHeight w:val="431.99999999999994" w:hRule="atLeast"/>
          <w:tblHeader w:val="0"/>
        </w:trPr>
        <w:tc>
          <w:tcPr>
            <w:vAlign w:val="center"/>
          </w:tcPr>
          <w:p w14:paraId="0000001F">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Prepared By</w:t>
            </w:r>
          </w:p>
        </w:tc>
        <w:tc>
          <w:tcPr>
            <w:vAlign w:val="center"/>
          </w:tcPr>
          <w:p w14:paraId="00000020">
            <w:pPr>
              <w:rPr>
                <w:rFonts w:ascii="Georgia" w:cs="Georgia" w:eastAsia="Georgia" w:hAnsi="Georgia"/>
                <w:sz w:val="20"/>
                <w:szCs w:val="20"/>
              </w:rPr>
            </w:pPr>
            <w:r>
              <w:rPr>
                <w:rFonts w:ascii="Georgia" w:cs="Georgia" w:eastAsia="Georgia" w:hAnsi="Georgia"/>
                <w:sz w:val="20"/>
                <w:szCs w:val="20"/>
                <w:rtl w:val="0"/>
              </w:rPr>
              <w:t xml:space="preserve">AIMZ product planning</w:t>
            </w:r>
          </w:p>
        </w:tc>
      </w:tr>
      <w:tr>
        <w:trPr>
          <w:cantSplit w:val="0"/>
          <w:trHeight w:val="431.99999999999994" w:hRule="atLeast"/>
          <w:tblHeader w:val="0"/>
        </w:trPr>
        <w:tc>
          <w:tcPr>
            <w:vAlign w:val="center"/>
          </w:tcPr>
          <w:p w14:paraId="00000021">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Reviewers</w:t>
            </w:r>
          </w:p>
        </w:tc>
        <w:tc>
          <w:tcPr>
            <w:vAlign w:val="center"/>
          </w:tcPr>
          <w:p w14:paraId="00000022">
            <w:pPr>
              <w:rPr>
                <w:rFonts w:ascii="Georgia" w:cs="Georgia" w:eastAsia="Georgia" w:hAnsi="Georgia"/>
                <w:sz w:val="20"/>
                <w:szCs w:val="20"/>
              </w:rPr>
            </w:pPr>
            <w:r>
              <w:rPr>
                <w:rFonts w:ascii="Georgia" w:cs="Georgia" w:eastAsia="Georgia" w:hAnsi="Georgia"/>
                <w:sz w:val="20"/>
                <w:szCs w:val="20"/>
                <w:rtl w:val="0"/>
              </w:rPr>
              <w:t xml:space="preserve">AIMZ owner and academy operations (to confirm)</w:t>
            </w:r>
          </w:p>
        </w:tc>
      </w:tr>
      <w:tr>
        <w:trPr>
          <w:cantSplit w:val="0"/>
          <w:trHeight w:val="431.99999999999994" w:hRule="atLeast"/>
          <w:tblHeader w:val="0"/>
        </w:trPr>
        <w:tc>
          <w:tcPr>
            <w:vAlign w:val="center"/>
          </w:tcPr>
          <w:p w14:paraId="00000023">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Date Prepared</w:t>
            </w:r>
          </w:p>
        </w:tc>
        <w:tc>
          <w:tcPr>
            <w:vAlign w:val="center"/>
          </w:tcPr>
          <w:p w14:paraId="00000024">
            <w:pPr>
              <w:rPr>
                <w:rFonts w:ascii="Georgia" w:cs="Georgia" w:eastAsia="Georgia" w:hAnsi="Georgia"/>
                <w:sz w:val="20"/>
                <w:szCs w:val="20"/>
              </w:rPr>
            </w:pPr>
            <w:r>
              <w:rPr>
                <w:rFonts w:ascii="Georgia" w:cs="Georgia" w:eastAsia="Georgia" w:hAnsi="Georgia"/>
                <w:sz w:val="20"/>
                <w:szCs w:val="20"/>
                <w:rtl w:val="0"/>
              </w:rPr>
              <w:t xml:space="preserve">August 18, 2026</w:t>
            </w:r>
          </w:p>
        </w:tc>
      </w:tr>
      <w:tr>
        <w:trPr>
          <w:cantSplit w:val="0"/>
          <w:trHeight w:val="431.99999999999994" w:hRule="atLeast"/>
          <w:tblHeader w:val="0"/>
        </w:trPr>
        <w:tc>
          <w:tcPr>
            <w:vAlign w:val="center"/>
          </w:tcPr>
          <w:p w14:paraId="00000025">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Reporting Window</w:t>
            </w:r>
          </w:p>
        </w:tc>
        <w:tc>
          <w:tcPr>
            <w:vAlign w:val="center"/>
          </w:tcPr>
          <w:p w14:paraId="00000026">
            <w:pPr>
              <w:rPr>
                <w:rFonts w:ascii="Georgia" w:cs="Georgia" w:eastAsia="Georgia" w:hAnsi="Georgia"/>
                <w:sz w:val="20"/>
                <w:szCs w:val="20"/>
              </w:rPr>
            </w:pPr>
            <w:r>
              <w:rPr>
                <w:rFonts w:ascii="Georgia" w:cs="Georgia" w:eastAsia="Georgia" w:hAnsi="Georgia"/>
                <w:sz w:val="20"/>
                <w:szCs w:val="20"/>
                <w:rtl w:val="0"/>
              </w:rPr>
              <w:t xml:space="preserve">Pre-launch planning; experiment not yet scheduled</w:t>
            </w:r>
          </w:p>
        </w:tc>
      </w:tr>
      <w:tr>
        <w:trPr>
          <w:cantSplit w:val="0"/>
          <w:trHeight w:val="431.99999999999994" w:hRule="atLeast"/>
          <w:tblHeader w:val="0"/>
        </w:trPr>
        <w:tc>
          <w:tcPr>
            <w:vAlign w:val="center"/>
          </w:tcPr>
          <w:p w14:paraId="00000027">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Status</w:t>
            </w:r>
          </w:p>
        </w:tc>
        <w:tc>
          <w:tcPr>
            <w:vAlign w:val="center"/>
          </w:tcPr>
          <w:p w14:paraId="00000028">
            <w:pPr>
              <w:rPr>
                <w:rFonts w:ascii="Georgia" w:cs="Georgia" w:eastAsia="Georgia" w:hAnsi="Georgia"/>
                <w:sz w:val="20"/>
                <w:szCs w:val="20"/>
              </w:rPr>
            </w:pPr>
            <w:r>
              <w:rPr>
                <w:rFonts w:ascii="Georgia" w:cs="Georgia" w:eastAsia="Georgia" w:hAnsi="Georgia"/>
                <w:sz w:val="20"/>
                <w:szCs w:val="20"/>
                <w:rtl w:val="0"/>
              </w:rPr>
              <w:t xml:space="preserve">Draft</w:t>
            </w:r>
          </w:p>
        </w:tc>
      </w:tr>
    </w:tbl>
    <w:p w14:paraId="00000029">
      <w:pPr>
        <w:rPr>
          <w:rFonts w:ascii="Georgia" w:cs="Georgia" w:eastAsia="Georgia" w:hAnsi="Georgia"/>
        </w:rPr>
      </w:pPr>
      <w:r>
        <w:rPr>
          <w:rtl w:val="0"/>
        </w:rPr>
      </w:r>
    </w:p>
    <w:p w14:paraId="0000002A">
      <w:pPr>
        <w:pStyle w:val="Heading1"/>
        <w:rPr/>
      </w:pPr>
      <w:r>
        <w:rPr>
          <w:rtl w:val="0"/>
        </w:rPr>
        <w:t xml:space="preserve">Purpose</w:t>
      </w:r>
    </w:p>
    <w:p w14:paraId="0000002B">
      <w:pPr>
        <w:spacing w:after="240" w:before="240" w:lineRule="auto"/>
        <w:jc w:val="both"/>
        <w:rPr>
          <w:rFonts w:ascii="Georgia" w:cs="Georgia" w:eastAsia="Georgia" w:hAnsi="Georgia"/>
        </w:rPr>
      </w:pPr>
      <w:r>
        <w:rPr>
          <w:rFonts w:ascii="Georgia" w:cs="Georgia" w:eastAsia="Georgia" w:hAnsi="Georgia"/>
          <w:rtl w:val="0"/>
        </w:rPr>
        <w:t xml:space="preserve">This document defines how AIMZ Egypt can validate an iOS scores app for its girls' football academy. It covers the product hypothesis, pilot method, measurement plan, limitations, and the evidence required for a launch decision.</w:t>
      </w:r>
    </w:p>
    <w:p w14:paraId="0000002C">
      <w:pPr>
        <w:spacing w:after="240" w:lineRule="auto"/>
        <w:jc w:val="both"/>
        <w:rPr>
          <w:rFonts w:ascii="Georgia" w:cs="Georgia" w:eastAsia="Georgia" w:hAnsi="Georgia"/>
        </w:rPr>
      </w:pPr>
      <w:r>
        <w:rPr>
          <w:rFonts w:ascii="Georgia" w:cs="Georgia" w:eastAsia="Georgia" w:hAnsi="Georgia"/>
          <w:rtl w:val="0"/>
        </w:rPr>
        <w:t xml:space="preserve">It is a pre-launch analysis record for the AIMZ owner, academy operations, and the product team. Keeping the plan before data collection makes later decisions auditable and prevents results from determining the success rules.</w:t>
      </w:r>
    </w:p>
    <w:p w14:paraId="0000002D">
      <w:pPr>
        <w:spacing w:after="240" w:lineRule="auto"/>
        <w:jc w:val="both"/>
        <w:rPr>
          <w:rFonts w:ascii="Georgia" w:cs="Georgia" w:eastAsia="Georgia" w:hAnsi="Georgia"/>
        </w:rPr>
      </w:pPr>
      <w:r>
        <w:rPr>
          <w:rtl w:val="0"/>
        </w:rPr>
      </w:r>
    </w:p>
    <w:p w14:paraId="0000002E">
      <w:pPr>
        <w:pStyle w:val="Heading1"/>
        <w:rPr>
          <w:rFonts w:ascii="Georgia" w:cs="Georgia" w:eastAsia="Georgia" w:hAnsi="Georgia"/>
        </w:rPr>
      </w:pPr>
      <w:r>
        <w:rPr>
          <w:rFonts w:ascii="Georgia" w:cs="Georgia" w:eastAsia="Georgia" w:hAnsi="Georgia"/>
          <w:rtl w:val="0"/>
        </w:rPr>
        <w:t xml:space="preserve">Business Context</w:t>
      </w:r>
    </w:p>
    <w:p w14:paraId="0000002F">
      <w:pPr>
        <w:spacing w:after="240" w:before="240" w:lineRule="auto"/>
        <w:jc w:val="both"/>
        <w:rPr>
          <w:rFonts w:ascii="Georgia" w:cs="Georgia" w:eastAsia="Georgia" w:hAnsi="Georgia"/>
        </w:rPr>
      </w:pPr>
      <w:r>
        <w:rPr>
          <w:rFonts w:ascii="Georgia" w:cs="Georgia" w:eastAsia="Georgia" w:hAnsi="Georgia"/>
          <w:rtl w:val="0"/>
        </w:rPr>
        <w:t xml:space="preserve">AIMZ Egypt is a sports services agency and girls' football academy. The proposed app brings fixtures, live scores, results, standings, and player statistics into one member-facing service, with role-gated entry tools for club admins. The current match-information workflow must be documented before the pilot.</w:t>
      </w:r>
    </w:p>
    <w:p w14:paraId="00000030">
      <w:pPr>
        <w:spacing w:after="240" w:before="240" w:lineRule="auto"/>
        <w:jc w:val="both"/>
        <w:rPr>
          <w:rFonts w:ascii="Georgia" w:cs="Georgia" w:eastAsia="Georgia" w:hAnsi="Georgia"/>
        </w:rPr>
      </w:pPr>
      <w:r>
        <w:rPr>
          <w:rFonts w:ascii="Georgia" w:cs="Georgia" w:eastAsia="Georgia" w:hAnsi="Georgia"/>
          <w:rtl w:val="0"/>
        </w:rPr>
        <w:t xml:space="preserve">The first test should focus on finding and trusting match information because that is the core value of a 365Scores-like experience. A staged pilot is reversible and limits operational risk while the club confirms squad labels and admin workflow.</w:t>
      </w:r>
    </w:p>
    <w:p w14:paraId="00000031">
      <w:pPr>
        <w:pStyle w:val="Heading1"/>
        <w:rPr>
          <w:rFonts w:ascii="Georgia" w:cs="Georgia" w:eastAsia="Georgia" w:hAnsi="Georgia"/>
        </w:rPr>
      </w:pPr>
      <w:r>
        <w:rPr>
          <w:rFonts w:ascii="Georgia" w:cs="Georgia" w:eastAsia="Georgia" w:hAnsi="Georgia"/>
          <w:rtl w:val="0"/>
        </w:rPr>
        <w:t xml:space="preserve">Experiment Summary</w:t>
      </w:r>
    </w:p>
    <w:p w14:paraId="00000032">
      <w:pPr>
        <w:rPr>
          <w:rFonts w:ascii="Georgia" w:cs="Georgia" w:eastAsia="Georgia" w:hAnsi="Georgia"/>
        </w:rPr>
      </w:pPr>
      <w:r>
        <w:rPr>
          <w:rtl w:val="0"/>
        </w:rPr>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547"/>
        <w:gridCol w:w="6803"/>
        <w:tblGridChange w:id="0">
          <w:tblGrid>
            <w:gridCol w:w="2547"/>
            <w:gridCol w:w="6803"/>
          </w:tblGrid>
        </w:tblGridChange>
      </w:tblGrid>
      <w:tr>
        <w:trPr>
          <w:cantSplit w:val="0"/>
          <w:trHeight w:val="431.99999999999994" w:hRule="atLeast"/>
          <w:tblHeader w:val="0"/>
        </w:trPr>
        <w:tc>
          <w:tcPr>
            <w:shd w:fill="f3f3f3" w:val="clear"/>
            <w:vAlign w:val="center"/>
          </w:tcPr>
          <w:p w14:paraId="00000033">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Field</w:t>
            </w:r>
          </w:p>
        </w:tc>
        <w:tc>
          <w:tcPr>
            <w:shd w:fill="f3f3f3" w:val="clear"/>
            <w:vAlign w:val="center"/>
          </w:tcPr>
          <w:p w14:paraId="00000034">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Details</w:t>
            </w:r>
          </w:p>
        </w:tc>
      </w:tr>
      <w:tr>
        <w:trPr>
          <w:cantSplit w:val="0"/>
          <w:trHeight w:val="431.99999999999994" w:hRule="atLeast"/>
          <w:tblHeader w:val="0"/>
        </w:trPr>
        <w:tc>
          <w:tcPr>
            <w:vAlign w:val="center"/>
          </w:tcPr>
          <w:p w14:paraId="00000035">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Experiment Name</w:t>
            </w:r>
          </w:p>
        </w:tc>
        <w:tc>
          <w:tcPr>
            <w:vAlign w:val="center"/>
          </w:tcPr>
          <w:p w14:paraId="00000036">
            <w:pPr>
              <w:rPr>
                <w:rFonts w:ascii="Georgia" w:cs="Georgia" w:eastAsia="Georgia" w:hAnsi="Georgia"/>
                <w:sz w:val="20"/>
                <w:szCs w:val="20"/>
              </w:rPr>
            </w:pPr>
            <w:r>
              <w:rPr>
                <w:rFonts w:ascii="Georgia" w:cs="Georgia" w:eastAsia="Georgia" w:hAnsi="Georgia"/>
                <w:sz w:val="20"/>
                <w:szCs w:val="20"/>
                <w:rtl w:val="0"/>
              </w:rPr>
              <w:t xml:space="preserve">AIMZ Scores MVP validation</w:t>
            </w:r>
          </w:p>
        </w:tc>
      </w:tr>
      <w:tr>
        <w:trPr>
          <w:cantSplit w:val="0"/>
          <w:trHeight w:val="431.99999999999994" w:hRule="atLeast"/>
          <w:tblHeader w:val="0"/>
        </w:trPr>
        <w:tc>
          <w:tcPr>
            <w:vAlign w:val="center"/>
          </w:tcPr>
          <w:p w14:paraId="00000037">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Experiment Key</w:t>
            </w:r>
          </w:p>
        </w:tc>
        <w:tc>
          <w:tcPr>
            <w:vAlign w:val="center"/>
          </w:tcPr>
          <w:p w14:paraId="00000038">
            <w:pPr>
              <w:rPr>
                <w:rFonts w:ascii="Georgia" w:cs="Georgia" w:eastAsia="Georgia" w:hAnsi="Georgia"/>
                <w:sz w:val="20"/>
                <w:szCs w:val="20"/>
              </w:rPr>
            </w:pPr>
            <w:r>
              <w:rPr>
                <w:rFonts w:ascii="Georgia" w:cs="Georgia" w:eastAsia="Georgia" w:hAnsi="Georgia"/>
                <w:sz w:val="20"/>
                <w:szCs w:val="20"/>
                <w:rtl w:val="0"/>
              </w:rPr>
              <w:t xml:space="preserve">AIMZ-MVP-01</w:t>
            </w:r>
          </w:p>
        </w:tc>
      </w:tr>
      <w:tr>
        <w:trPr>
          <w:cantSplit w:val="0"/>
          <w:trHeight w:val="431.99999999999994" w:hRule="atLeast"/>
          <w:tblHeader w:val="0"/>
        </w:trPr>
        <w:tc>
          <w:tcPr>
            <w:vAlign w:val="center"/>
          </w:tcPr>
          <w:p w14:paraId="00000039">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Owner Team</w:t>
            </w:r>
          </w:p>
        </w:tc>
        <w:tc>
          <w:tcPr>
            <w:vAlign w:val="center"/>
          </w:tcPr>
          <w:p w14:paraId="0000003A">
            <w:pPr>
              <w:rPr>
                <w:rFonts w:ascii="Georgia" w:cs="Georgia" w:eastAsia="Georgia" w:hAnsi="Georgia"/>
                <w:sz w:val="20"/>
                <w:szCs w:val="20"/>
              </w:rPr>
            </w:pPr>
            <w:r>
              <w:rPr>
                <w:rFonts w:ascii="Georgia" w:cs="Georgia" w:eastAsia="Georgia" w:hAnsi="Georgia"/>
                <w:sz w:val="20"/>
                <w:szCs w:val="20"/>
                <w:rtl w:val="0"/>
              </w:rPr>
              <w:t xml:space="preserve">AIMZ product and engineering (to confirm)</w:t>
            </w:r>
          </w:p>
        </w:tc>
      </w:tr>
      <w:tr>
        <w:trPr>
          <w:cantSplit w:val="0"/>
          <w:trHeight w:val="431.99999999999994" w:hRule="atLeast"/>
          <w:tblHeader w:val="0"/>
        </w:trPr>
        <w:tc>
          <w:tcPr>
            <w:vAlign w:val="center"/>
          </w:tcPr>
          <w:p w14:paraId="0000003B">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Business Owner</w:t>
            </w:r>
          </w:p>
        </w:tc>
        <w:tc>
          <w:tcPr>
            <w:vAlign w:val="center"/>
          </w:tcPr>
          <w:p w14:paraId="0000003C">
            <w:pPr>
              <w:rPr>
                <w:rFonts w:ascii="Georgia" w:cs="Georgia" w:eastAsia="Georgia" w:hAnsi="Georgia"/>
                <w:sz w:val="20"/>
                <w:szCs w:val="20"/>
              </w:rPr>
            </w:pPr>
            <w:r>
              <w:rPr>
                <w:rFonts w:ascii="Georgia" w:cs="Georgia" w:eastAsia="Georgia" w:hAnsi="Georgia"/>
                <w:sz w:val="20"/>
                <w:szCs w:val="20"/>
                <w:rtl w:val="0"/>
              </w:rPr>
              <w:t xml:space="preserve">AIMZ Egypt owner (to confirm)</w:t>
            </w:r>
          </w:p>
        </w:tc>
      </w:tr>
      <w:tr>
        <w:trPr>
          <w:cantSplit w:val="0"/>
          <w:trHeight w:val="431.99999999999994" w:hRule="atLeast"/>
          <w:tblHeader w:val="0"/>
        </w:trPr>
        <w:tc>
          <w:tcPr>
            <w:vAlign w:val="center"/>
          </w:tcPr>
          <w:p w14:paraId="0000003D">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Product Surface</w:t>
            </w:r>
          </w:p>
        </w:tc>
        <w:tc>
          <w:tcPr>
            <w:vAlign w:val="center"/>
          </w:tcPr>
          <w:p w14:paraId="0000003E">
            <w:pPr>
              <w:rPr>
                <w:rFonts w:ascii="Georgia" w:cs="Georgia" w:eastAsia="Georgia" w:hAnsi="Georgia"/>
                <w:sz w:val="20"/>
                <w:szCs w:val="20"/>
              </w:rPr>
            </w:pPr>
            <w:r>
              <w:rPr>
                <w:rFonts w:ascii="Georgia" w:cs="Georgia" w:eastAsia="Georgia" w:hAnsi="Georgia"/>
                <w:sz w:val="20"/>
                <w:szCs w:val="20"/>
                <w:rtl w:val="0"/>
              </w:rPr>
              <w:t xml:space="preserve">iOS scores and match-centre app</w:t>
            </w:r>
          </w:p>
        </w:tc>
      </w:tr>
      <w:tr>
        <w:trPr>
          <w:cantSplit w:val="0"/>
          <w:trHeight w:val="431.99999999999994" w:hRule="atLeast"/>
          <w:tblHeader w:val="0"/>
        </w:trPr>
        <w:tc>
          <w:tcPr>
            <w:vAlign w:val="center"/>
          </w:tcPr>
          <w:p w14:paraId="0000003F">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Primary Objective</w:t>
            </w:r>
          </w:p>
        </w:tc>
        <w:tc>
          <w:tcPr>
            <w:vAlign w:val="center"/>
          </w:tcPr>
          <w:p w14:paraId="00000040">
            <w:pPr>
              <w:rPr>
                <w:rFonts w:ascii="Georgia" w:cs="Georgia" w:eastAsia="Georgia" w:hAnsi="Georgia"/>
                <w:sz w:val="20"/>
                <w:szCs w:val="20"/>
              </w:rPr>
            </w:pPr>
            <w:r>
              <w:rPr>
                <w:rFonts w:ascii="Georgia" w:cs="Georgia" w:eastAsia="Georgia" w:hAnsi="Georgia"/>
                <w:sz w:val="20"/>
                <w:szCs w:val="20"/>
                <w:rtl w:val="0"/>
              </w:rPr>
              <w:t xml:space="preserve">Validate faster, reliable access to academy match information</w:t>
            </w:r>
          </w:p>
        </w:tc>
      </w:tr>
      <w:tr>
        <w:trPr>
          <w:cantSplit w:val="0"/>
          <w:trHeight w:val="431.99999999999994" w:hRule="atLeast"/>
          <w:tblHeader w:val="0"/>
        </w:trPr>
        <w:tc>
          <w:tcPr>
            <w:vAlign w:val="center"/>
          </w:tcPr>
          <w:p w14:paraId="00000041">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Control (Variant A)</w:t>
            </w:r>
          </w:p>
        </w:tc>
        <w:tc>
          <w:tcPr>
            <w:vAlign w:val="center"/>
          </w:tcPr>
          <w:p w14:paraId="00000042">
            <w:pPr>
              <w:rPr>
                <w:rFonts w:ascii="Georgia" w:cs="Georgia" w:eastAsia="Georgia" w:hAnsi="Georgia"/>
                <w:sz w:val="20"/>
                <w:szCs w:val="20"/>
              </w:rPr>
            </w:pPr>
            <w:r>
              <w:rPr>
                <w:rFonts w:ascii="Georgia" w:cs="Georgia" w:eastAsia="Georgia" w:hAnsi="Georgia"/>
                <w:sz w:val="20"/>
                <w:szCs w:val="20"/>
                <w:rtl w:val="0"/>
              </w:rPr>
              <w:t xml:space="preserve">Current academy process; document before pilot</w:t>
            </w:r>
          </w:p>
        </w:tc>
      </w:tr>
      <w:tr>
        <w:trPr>
          <w:cantSplit w:val="0"/>
          <w:trHeight w:val="431.99999999999994" w:hRule="atLeast"/>
          <w:tblHeader w:val="0"/>
        </w:trPr>
        <w:tc>
          <w:tcPr>
            <w:vAlign w:val="center"/>
          </w:tcPr>
          <w:p w14:paraId="00000043">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Treatment (Variant B)</w:t>
            </w:r>
          </w:p>
        </w:tc>
        <w:tc>
          <w:tcPr>
            <w:vAlign w:val="center"/>
          </w:tcPr>
          <w:p w14:paraId="00000044">
            <w:pPr>
              <w:rPr>
                <w:rFonts w:ascii="Georgia" w:cs="Georgia" w:eastAsia="Georgia" w:hAnsi="Georgia"/>
                <w:sz w:val="20"/>
                <w:szCs w:val="20"/>
              </w:rPr>
            </w:pPr>
            <w:r>
              <w:rPr>
                <w:rFonts w:ascii="Georgia" w:cs="Georgia" w:eastAsia="Georgia" w:hAnsi="Georgia"/>
                <w:sz w:val="20"/>
                <w:szCs w:val="20"/>
                <w:rtl w:val="0"/>
              </w:rPr>
              <w:t xml:space="preserve">AIMZ app with fixtures, scores, standings, and stats</w:t>
            </w:r>
          </w:p>
        </w:tc>
      </w:tr>
      <w:tr>
        <w:trPr>
          <w:cantSplit w:val="0"/>
          <w:trHeight w:val="431.99999999999994" w:hRule="atLeast"/>
          <w:tblHeader w:val="0"/>
        </w:trPr>
        <w:tc>
          <w:tcPr>
            <w:vAlign w:val="center"/>
          </w:tcPr>
          <w:p w14:paraId="00000045">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Allocation</w:t>
            </w:r>
          </w:p>
        </w:tc>
        <w:tc>
          <w:tcPr>
            <w:vAlign w:val="center"/>
          </w:tcPr>
          <w:p w14:paraId="00000046">
            <w:pPr>
              <w:rPr>
                <w:rFonts w:ascii="Georgia" w:cs="Georgia" w:eastAsia="Georgia" w:hAnsi="Georgia"/>
                <w:sz w:val="20"/>
                <w:szCs w:val="20"/>
              </w:rPr>
            </w:pPr>
            <w:r>
              <w:rPr>
                <w:rFonts w:ascii="Georgia" w:cs="Georgia" w:eastAsia="Georgia" w:hAnsi="Georgia"/>
                <w:sz w:val="20"/>
                <w:szCs w:val="20"/>
                <w:rtl w:val="0"/>
              </w:rPr>
              <w:t xml:space="preserve">Set before launch after pilot-size review</w:t>
            </w:r>
          </w:p>
        </w:tc>
      </w:tr>
      <w:tr>
        <w:trPr>
          <w:cantSplit w:val="0"/>
          <w:trHeight w:val="431.99999999999994" w:hRule="atLeast"/>
          <w:tblHeader w:val="0"/>
        </w:trPr>
        <w:tc>
          <w:tcPr>
            <w:vAlign w:val="center"/>
          </w:tcPr>
          <w:p w14:paraId="00000047">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Unit of Randomization</w:t>
            </w:r>
          </w:p>
        </w:tc>
        <w:tc>
          <w:tcPr>
            <w:vAlign w:val="center"/>
          </w:tcPr>
          <w:p w14:paraId="00000048">
            <w:pPr>
              <w:rPr>
                <w:rFonts w:ascii="Georgia" w:cs="Georgia" w:eastAsia="Georgia" w:hAnsi="Georgia"/>
                <w:sz w:val="20"/>
                <w:szCs w:val="20"/>
              </w:rPr>
            </w:pPr>
            <w:r>
              <w:rPr>
                <w:rFonts w:ascii="Georgia" w:cs="Georgia" w:eastAsia="Georgia" w:hAnsi="Georgia"/>
                <w:sz w:val="20"/>
                <w:szCs w:val="20"/>
                <w:rtl w:val="0"/>
              </w:rPr>
              <w:t xml:space="preserve">Eligible academy member account</w:t>
            </w:r>
          </w:p>
        </w:tc>
      </w:tr>
      <w:tr>
        <w:trPr>
          <w:cantSplit w:val="0"/>
          <w:trHeight w:val="431.99999999999994" w:hRule="atLeast"/>
          <w:tblHeader w:val="0"/>
        </w:trPr>
        <w:tc>
          <w:tcPr>
            <w:vAlign w:val="center"/>
          </w:tcPr>
          <w:p w14:paraId="00000049">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Audience</w:t>
            </w:r>
          </w:p>
        </w:tc>
        <w:tc>
          <w:tcPr>
            <w:vAlign w:val="center"/>
          </w:tcPr>
          <w:p w14:paraId="0000004A">
            <w:pPr>
              <w:rPr>
                <w:rFonts w:ascii="Georgia" w:cs="Georgia" w:eastAsia="Georgia" w:hAnsi="Georgia"/>
                <w:sz w:val="20"/>
                <w:szCs w:val="20"/>
              </w:rPr>
            </w:pPr>
            <w:r>
              <w:rPr>
                <w:rFonts w:ascii="Georgia" w:cs="Georgia" w:eastAsia="Georgia" w:hAnsi="Georgia"/>
                <w:sz w:val="20"/>
                <w:szCs w:val="20"/>
                <w:rtl w:val="0"/>
              </w:rPr>
              <w:t xml:space="preserve">Eligible AIMZ members and designated admins</w:t>
            </w:r>
          </w:p>
        </w:tc>
      </w:tr>
      <w:tr>
        <w:trPr>
          <w:cantSplit w:val="0"/>
          <w:trHeight w:val="431.99999999999994" w:hRule="atLeast"/>
          <w:tblHeader w:val="0"/>
        </w:trPr>
        <w:tc>
          <w:tcPr>
            <w:vAlign w:val="center"/>
          </w:tcPr>
          <w:p w14:paraId="0000004B">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Exclusions</w:t>
            </w:r>
          </w:p>
        </w:tc>
        <w:tc>
          <w:tcPr>
            <w:vAlign w:val="center"/>
          </w:tcPr>
          <w:p w14:paraId="0000004C">
            <w:pPr>
              <w:rPr>
                <w:rFonts w:ascii="Georgia" w:cs="Georgia" w:eastAsia="Georgia" w:hAnsi="Georgia"/>
                <w:sz w:val="20"/>
                <w:szCs w:val="20"/>
              </w:rPr>
            </w:pPr>
            <w:r>
              <w:rPr>
                <w:rFonts w:ascii="Georgia" w:cs="Georgia" w:eastAsia="Georgia" w:hAnsi="Georgia"/>
                <w:sz w:val="20"/>
                <w:szCs w:val="20"/>
                <w:rtl w:val="0"/>
              </w:rPr>
              <w:t xml:space="preserve">Staff test accounts, duplicates, invalid or incomplete sessions</w:t>
            </w:r>
          </w:p>
        </w:tc>
      </w:tr>
      <w:tr>
        <w:trPr>
          <w:cantSplit w:val="0"/>
          <w:trHeight w:val="431.99999999999994" w:hRule="atLeast"/>
          <w:tblHeader w:val="0"/>
        </w:trPr>
        <w:tc>
          <w:tcPr>
            <w:vAlign w:val="center"/>
          </w:tcPr>
          <w:p w14:paraId="0000004D">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Start Date</w:t>
            </w:r>
          </w:p>
        </w:tc>
        <w:tc>
          <w:tcPr>
            <w:vAlign w:val="center"/>
          </w:tcPr>
          <w:p w14:paraId="0000004E">
            <w:pPr>
              <w:rPr>
                <w:rFonts w:ascii="Georgia" w:cs="Georgia" w:eastAsia="Georgia" w:hAnsi="Georgia"/>
                <w:sz w:val="20"/>
                <w:szCs w:val="20"/>
              </w:rPr>
            </w:pPr>
            <w:r>
              <w:rPr>
                <w:rFonts w:ascii="Georgia" w:cs="Georgia" w:eastAsia="Georgia" w:hAnsi="Georgia"/>
                <w:sz w:val="20"/>
                <w:szCs w:val="20"/>
                <w:rtl w:val="0"/>
              </w:rPr>
              <w:t xml:space="preserve">Not yet set</w:t>
            </w:r>
          </w:p>
        </w:tc>
      </w:tr>
      <w:tr>
        <w:trPr>
          <w:cantSplit w:val="0"/>
          <w:trHeight w:val="431.99999999999994" w:hRule="atLeast"/>
          <w:tblHeader w:val="0"/>
        </w:trPr>
        <w:tc>
          <w:tcPr>
            <w:vAlign w:val="center"/>
          </w:tcPr>
          <w:p w14:paraId="0000004F">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End Date</w:t>
            </w:r>
          </w:p>
        </w:tc>
        <w:tc>
          <w:tcPr>
            <w:vAlign w:val="center"/>
          </w:tcPr>
          <w:p w14:paraId="00000050">
            <w:pPr>
              <w:rPr>
                <w:rFonts w:ascii="Georgia" w:cs="Georgia" w:eastAsia="Georgia" w:hAnsi="Georgia"/>
                <w:sz w:val="20"/>
                <w:szCs w:val="20"/>
              </w:rPr>
            </w:pPr>
            <w:r>
              <w:rPr>
                <w:rFonts w:ascii="Georgia" w:cs="Georgia" w:eastAsia="Georgia" w:hAnsi="Georgia"/>
                <w:sz w:val="20"/>
                <w:szCs w:val="20"/>
                <w:rtl w:val="0"/>
              </w:rPr>
              <w:t xml:space="preserve">Not yet set</w:t>
            </w:r>
          </w:p>
        </w:tc>
      </w:tr>
      <w:tr>
        <w:trPr>
          <w:cantSplit w:val="0"/>
          <w:trHeight w:val="431.99999999999994" w:hRule="atLeast"/>
          <w:tblHeader w:val="0"/>
        </w:trPr>
        <w:tc>
          <w:tcPr>
            <w:vAlign w:val="center"/>
          </w:tcPr>
          <w:p w14:paraId="00000051">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Planned Runtime</w:t>
            </w:r>
          </w:p>
        </w:tc>
        <w:tc>
          <w:tcPr>
            <w:vAlign w:val="center"/>
          </w:tcPr>
          <w:p w14:paraId="00000052">
            <w:pPr>
              <w:rPr>
                <w:rFonts w:ascii="Georgia" w:cs="Georgia" w:eastAsia="Georgia" w:hAnsi="Georgia"/>
                <w:sz w:val="20"/>
                <w:szCs w:val="20"/>
              </w:rPr>
            </w:pPr>
            <w:r>
              <w:rPr>
                <w:rFonts w:ascii="Georgia" w:cs="Georgia" w:eastAsia="Georgia" w:hAnsi="Georgia"/>
                <w:sz w:val="20"/>
                <w:szCs w:val="20"/>
                <w:rtl w:val="0"/>
              </w:rPr>
              <w:t xml:space="preserve">Set after baseline and power review</w:t>
            </w:r>
          </w:p>
        </w:tc>
      </w:tr>
      <w:tr>
        <w:trPr>
          <w:cantSplit w:val="0"/>
          <w:trHeight w:val="431.99999999999994" w:hRule="atLeast"/>
          <w:tblHeader w:val="0"/>
        </w:trPr>
        <w:tc>
          <w:tcPr>
            <w:vAlign w:val="center"/>
          </w:tcPr>
          <w:p w14:paraId="00000053">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Actual Runtime</w:t>
            </w:r>
          </w:p>
        </w:tc>
        <w:tc>
          <w:tcPr>
            <w:vAlign w:val="center"/>
          </w:tcPr>
          <w:p w14:paraId="00000054">
            <w:pPr>
              <w:rPr>
                <w:rFonts w:ascii="Georgia" w:cs="Georgia" w:eastAsia="Georgia" w:hAnsi="Georgia"/>
                <w:sz w:val="20"/>
                <w:szCs w:val="20"/>
              </w:rPr>
            </w:pPr>
            <w:r>
              <w:rPr>
                <w:rFonts w:ascii="Georgia" w:cs="Georgia" w:eastAsia="Georgia" w:hAnsi="Georgia"/>
                <w:sz w:val="20"/>
                <w:szCs w:val="20"/>
                <w:rtl w:val="0"/>
              </w:rPr>
              <w:t xml:space="preserve">Not run</w:t>
            </w:r>
          </w:p>
        </w:tc>
      </w:tr>
    </w:tbl>
    <w:p w14:paraId="00000055">
      <w:pPr>
        <w:rPr>
          <w:rFonts w:ascii="Georgia" w:cs="Georgia" w:eastAsia="Georgia" w:hAnsi="Georgia"/>
        </w:rPr>
      </w:pPr>
      <w:r>
        <w:rPr>
          <w:rtl w:val="0"/>
        </w:rPr>
      </w:r>
    </w:p>
    <w:p w14:paraId="00000056">
      <w:pPr>
        <w:pStyle w:val="Heading1"/>
        <w:rPr>
          <w:rFonts w:ascii="Georgia" w:cs="Georgia" w:eastAsia="Georgia" w:hAnsi="Georgia"/>
        </w:rPr>
      </w:pPr>
      <w:r>
        <w:rPr>
          <w:rFonts w:ascii="Georgia" w:cs="Georgia" w:eastAsia="Georgia" w:hAnsi="Georgia"/>
          <w:rtl w:val="0"/>
        </w:rPr>
        <w:t xml:space="preserve">Design Notes</w:t>
      </w:r>
    </w:p>
    <w:p w14:paraId="00000057">
      <w:pPr>
        <w:spacing w:after="240" w:before="240" w:lineRule="auto"/>
        <w:jc w:val="both"/>
        <w:rPr>
          <w:rFonts w:ascii="Georgia" w:cs="Georgia" w:eastAsia="Georgia" w:hAnsi="Georgia"/>
        </w:rPr>
      </w:pPr>
      <w:r>
        <w:rPr>
          <w:rFonts w:ascii="Georgia" w:cs="Georgia" w:eastAsia="Georgia" w:hAnsi="Georgia"/>
          <w:rtl w:val="0"/>
        </w:rPr>
        <w:t xml:space="preserve">Compare the academy's documented current match-information process with access to the AIMZ Egypt app. Keep teams, match content, and eligible audience equivalent. The treatment changes only the channel and structured presentation of information.</w:t>
      </w:r>
    </w:p>
    <w:p w14:paraId="00000058">
      <w:pPr>
        <w:spacing w:after="240" w:before="240" w:lineRule="auto"/>
        <w:jc w:val="both"/>
        <w:rPr>
          <w:rFonts w:ascii="Georgia" w:cs="Georgia" w:eastAsia="Georgia" w:hAnsi="Georgia"/>
        </w:rPr>
      </w:pPr>
      <w:r>
        <w:rPr>
          <w:rFonts w:ascii="Georgia" w:cs="Georgia" w:eastAsia="Georgia" w:hAnsi="Georgia"/>
          <w:rtl w:val="0"/>
        </w:rPr>
        <w:t xml:space="preserve">Use persistent account-level assignment if a controlled pilot is feasible. Exclude staff test accounts and corrupted sessions. Pilot on iOS in Egypt; record device, connection quality, role, and squad category for planned diagnostic analysis.</w:t>
      </w:r>
    </w:p>
    <w:p w14:paraId="00000059">
      <w:pPr>
        <w:spacing w:after="240" w:before="240" w:lineRule="auto"/>
        <w:jc w:val="both"/>
        <w:rPr>
          <w:rFonts w:ascii="Georgia" w:cs="Georgia" w:eastAsia="Georgia" w:hAnsi="Georgia"/>
        </w:rPr>
      </w:pPr>
      <w:r>
        <w:rPr>
          <w:rtl w:val="0"/>
        </w:rPr>
      </w:r>
    </w:p>
    <w:p w14:paraId="0000005A">
      <w:pPr>
        <w:pStyle w:val="Heading1"/>
        <w:rPr>
          <w:rFonts w:ascii="Georgia" w:cs="Georgia" w:eastAsia="Georgia" w:hAnsi="Georgia"/>
        </w:rPr>
      </w:pPr>
      <w:r>
        <w:rPr>
          <w:rFonts w:ascii="Georgia" w:cs="Georgia" w:eastAsia="Georgia" w:hAnsi="Georgia"/>
          <w:rtl w:val="0"/>
        </w:rPr>
        <w:t xml:space="preserve">Hypothesis</w:t>
      </w:r>
    </w:p>
    <w:p w14:paraId="0000005B">
      <w:pPr>
        <w:spacing w:after="240" w:before="240" w:lineRule="auto"/>
        <w:jc w:val="both"/>
        <w:rPr>
          <w:rFonts w:ascii="Georgia" w:cs="Georgia" w:eastAsia="Georgia" w:hAnsi="Georgia"/>
        </w:rPr>
      </w:pPr>
      <w:r>
        <w:rPr>
          <w:rFonts w:ascii="Georgia" w:cs="Georgia" w:eastAsia="Georgia" w:hAnsi="Georgia"/>
          <w:rtl w:val="0"/>
        </w:rPr>
        <w:t xml:space="preserve">If eligible academy members use the AIMZ Egypt app instead of the documented current process, then a larger share will find the correct match result within 60 seconds, because one match-centered source reduces search steps and ambiguity.</w:t>
      </w:r>
    </w:p>
    <w:p w14:paraId="0000005C">
      <w:pPr>
        <w:spacing w:after="240" w:before="240" w:lineRule="auto"/>
        <w:jc w:val="both"/>
        <w:rPr>
          <w:rFonts w:ascii="Georgia" w:cs="Georgia" w:eastAsia="Georgia" w:hAnsi="Georgia"/>
        </w:rPr>
      </w:pPr>
      <w:r>
        <w:rPr>
          <w:rtl w:val="0"/>
        </w:rPr>
      </w:r>
    </w:p>
    <w:p w14:paraId="0000005D">
      <w:pPr>
        <w:pStyle w:val="Heading1"/>
        <w:rPr>
          <w:rFonts w:ascii="Georgia" w:cs="Georgia" w:eastAsia="Georgia" w:hAnsi="Georgia"/>
        </w:rPr>
      </w:pPr>
      <w:r>
        <w:rPr>
          <w:rFonts w:ascii="Georgia" w:cs="Georgia" w:eastAsia="Georgia" w:hAnsi="Georgia"/>
          <w:rtl w:val="0"/>
        </w:rPr>
        <w:t xml:space="preserve">Success Criteria</w:t>
      </w:r>
    </w:p>
    <w:p w14:paraId="0000005E">
      <w:pPr>
        <w:spacing w:after="240" w:before="240" w:lineRule="auto"/>
        <w:jc w:val="both"/>
        <w:rPr>
          <w:rFonts w:ascii="Georgia" w:cs="Georgia" w:eastAsia="Georgia" w:hAnsi="Georgia"/>
        </w:rPr>
      </w:pPr>
      <w:r>
        <w:rPr>
          <w:rFonts w:ascii="Georgia" w:cs="Georgia" w:eastAsia="Georgia" w:hAnsi="Georgia"/>
          <w:rtl w:val="0"/>
        </w:rPr>
        <w:t xml:space="preserve">Pre-register a numeric threshold for successful match lookup rate before launch. Also set acceptable limits for published-data accuracy, admin entry time, and API errors. No winner can be declared until those thresholds and a sample plan are approved.</w:t>
      </w:r>
    </w:p>
    <w:tbl>
      <w:tblPr>
        <w:tblStyle w:val="Table3"/>
        <w:tblW w:w="935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405"/>
        <w:gridCol w:w="6945"/>
        <w:tblGridChange w:id="0">
          <w:tblGrid>
            <w:gridCol w:w="2405"/>
            <w:gridCol w:w="6945"/>
          </w:tblGrid>
        </w:tblGridChange>
      </w:tblGrid>
      <w:tr>
        <w:trPr>
          <w:cantSplit w:val="0"/>
          <w:trHeight w:val="431.99999999999994" w:hRule="atLeast"/>
          <w:tblHeader w:val="0"/>
        </w:trPr>
        <w:tc>
          <w:tcPr>
            <w:shd w:fill="f3f3f3" w:val="clear"/>
            <w:vAlign w:val="center"/>
          </w:tcPr>
          <w:p w14:paraId="0000005F">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Metric</w:t>
            </w:r>
          </w:p>
        </w:tc>
        <w:tc>
          <w:tcPr>
            <w:shd w:fill="f3f3f3" w:val="clear"/>
            <w:vAlign w:val="center"/>
          </w:tcPr>
          <w:p w14:paraId="00000060">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Target/Rule</w:t>
            </w:r>
          </w:p>
        </w:tc>
      </w:tr>
      <w:tr>
        <w:trPr>
          <w:cantSplit w:val="0"/>
          <w:trHeight w:val="431.99999999999994" w:hRule="atLeast"/>
          <w:tblHeader w:val="0"/>
        </w:trPr>
        <w:tc>
          <w:tcPr>
            <w:vAlign w:val="center"/>
          </w:tcPr>
          <w:p w14:paraId="00000061">
            <w:pPr>
              <w:jc w:val="both"/>
              <w:rPr>
                <w:rFonts w:ascii="Georgia" w:cs="Georgia" w:eastAsia="Georgia" w:hAnsi="Georgia"/>
                <w:b w:val="1"/>
                <w:bCs w:val="1"/>
                <w:sz w:val="20"/>
                <w:szCs w:val="20"/>
              </w:rPr>
            </w:pPr>
            <w:r>
              <w:rPr>
                <w:rFonts w:ascii="Georgia" w:cs="Georgia" w:eastAsia="Georgia" w:hAnsi="Georgia"/>
                <w:b w:val="1"/>
                <w:bCs w:val="1"/>
                <w:sz w:val="20"/>
                <w:szCs w:val="20"/>
                <w:rtl w:val="0"/>
              </w:rPr>
              <w:t xml:space="preserve">Primary Metric</w:t>
            </w:r>
          </w:p>
        </w:tc>
        <w:tc>
          <w:tcPr>
            <w:vAlign w:val="center"/>
          </w:tcPr>
          <w:p w14:paraId="00000062">
            <w:pPr>
              <w:jc w:val="both"/>
              <w:rPr>
                <w:rFonts w:ascii="Georgia" w:cs="Georgia" w:eastAsia="Georgia" w:hAnsi="Georgia"/>
                <w:sz w:val="20"/>
                <w:szCs w:val="20"/>
              </w:rPr>
            </w:pPr>
            <w:r>
              <w:rPr>
                <w:rFonts w:ascii="Georgia" w:cs="Georgia" w:eastAsia="Georgia" w:hAnsi="Georgia"/>
                <w:sz w:val="20"/>
                <w:szCs w:val="20"/>
                <w:rtl w:val="0"/>
              </w:rPr>
              <w:t xml:space="preserve">Successful match lookup rate; numeric threshold to set before launch</w:t>
            </w:r>
          </w:p>
        </w:tc>
      </w:tr>
      <w:tr>
        <w:trPr>
          <w:cantSplit w:val="0"/>
          <w:trHeight w:val="431.99999999999994" w:hRule="atLeast"/>
          <w:tblHeader w:val="0"/>
        </w:trPr>
        <w:tc>
          <w:tcPr>
            <w:vAlign w:val="center"/>
          </w:tcPr>
          <w:p w14:paraId="00000063">
            <w:pPr>
              <w:jc w:val="both"/>
              <w:rPr>
                <w:rFonts w:ascii="Georgia" w:cs="Georgia" w:eastAsia="Georgia" w:hAnsi="Georgia"/>
                <w:b w:val="1"/>
                <w:bCs w:val="1"/>
                <w:sz w:val="20"/>
                <w:szCs w:val="20"/>
              </w:rPr>
            </w:pPr>
            <w:r>
              <w:rPr>
                <w:rFonts w:ascii="Georgia" w:cs="Georgia" w:eastAsia="Georgia" w:hAnsi="Georgia"/>
                <w:b w:val="1"/>
                <w:bCs w:val="1"/>
                <w:sz w:val="20"/>
                <w:szCs w:val="20"/>
                <w:rtl w:val="0"/>
              </w:rPr>
              <w:t xml:space="preserve">Guardrail 1</w:t>
            </w:r>
          </w:p>
        </w:tc>
        <w:tc>
          <w:tcPr>
            <w:vAlign w:val="center"/>
          </w:tcPr>
          <w:p w14:paraId="00000064">
            <w:pPr>
              <w:jc w:val="both"/>
              <w:rPr>
                <w:rFonts w:ascii="Georgia" w:cs="Georgia" w:eastAsia="Georgia" w:hAnsi="Georgia"/>
                <w:sz w:val="20"/>
                <w:szCs w:val="20"/>
              </w:rPr>
            </w:pPr>
            <w:r>
              <w:rPr>
                <w:rFonts w:ascii="Georgia" w:cs="Georgia" w:eastAsia="Georgia" w:hAnsi="Georgia"/>
                <w:sz w:val="20"/>
                <w:szCs w:val="20"/>
                <w:rtl w:val="0"/>
              </w:rPr>
              <w:t xml:space="preserve">Published match-data accuracy; acceptable threshold to set</w:t>
            </w:r>
          </w:p>
        </w:tc>
      </w:tr>
      <w:tr>
        <w:trPr>
          <w:cantSplit w:val="0"/>
          <w:trHeight w:val="431.99999999999994" w:hRule="atLeast"/>
          <w:tblHeader w:val="0"/>
        </w:trPr>
        <w:tc>
          <w:tcPr>
            <w:vAlign w:val="center"/>
          </w:tcPr>
          <w:p w14:paraId="00000065">
            <w:pPr>
              <w:jc w:val="both"/>
              <w:rPr>
                <w:rFonts w:ascii="Georgia" w:cs="Georgia" w:eastAsia="Georgia" w:hAnsi="Georgia"/>
                <w:b w:val="1"/>
                <w:bCs w:val="1"/>
                <w:sz w:val="20"/>
                <w:szCs w:val="20"/>
              </w:rPr>
            </w:pPr>
            <w:r>
              <w:rPr>
                <w:rFonts w:ascii="Georgia" w:cs="Georgia" w:eastAsia="Georgia" w:hAnsi="Georgia"/>
                <w:b w:val="1"/>
                <w:bCs w:val="1"/>
                <w:sz w:val="20"/>
                <w:szCs w:val="20"/>
                <w:rtl w:val="0"/>
              </w:rPr>
              <w:t xml:space="preserve">Guardrail 2</w:t>
            </w:r>
          </w:p>
        </w:tc>
        <w:tc>
          <w:tcPr>
            <w:vAlign w:val="center"/>
          </w:tcPr>
          <w:p w14:paraId="00000066">
            <w:pPr>
              <w:jc w:val="both"/>
              <w:rPr>
                <w:rFonts w:ascii="Georgia" w:cs="Georgia" w:eastAsia="Georgia" w:hAnsi="Georgia"/>
                <w:sz w:val="20"/>
                <w:szCs w:val="20"/>
              </w:rPr>
            </w:pPr>
            <w:r>
              <w:rPr>
                <w:rFonts w:ascii="Georgia" w:cs="Georgia" w:eastAsia="Georgia" w:hAnsi="Georgia"/>
                <w:sz w:val="20"/>
                <w:szCs w:val="20"/>
                <w:rtl w:val="0"/>
              </w:rPr>
              <w:t xml:space="preserve">Median admin entry time; acceptable threshold to set</w:t>
            </w:r>
          </w:p>
        </w:tc>
      </w:tr>
      <w:tr>
        <w:trPr>
          <w:cantSplit w:val="0"/>
          <w:trHeight w:val="431.99999999999994" w:hRule="atLeast"/>
          <w:tblHeader w:val="0"/>
        </w:trPr>
        <w:tc>
          <w:tcPr>
            <w:vAlign w:val="center"/>
          </w:tcPr>
          <w:p w14:paraId="00000067">
            <w:pPr>
              <w:jc w:val="both"/>
              <w:rPr>
                <w:rFonts w:ascii="Georgia" w:cs="Georgia" w:eastAsia="Georgia" w:hAnsi="Georgia"/>
                <w:b w:val="1"/>
                <w:bCs w:val="1"/>
                <w:sz w:val="20"/>
                <w:szCs w:val="20"/>
              </w:rPr>
            </w:pPr>
            <w:r>
              <w:rPr>
                <w:rFonts w:ascii="Georgia" w:cs="Georgia" w:eastAsia="Georgia" w:hAnsi="Georgia"/>
                <w:b w:val="1"/>
                <w:bCs w:val="1"/>
                <w:sz w:val="20"/>
                <w:szCs w:val="20"/>
                <w:rtl w:val="0"/>
              </w:rPr>
              <w:t xml:space="preserve">Guardrail 3</w:t>
            </w:r>
          </w:p>
        </w:tc>
        <w:tc>
          <w:tcPr>
            <w:vAlign w:val="center"/>
          </w:tcPr>
          <w:p w14:paraId="00000068">
            <w:pPr>
              <w:jc w:val="both"/>
              <w:rPr>
                <w:rFonts w:ascii="Georgia" w:cs="Georgia" w:eastAsia="Georgia" w:hAnsi="Georgia"/>
                <w:sz w:val="20"/>
                <w:szCs w:val="20"/>
              </w:rPr>
            </w:pPr>
            <w:r>
              <w:rPr>
                <w:rFonts w:ascii="Georgia" w:cs="Georgia" w:eastAsia="Georgia" w:hAnsi="Georgia"/>
                <w:sz w:val="20"/>
                <w:szCs w:val="20"/>
                <w:rtl w:val="0"/>
              </w:rPr>
              <w:t xml:space="preserve">API error rate; acceptable threshold to set</w:t>
            </w:r>
          </w:p>
        </w:tc>
      </w:tr>
      <w:tr>
        <w:trPr>
          <w:cantSplit w:val="0"/>
          <w:trHeight w:val="431.99999999999994" w:hRule="atLeast"/>
          <w:tblHeader w:val="0"/>
        </w:trPr>
        <w:tc>
          <w:tcPr>
            <w:vAlign w:val="center"/>
          </w:tcPr>
          <w:p w14:paraId="00000069">
            <w:pPr>
              <w:jc w:val="both"/>
              <w:rPr>
                <w:rFonts w:ascii="Georgia" w:cs="Georgia" w:eastAsia="Georgia" w:hAnsi="Georgia"/>
                <w:b w:val="1"/>
                <w:bCs w:val="1"/>
                <w:sz w:val="20"/>
                <w:szCs w:val="20"/>
              </w:rPr>
            </w:pPr>
            <w:r>
              <w:rPr>
                <w:rFonts w:ascii="Georgia" w:cs="Georgia" w:eastAsia="Georgia" w:hAnsi="Georgia"/>
                <w:b w:val="1"/>
                <w:bCs w:val="1"/>
                <w:sz w:val="20"/>
                <w:szCs w:val="20"/>
                <w:rtl w:val="0"/>
              </w:rPr>
              <w:t xml:space="preserve">Decision Rule</w:t>
            </w:r>
          </w:p>
        </w:tc>
        <w:tc>
          <w:tcPr>
            <w:vAlign w:val="center"/>
          </w:tcPr>
          <w:p w14:paraId="0000006A">
            <w:pPr>
              <w:jc w:val="both"/>
              <w:rPr>
                <w:rFonts w:ascii="Georgia" w:cs="Georgia" w:eastAsia="Georgia" w:hAnsi="Georgia"/>
                <w:sz w:val="20"/>
                <w:szCs w:val="20"/>
              </w:rPr>
            </w:pPr>
            <w:r>
              <w:rPr>
                <w:rFonts w:ascii="Georgia" w:cs="Georgia" w:eastAsia="Georgia" w:hAnsi="Georgia"/>
                <w:sz w:val="20"/>
                <w:szCs w:val="20"/>
                <w:rtl w:val="0"/>
              </w:rPr>
              <w:t xml:space="preserve">Launch only if the pre-registered primary and guardrail rules are met</w:t>
            </w:r>
          </w:p>
        </w:tc>
      </w:tr>
    </w:tbl>
    <w:p w14:paraId="0000006B">
      <w:pPr>
        <w:rPr>
          <w:rFonts w:ascii="Georgia" w:cs="Georgia" w:eastAsia="Georgia" w:hAnsi="Georgia"/>
        </w:rPr>
      </w:pPr>
      <w:r>
        <w:rPr>
          <w:rtl w:val="0"/>
        </w:rPr>
      </w:r>
    </w:p>
    <w:p w14:paraId="0000006C">
      <w:pPr>
        <w:pStyle w:val="Heading1"/>
        <w:rPr>
          <w:rFonts w:ascii="Georgia" w:cs="Georgia" w:eastAsia="Georgia" w:hAnsi="Georgia"/>
        </w:rPr>
      </w:pPr>
      <w:r>
        <w:rPr>
          <w:rFonts w:ascii="Georgia" w:cs="Georgia" w:eastAsia="Georgia" w:hAnsi="Georgia"/>
          <w:rtl w:val="0"/>
        </w:rPr>
        <w:t xml:space="preserve">Pre-Launch Validation</w:t>
      </w:r>
    </w:p>
    <w:p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Verify that access to the AIMZ app is the only intended difference between variants.</w:t>
      </w:r>
      <w:r>
        <w:rPr>
          <w:rtl w:val="0"/>
        </w:rPr>
      </w:r>
    </w:p>
    <w:p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Confirm persistent assignment, eligible-account rules, and allocation before exposure.</w:t>
      </w:r>
      <w:r>
        <w:rPr>
          <w:rtl w:val="0"/>
        </w:rPr>
      </w:r>
    </w:p>
    <w:p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Test lookup success, timing, match accuracy, admin timing, and API error instrumentation.</w:t>
      </w:r>
      <w:r>
        <w:rPr>
          <w:rtl w:val="0"/>
        </w:rPr>
      </w:r>
    </w:p>
    <w:p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Document staff exclusions, duplicate accounts, incomplete sessions, and invalid test data.</w:t>
      </w:r>
      <w:r>
        <w:rPr>
          <w:rtl w:val="0"/>
        </w:rPr>
      </w:r>
    </w:p>
    <w:p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Run staff QA and an A/A instrumentation check before the member pilot.</w:t>
      </w:r>
      <w:r>
        <w:rPr>
          <w:rtl w:val="0"/>
        </w:rPr>
      </w:r>
    </w:p>
    <w:p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right="0"/>
        <w:jc w:val="both"/>
        <w:rPr>
          <w:rFonts w:ascii="Georgia" w:cs="Georgia" w:eastAsia="Georgia" w:hAnsi="Georgia"/>
        </w:rPr>
      </w:pPr>
      <w:r>
        <w:rPr>
          <w:rtl w:val="0"/>
        </w:rPr>
      </w:r>
    </w:p>
    <w:p w14:paraId="00000073">
      <w:pPr>
        <w:pStyle w:val="Heading1"/>
        <w:rPr>
          <w:rFonts w:ascii="Georgia" w:cs="Georgia" w:eastAsia="Georgia" w:hAnsi="Georgia"/>
        </w:rPr>
      </w:pPr>
      <w:r>
        <w:rPr>
          <w:rFonts w:ascii="Georgia" w:cs="Georgia" w:eastAsia="Georgia" w:hAnsi="Georgia"/>
          <w:rtl w:val="0"/>
        </w:rPr>
        <w:t xml:space="preserve">Sample and Exposure Summary</w:t>
      </w:r>
    </w:p>
    <w:p w14:paraId="00000074">
      <w:pPr>
        <w:spacing w:after="240" w:before="240" w:lineRule="auto"/>
        <w:jc w:val="both"/>
        <w:rPr>
          <w:rFonts w:ascii="Georgia" w:cs="Georgia" w:eastAsia="Georgia" w:hAnsi="Georgia"/>
        </w:rPr>
      </w:pPr>
      <w:r>
        <w:rPr>
          <w:rFonts w:ascii="Georgia" w:cs="Georgia" w:eastAsia="Georgia" w:hAnsi="Georgia"/>
          <w:rtl w:val="0"/>
        </w:rPr>
        <w:t xml:space="preserve">Not yet run. Sample size, allocation, runtime, and sample-ratio checks remain unset. A baseline event rate and minimum detectable effect are required before enrollment.</w:t>
      </w:r>
    </w:p>
    <w:tbl>
      <w:tblPr>
        <w:tblStyle w:val="Table4"/>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823"/>
        <w:gridCol w:w="2693"/>
        <w:gridCol w:w="2834"/>
        <w:tblGridChange w:id="0">
          <w:tblGrid>
            <w:gridCol w:w="3823"/>
            <w:gridCol w:w="2693"/>
            <w:gridCol w:w="2834"/>
          </w:tblGrid>
        </w:tblGridChange>
      </w:tblGrid>
      <w:tr>
        <w:trPr>
          <w:cantSplit w:val="0"/>
          <w:trHeight w:val="431.99999999999994" w:hRule="atLeast"/>
          <w:tblHeader w:val="0"/>
        </w:trPr>
        <w:tc>
          <w:tcPr>
            <w:shd w:fill="f3f3f3" w:val="clear"/>
            <w:vAlign w:val="center"/>
          </w:tcPr>
          <w:p w14:paraId="00000075">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Metric</w:t>
            </w:r>
          </w:p>
        </w:tc>
        <w:tc>
          <w:tcPr>
            <w:shd w:fill="f3f3f3" w:val="clear"/>
            <w:vAlign w:val="center"/>
          </w:tcPr>
          <w:p w14:paraId="00000076">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Variant A (Control)</w:t>
            </w:r>
          </w:p>
        </w:tc>
        <w:tc>
          <w:tcPr>
            <w:shd w:fill="f3f3f3" w:val="clear"/>
            <w:vAlign w:val="center"/>
          </w:tcPr>
          <w:p w14:paraId="00000077">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Variant B (Treatment)</w:t>
            </w:r>
          </w:p>
        </w:tc>
      </w:tr>
      <w:tr>
        <w:trPr>
          <w:cantSplit w:val="0"/>
          <w:trHeight w:val="431.99999999999994" w:hRule="atLeast"/>
          <w:tblHeader w:val="0"/>
        </w:trPr>
        <w:tc>
          <w:tcPr>
            <w:vAlign w:val="center"/>
          </w:tcPr>
          <w:p w14:paraId="00000078">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Eligible accounts</w:t>
            </w:r>
          </w:p>
        </w:tc>
        <w:tc>
          <w:tcPr>
            <w:vAlign w:val="center"/>
          </w:tcPr>
          <w:p w14:paraId="00000079">
            <w:pPr>
              <w:rPr>
                <w:rFonts w:ascii="Georgia" w:cs="Georgia" w:eastAsia="Georgia" w:hAnsi="Georgia"/>
                <w:sz w:val="20"/>
                <w:szCs w:val="20"/>
              </w:rPr>
            </w:pPr>
            <w:r>
              <w:rPr>
                <w:rFonts w:ascii="Georgia" w:cs="Georgia" w:eastAsia="Georgia" w:hAnsi="Georgia"/>
                <w:sz w:val="20"/>
                <w:szCs w:val="20"/>
                <w:rtl w:val="0"/>
              </w:rPr>
              <w:t xml:space="preserve">N/A - not run</w:t>
            </w:r>
          </w:p>
        </w:tc>
        <w:tc>
          <w:tcPr>
            <w:vAlign w:val="center"/>
          </w:tcPr>
          <w:p w14:paraId="0000007A">
            <w:pPr>
              <w:rPr>
                <w:rFonts w:ascii="Georgia" w:cs="Georgia" w:eastAsia="Georgia" w:hAnsi="Georgia"/>
                <w:sz w:val="20"/>
                <w:szCs w:val="20"/>
              </w:rPr>
            </w:pPr>
            <w:r>
              <w:rPr>
                <w:rFonts w:ascii="Georgia" w:cs="Georgia" w:eastAsia="Georgia" w:hAnsi="Georgia"/>
                <w:sz w:val="20"/>
                <w:szCs w:val="20"/>
                <w:rtl w:val="0"/>
              </w:rPr>
              <w:t xml:space="preserve">N/A - not run</w:t>
            </w:r>
          </w:p>
        </w:tc>
      </w:tr>
      <w:tr>
        <w:trPr>
          <w:cantSplit w:val="0"/>
          <w:trHeight w:val="431.99999999999994" w:hRule="atLeast"/>
          <w:tblHeader w:val="0"/>
        </w:trPr>
        <w:tc>
          <w:tcPr>
            <w:vAlign w:val="center"/>
          </w:tcPr>
          <w:p w14:paraId="0000007B">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Exposed accounts</w:t>
            </w:r>
          </w:p>
        </w:tc>
        <w:tc>
          <w:tcPr>
            <w:vAlign w:val="center"/>
          </w:tcPr>
          <w:p w14:paraId="0000007C">
            <w:pPr>
              <w:rPr>
                <w:rFonts w:ascii="Georgia" w:cs="Georgia" w:eastAsia="Georgia" w:hAnsi="Georgia"/>
                <w:sz w:val="20"/>
                <w:szCs w:val="20"/>
              </w:rPr>
            </w:pPr>
            <w:r>
              <w:rPr>
                <w:rFonts w:ascii="Georgia" w:cs="Georgia" w:eastAsia="Georgia" w:hAnsi="Georgia"/>
                <w:sz w:val="20"/>
                <w:szCs w:val="20"/>
                <w:rtl w:val="0"/>
              </w:rPr>
              <w:t xml:space="preserve">N/A - not run</w:t>
            </w:r>
          </w:p>
        </w:tc>
        <w:tc>
          <w:tcPr>
            <w:vAlign w:val="center"/>
          </w:tcPr>
          <w:p w14:paraId="0000007D">
            <w:pPr>
              <w:rPr>
                <w:rFonts w:ascii="Georgia" w:cs="Georgia" w:eastAsia="Georgia" w:hAnsi="Georgia"/>
                <w:sz w:val="20"/>
                <w:szCs w:val="20"/>
              </w:rPr>
            </w:pPr>
            <w:r>
              <w:rPr>
                <w:rFonts w:ascii="Georgia" w:cs="Georgia" w:eastAsia="Georgia" w:hAnsi="Georgia"/>
                <w:sz w:val="20"/>
                <w:szCs w:val="20"/>
                <w:rtl w:val="0"/>
              </w:rPr>
              <w:t xml:space="preserve">N/A - not run</w:t>
            </w:r>
          </w:p>
        </w:tc>
      </w:tr>
      <w:tr>
        <w:trPr>
          <w:cantSplit w:val="0"/>
          <w:trHeight w:val="431.99999999999994" w:hRule="atLeast"/>
          <w:tblHeader w:val="0"/>
        </w:trPr>
        <w:tc>
          <w:tcPr>
            <w:vAlign w:val="center"/>
          </w:tcPr>
          <w:p w14:paraId="0000007E">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Successful lookups</w:t>
            </w:r>
          </w:p>
        </w:tc>
        <w:tc>
          <w:tcPr>
            <w:vAlign w:val="center"/>
          </w:tcPr>
          <w:p w14:paraId="0000007F">
            <w:pPr>
              <w:rPr>
                <w:rFonts w:ascii="Georgia" w:cs="Georgia" w:eastAsia="Georgia" w:hAnsi="Georgia"/>
                <w:sz w:val="20"/>
                <w:szCs w:val="20"/>
              </w:rPr>
            </w:pPr>
            <w:r>
              <w:rPr>
                <w:rFonts w:ascii="Georgia" w:cs="Georgia" w:eastAsia="Georgia" w:hAnsi="Georgia"/>
                <w:sz w:val="20"/>
                <w:szCs w:val="20"/>
                <w:rtl w:val="0"/>
              </w:rPr>
              <w:t xml:space="preserve">N/A - not run</w:t>
            </w:r>
          </w:p>
        </w:tc>
        <w:tc>
          <w:tcPr>
            <w:vAlign w:val="center"/>
          </w:tcPr>
          <w:p w14:paraId="00000080">
            <w:pPr>
              <w:rPr>
                <w:rFonts w:ascii="Georgia" w:cs="Georgia" w:eastAsia="Georgia" w:hAnsi="Georgia"/>
                <w:sz w:val="20"/>
                <w:szCs w:val="20"/>
              </w:rPr>
            </w:pPr>
            <w:r>
              <w:rPr>
                <w:rFonts w:ascii="Georgia" w:cs="Georgia" w:eastAsia="Georgia" w:hAnsi="Georgia"/>
                <w:sz w:val="20"/>
                <w:szCs w:val="20"/>
                <w:rtl w:val="0"/>
              </w:rPr>
              <w:t xml:space="preserve">N/A - not run</w:t>
            </w:r>
          </w:p>
        </w:tc>
      </w:tr>
      <w:tr>
        <w:trPr>
          <w:cantSplit w:val="0"/>
          <w:trHeight w:val="431.99999999999994" w:hRule="atLeast"/>
          <w:tblHeader w:val="0"/>
        </w:trPr>
        <w:tc>
          <w:tcPr>
            <w:vAlign w:val="center"/>
          </w:tcPr>
          <w:p w14:paraId="00000081">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Allocation share</w:t>
            </w:r>
          </w:p>
        </w:tc>
        <w:tc>
          <w:tcPr>
            <w:vAlign w:val="center"/>
          </w:tcPr>
          <w:p w14:paraId="00000082">
            <w:pPr>
              <w:rPr>
                <w:rFonts w:ascii="Georgia" w:cs="Georgia" w:eastAsia="Georgia" w:hAnsi="Georgia"/>
                <w:sz w:val="20"/>
                <w:szCs w:val="20"/>
              </w:rPr>
            </w:pPr>
            <w:r>
              <w:rPr>
                <w:rFonts w:ascii="Georgia" w:cs="Georgia" w:eastAsia="Georgia" w:hAnsi="Georgia"/>
                <w:sz w:val="20"/>
                <w:szCs w:val="20"/>
                <w:rtl w:val="0"/>
              </w:rPr>
              <w:t xml:space="preserve">N/A - not set</w:t>
            </w:r>
          </w:p>
        </w:tc>
        <w:tc>
          <w:tcPr>
            <w:vAlign w:val="center"/>
          </w:tcPr>
          <w:p w14:paraId="00000083">
            <w:pPr>
              <w:rPr>
                <w:rFonts w:ascii="Georgia" w:cs="Georgia" w:eastAsia="Georgia" w:hAnsi="Georgia"/>
                <w:sz w:val="20"/>
                <w:szCs w:val="20"/>
              </w:rPr>
            </w:pPr>
            <w:r>
              <w:rPr>
                <w:rFonts w:ascii="Georgia" w:cs="Georgia" w:eastAsia="Georgia" w:hAnsi="Georgia"/>
                <w:sz w:val="20"/>
                <w:szCs w:val="20"/>
                <w:rtl w:val="0"/>
              </w:rPr>
              <w:t xml:space="preserve">N/A - not set</w:t>
            </w:r>
          </w:p>
        </w:tc>
      </w:tr>
      <w:tr>
        <w:trPr>
          <w:cantSplit w:val="0"/>
          <w:trHeight w:val="431.99999999999994" w:hRule="atLeast"/>
          <w:tblHeader w:val="0"/>
        </w:trPr>
        <w:tc>
          <w:tcPr>
            <w:vAlign w:val="center"/>
          </w:tcPr>
          <w:p w14:paraId="00000084">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Sample Ratio Check</w:t>
            </w:r>
          </w:p>
        </w:tc>
        <w:tc>
          <w:tcPr>
            <w:vAlign w:val="center"/>
          </w:tcPr>
          <w:p w14:paraId="00000085">
            <w:pPr>
              <w:rPr>
                <w:rFonts w:ascii="Georgia" w:cs="Georgia" w:eastAsia="Georgia" w:hAnsi="Georgia"/>
                <w:sz w:val="20"/>
                <w:szCs w:val="20"/>
              </w:rPr>
            </w:pPr>
            <w:r>
              <w:rPr>
                <w:rFonts w:ascii="Georgia" w:cs="Georgia" w:eastAsia="Georgia" w:hAnsi="Georgia"/>
                <w:sz w:val="20"/>
                <w:szCs w:val="20"/>
                <w:rtl w:val="0"/>
              </w:rPr>
              <w:t xml:space="preserve">Not run</w:t>
            </w:r>
          </w:p>
        </w:tc>
        <w:tc>
          <w:tcPr>
            <w:vAlign w:val="center"/>
          </w:tcPr>
          <w:p w14:paraId="00000086">
            <w:pPr>
              <w:rPr>
                <w:rFonts w:ascii="Georgia" w:cs="Georgia" w:eastAsia="Georgia" w:hAnsi="Georgia"/>
                <w:sz w:val="20"/>
                <w:szCs w:val="20"/>
              </w:rPr>
            </w:pPr>
            <w:r>
              <w:rPr>
                <w:rFonts w:ascii="Georgia" w:cs="Georgia" w:eastAsia="Georgia" w:hAnsi="Georgia"/>
                <w:sz w:val="20"/>
                <w:szCs w:val="20"/>
                <w:rtl w:val="0"/>
              </w:rPr>
              <w:t xml:space="preserve">Not run</w:t>
            </w:r>
          </w:p>
        </w:tc>
      </w:tr>
    </w:tbl>
    <w:p w14:paraId="00000087">
      <w:pPr>
        <w:spacing w:after="240" w:before="240" w:lineRule="auto"/>
        <w:rPr>
          <w:rFonts w:ascii="Georgia" w:cs="Georgia" w:eastAsia="Georgia" w:hAnsi="Georgia"/>
        </w:rPr>
      </w:pPr>
      <w:r>
        <w:rPr>
          <w:rtl w:val="0"/>
        </w:rPr>
      </w:r>
    </w:p>
    <w:p w14:paraId="00000088">
      <w:pPr>
        <w:pStyle w:val="Heading1"/>
        <w:rPr>
          <w:rFonts w:ascii="Georgia" w:cs="Georgia" w:eastAsia="Georgia" w:hAnsi="Georgia"/>
        </w:rPr>
      </w:pPr>
      <w:r>
        <w:rPr>
          <w:rFonts w:ascii="Georgia" w:cs="Georgia" w:eastAsia="Georgia" w:hAnsi="Georgia"/>
          <w:rtl w:val="0"/>
        </w:rPr>
        <w:t xml:space="preserve">Primary Outcome</w:t>
      </w:r>
    </w:p>
    <w:p w14:paraId="00000089">
      <w:pPr>
        <w:rPr>
          <w:rFonts w:ascii="Georgia" w:cs="Georgia" w:eastAsia="Georgia" w:hAnsi="Georgia"/>
        </w:rPr>
      </w:pPr>
      <w:r>
        <w:rPr>
          <w:rtl w:val="0"/>
        </w:rPr>
      </w:r>
    </w:p>
    <w:tbl>
      <w:tblPr>
        <w:tblStyle w:val="Table5"/>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rHeight w:val="431.99999999999994" w:hRule="atLeast"/>
          <w:tblHeader w:val="0"/>
        </w:trPr>
        <w:tc>
          <w:tcPr>
            <w:shd w:fill="f3f3f3" w:val="clear"/>
            <w:vAlign w:val="center"/>
          </w:tcPr>
          <w:p w14:paraId="0000008A">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Measure</w:t>
            </w:r>
          </w:p>
        </w:tc>
        <w:tc>
          <w:tcPr>
            <w:shd w:fill="f3f3f3" w:val="clear"/>
            <w:vAlign w:val="center"/>
          </w:tcPr>
          <w:p w14:paraId="0000008B">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Variant A</w:t>
            </w:r>
          </w:p>
        </w:tc>
        <w:tc>
          <w:tcPr>
            <w:shd w:fill="f3f3f3" w:val="clear"/>
            <w:vAlign w:val="center"/>
          </w:tcPr>
          <w:p w14:paraId="0000008C">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Variant B</w:t>
            </w:r>
          </w:p>
        </w:tc>
        <w:tc>
          <w:tcPr>
            <w:shd w:fill="f3f3f3" w:val="clear"/>
            <w:vAlign w:val="center"/>
          </w:tcPr>
          <w:p w14:paraId="0000008D">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Absolute Delta</w:t>
            </w:r>
          </w:p>
        </w:tc>
        <w:tc>
          <w:tcPr>
            <w:shd w:fill="f3f3f3" w:val="clear"/>
            <w:vAlign w:val="center"/>
          </w:tcPr>
          <w:p w14:paraId="0000008E">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Relative Delta</w:t>
            </w:r>
          </w:p>
        </w:tc>
      </w:tr>
      <w:tr>
        <w:trPr>
          <w:cantSplit w:val="0"/>
          <w:trHeight w:val="431.99999999999994" w:hRule="atLeast"/>
          <w:tblHeader w:val="0"/>
        </w:trPr>
        <w:tc>
          <w:tcPr>
            <w:vAlign w:val="center"/>
          </w:tcPr>
          <w:p w14:paraId="0000008F">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Successful lookup rate</w:t>
            </w:r>
          </w:p>
        </w:tc>
        <w:tc>
          <w:tcPr>
            <w:vAlign w:val="center"/>
          </w:tcPr>
          <w:p w14:paraId="00000090">
            <w:pPr>
              <w:rPr>
                <w:rFonts w:ascii="Georgia" w:cs="Georgia" w:eastAsia="Georgia" w:hAnsi="Georgia"/>
                <w:sz w:val="20"/>
                <w:szCs w:val="20"/>
              </w:rPr>
            </w:pPr>
            <w:r>
              <w:rPr>
                <w:rFonts w:ascii="Georgia" w:cs="Georgia" w:eastAsia="Georgia" w:hAnsi="Georgia"/>
                <w:sz w:val="20"/>
                <w:szCs w:val="20"/>
                <w:rtl w:val="0"/>
              </w:rPr>
              <w:t xml:space="preserve">N/A - not run</w:t>
            </w:r>
          </w:p>
        </w:tc>
        <w:tc>
          <w:tcPr>
            <w:vAlign w:val="center"/>
          </w:tcPr>
          <w:p w14:paraId="00000091">
            <w:pPr>
              <w:rPr>
                <w:rFonts w:ascii="Georgia" w:cs="Georgia" w:eastAsia="Georgia" w:hAnsi="Georgia"/>
                <w:sz w:val="20"/>
                <w:szCs w:val="20"/>
              </w:rPr>
            </w:pPr>
            <w:r>
              <w:rPr>
                <w:rFonts w:ascii="Georgia" w:cs="Georgia" w:eastAsia="Georgia" w:hAnsi="Georgia"/>
                <w:sz w:val="20"/>
                <w:szCs w:val="20"/>
                <w:rtl w:val="0"/>
              </w:rPr>
              <w:t xml:space="preserve">N/A - not run</w:t>
            </w:r>
          </w:p>
        </w:tc>
        <w:tc>
          <w:tcPr>
            <w:vAlign w:val="center"/>
          </w:tcPr>
          <w:p w14:paraId="00000092">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93">
            <w:pPr>
              <w:rPr>
                <w:rFonts w:ascii="Georgia" w:cs="Georgia" w:eastAsia="Georgia" w:hAnsi="Georgia"/>
                <w:sz w:val="20"/>
                <w:szCs w:val="20"/>
              </w:rPr>
            </w:pPr>
            <w:r>
              <w:rPr>
                <w:rFonts w:ascii="Georgia" w:cs="Georgia" w:eastAsia="Georgia" w:hAnsi="Georgia"/>
                <w:sz w:val="20"/>
                <w:szCs w:val="20"/>
                <w:rtl w:val="0"/>
              </w:rPr>
              <w:t xml:space="preserve">N/A</w:t>
            </w:r>
          </w:p>
        </w:tc>
      </w:tr>
      <w:tr>
        <w:trPr>
          <w:cantSplit w:val="0"/>
          <w:trHeight w:val="431.99999999999994" w:hRule="atLeast"/>
          <w:tblHeader w:val="0"/>
        </w:trPr>
        <w:tc>
          <w:tcPr>
            <w:vAlign w:val="center"/>
          </w:tcPr>
          <w:p w14:paraId="00000094">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95% Confidence Interval</w:t>
            </w:r>
          </w:p>
        </w:tc>
        <w:tc>
          <w:tcPr>
            <w:vAlign w:val="center"/>
          </w:tcPr>
          <w:p w14:paraId="00000095">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96">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97">
            <w:pPr>
              <w:rPr>
                <w:rFonts w:ascii="Georgia" w:cs="Georgia" w:eastAsia="Georgia" w:hAnsi="Georgia"/>
                <w:sz w:val="20"/>
                <w:szCs w:val="20"/>
              </w:rPr>
            </w:pPr>
            <w:r>
              <w:rPr>
                <w:rFonts w:ascii="Georgia" w:cs="Georgia" w:eastAsia="Georgia" w:hAnsi="Georgia"/>
                <w:sz w:val="20"/>
                <w:szCs w:val="20"/>
                <w:rtl w:val="0"/>
              </w:rPr>
              <w:t xml:space="preserve">Not computed</w:t>
            </w:r>
          </w:p>
        </w:tc>
        <w:tc>
          <w:tcPr>
            <w:vAlign w:val="center"/>
          </w:tcPr>
          <w:p w14:paraId="00000098">
            <w:pPr>
              <w:rPr>
                <w:rFonts w:ascii="Georgia" w:cs="Georgia" w:eastAsia="Georgia" w:hAnsi="Georgia"/>
                <w:sz w:val="20"/>
                <w:szCs w:val="20"/>
              </w:rPr>
            </w:pPr>
            <w:r>
              <w:rPr>
                <w:rFonts w:ascii="Georgia" w:cs="Georgia" w:eastAsia="Georgia" w:hAnsi="Georgia"/>
                <w:sz w:val="20"/>
                <w:szCs w:val="20"/>
                <w:rtl w:val="0"/>
              </w:rPr>
              <w:t xml:space="preserve">N/A</w:t>
            </w:r>
          </w:p>
        </w:tc>
      </w:tr>
      <w:tr>
        <w:trPr>
          <w:cantSplit w:val="0"/>
          <w:trHeight w:val="431.99999999999994" w:hRule="atLeast"/>
          <w:tblHeader w:val="0"/>
        </w:trPr>
        <w:tc>
          <w:tcPr>
            <w:vAlign w:val="center"/>
          </w:tcPr>
          <w:p w14:paraId="00000099">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Two-Sided p-value</w:t>
            </w:r>
          </w:p>
        </w:tc>
        <w:tc>
          <w:tcPr>
            <w:vAlign w:val="center"/>
          </w:tcPr>
          <w:p w14:paraId="0000009A">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9B">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9C">
            <w:pPr>
              <w:rPr>
                <w:rFonts w:ascii="Georgia" w:cs="Georgia" w:eastAsia="Georgia" w:hAnsi="Georgia"/>
                <w:sz w:val="20"/>
                <w:szCs w:val="20"/>
              </w:rPr>
            </w:pPr>
            <w:r>
              <w:rPr>
                <w:rFonts w:ascii="Georgia" w:cs="Georgia" w:eastAsia="Georgia" w:hAnsi="Georgia"/>
                <w:sz w:val="20"/>
                <w:szCs w:val="20"/>
                <w:rtl w:val="0"/>
              </w:rPr>
              <w:t xml:space="preserve">Not computed</w:t>
            </w:r>
          </w:p>
        </w:tc>
        <w:tc>
          <w:tcPr>
            <w:vAlign w:val="center"/>
          </w:tcPr>
          <w:p w14:paraId="0000009D">
            <w:pPr>
              <w:rPr>
                <w:rFonts w:ascii="Georgia" w:cs="Georgia" w:eastAsia="Georgia" w:hAnsi="Georgia"/>
                <w:sz w:val="20"/>
                <w:szCs w:val="20"/>
              </w:rPr>
            </w:pPr>
            <w:r>
              <w:rPr>
                <w:rFonts w:ascii="Georgia" w:cs="Georgia" w:eastAsia="Georgia" w:hAnsi="Georgia"/>
                <w:sz w:val="20"/>
                <w:szCs w:val="20"/>
                <w:rtl w:val="0"/>
              </w:rPr>
              <w:t xml:space="preserve">N/A</w:t>
            </w:r>
          </w:p>
        </w:tc>
      </w:tr>
      <w:tr>
        <w:trPr>
          <w:cantSplit w:val="0"/>
          <w:trHeight w:val="431.99999999999994" w:hRule="atLeast"/>
          <w:tblHeader w:val="0"/>
        </w:trPr>
        <w:tc>
          <w:tcPr>
            <w:vAlign w:val="center"/>
          </w:tcPr>
          <w:p w14:paraId="0000009E">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Outcome Narrative</w:t>
            </w:r>
          </w:p>
        </w:tc>
        <w:tc>
          <w:tcPr>
            <w:vAlign w:val="center"/>
          </w:tcPr>
          <w:p w14:paraId="0000009F">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A0">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A1">
            <w:pPr>
              <w:rPr>
                <w:rFonts w:ascii="Georgia" w:cs="Georgia" w:eastAsia="Georgia" w:hAnsi="Georgia"/>
                <w:sz w:val="20"/>
                <w:szCs w:val="20"/>
              </w:rPr>
            </w:pPr>
            <w:r>
              <w:rPr>
                <w:rFonts w:ascii="Georgia" w:cs="Georgia" w:eastAsia="Georgia" w:hAnsi="Georgia"/>
                <w:sz w:val="20"/>
                <w:szCs w:val="20"/>
                <w:rtl w:val="0"/>
              </w:rPr>
              <w:t xml:space="preserve">Experiment not run</w:t>
            </w:r>
          </w:p>
        </w:tc>
        <w:tc>
          <w:tcPr>
            <w:vAlign w:val="center"/>
          </w:tcPr>
          <w:p w14:paraId="000000A2">
            <w:pPr>
              <w:rPr>
                <w:rFonts w:ascii="Georgia" w:cs="Georgia" w:eastAsia="Georgia" w:hAnsi="Georgia"/>
                <w:sz w:val="20"/>
                <w:szCs w:val="20"/>
              </w:rPr>
            </w:pPr>
            <w:r>
              <w:rPr>
                <w:rFonts w:ascii="Georgia" w:cs="Georgia" w:eastAsia="Georgia" w:hAnsi="Georgia"/>
                <w:sz w:val="20"/>
                <w:szCs w:val="20"/>
                <w:rtl w:val="0"/>
              </w:rPr>
              <w:t xml:space="preserve">N/A</w:t>
            </w:r>
          </w:p>
        </w:tc>
      </w:tr>
    </w:tbl>
    <w:p w14:paraId="000000A3">
      <w:pPr>
        <w:spacing w:after="240" w:before="240" w:lineRule="auto"/>
        <w:rPr>
          <w:rFonts w:ascii="Georgia" w:cs="Georgia" w:eastAsia="Georgia" w:hAnsi="Georgia"/>
        </w:rPr>
      </w:pPr>
      <w:r>
        <w:rPr>
          <w:rFonts w:ascii="Georgia" w:cs="Georgia" w:eastAsia="Georgia" w:hAnsi="Georgia"/>
          <w:rtl w:val="0"/>
        </w:rPr>
        <w:t xml:space="preserve">No primary outcome is available because the pilot has not run. Do not infer product impact from the scaffold or demo match cards.</w:t>
      </w:r>
    </w:p>
    <w:p w14:paraId="000000A4">
      <w:pPr>
        <w:spacing w:after="160" w:line="278.00000000000006" w:lineRule="auto"/>
        <w:rPr>
          <w:rFonts w:ascii="Georgia" w:cs="Georgia" w:eastAsia="Georgia" w:hAnsi="Georgia"/>
        </w:rPr>
      </w:pPr>
      <w:r>
        <w:rPr>
          <w:rtl w:val="0"/>
        </w:rPr>
      </w:r>
    </w:p>
    <w:p w14:paraId="000000A5">
      <w:pPr>
        <w:pStyle w:val="Heading1"/>
        <w:rPr>
          <w:rFonts w:ascii="Georgia" w:cs="Georgia" w:eastAsia="Georgia" w:hAnsi="Georgia"/>
        </w:rPr>
      </w:pPr>
      <w:r>
        <w:rPr>
          <w:rFonts w:ascii="Georgia" w:cs="Georgia" w:eastAsia="Georgia" w:hAnsi="Georgia"/>
          <w:rtl w:val="0"/>
        </w:rPr>
        <w:t xml:space="preserve">Guardrail Metrics</w:t>
      </w:r>
    </w:p>
    <w:p w14:paraId="000000A6">
      <w:pPr>
        <w:rPr>
          <w:rFonts w:ascii="Georgia" w:cs="Georgia" w:eastAsia="Georgia" w:hAnsi="Georgia"/>
        </w:rPr>
      </w:pPr>
      <w:r>
        <w:rPr>
          <w:rtl w:val="0"/>
        </w:rPr>
      </w:r>
    </w:p>
    <w:tbl>
      <w:tblPr>
        <w:tblStyle w:val="Table6"/>
        <w:tblW w:w="9350.000000000002"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263"/>
        <w:gridCol w:w="1843"/>
        <w:gridCol w:w="1843"/>
        <w:gridCol w:w="1701"/>
        <w:gridCol w:w="1700"/>
        <w:tblGridChange w:id="0">
          <w:tblGrid>
            <w:gridCol w:w="2263"/>
            <w:gridCol w:w="1843"/>
            <w:gridCol w:w="1843"/>
            <w:gridCol w:w="1701"/>
            <w:gridCol w:w="1700"/>
          </w:tblGrid>
        </w:tblGridChange>
      </w:tblGrid>
      <w:tr>
        <w:trPr>
          <w:cantSplit w:val="0"/>
          <w:trHeight w:val="431.99999999999994" w:hRule="atLeast"/>
          <w:tblHeader w:val="0"/>
        </w:trPr>
        <w:tc>
          <w:tcPr>
            <w:shd w:fill="f3f3f3" w:val="clear"/>
            <w:vAlign w:val="center"/>
          </w:tcPr>
          <w:p w14:paraId="000000A7">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Guardrail Metric</w:t>
            </w:r>
          </w:p>
        </w:tc>
        <w:tc>
          <w:tcPr>
            <w:shd w:fill="f3f3f3" w:val="clear"/>
            <w:vAlign w:val="center"/>
          </w:tcPr>
          <w:p w14:paraId="000000A8">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Variant A</w:t>
            </w:r>
          </w:p>
        </w:tc>
        <w:tc>
          <w:tcPr>
            <w:shd w:fill="f3f3f3" w:val="clear"/>
            <w:vAlign w:val="center"/>
          </w:tcPr>
          <w:p w14:paraId="000000A9">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Variant B</w:t>
            </w:r>
          </w:p>
        </w:tc>
        <w:tc>
          <w:tcPr>
            <w:shd w:fill="f3f3f3" w:val="clear"/>
            <w:vAlign w:val="center"/>
          </w:tcPr>
          <w:p w14:paraId="000000AA">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Delta</w:t>
            </w:r>
          </w:p>
        </w:tc>
        <w:tc>
          <w:tcPr>
            <w:shd w:fill="f3f3f3" w:val="clear"/>
            <w:vAlign w:val="center"/>
          </w:tcPr>
          <w:p w14:paraId="000000AB">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Status</w:t>
            </w:r>
          </w:p>
        </w:tc>
      </w:tr>
      <w:tr>
        <w:trPr>
          <w:cantSplit w:val="0"/>
          <w:trHeight w:val="446.9921875" w:hRule="atLeast"/>
          <w:tblHeader w:val="0"/>
        </w:trPr>
        <w:tc>
          <w:tcPr>
            <w:vAlign w:val="center"/>
          </w:tcPr>
          <w:p w14:paraId="000000AC">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Match-data accuracy</w:t>
            </w:r>
          </w:p>
        </w:tc>
        <w:tc>
          <w:tcPr>
            <w:vAlign w:val="center"/>
          </w:tcPr>
          <w:p w14:paraId="000000AD">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AE">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AF">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B0">
            <w:pPr>
              <w:rPr>
                <w:rFonts w:ascii="Georgia" w:cs="Georgia" w:eastAsia="Georgia" w:hAnsi="Georgia"/>
                <w:sz w:val="20"/>
                <w:szCs w:val="20"/>
              </w:rPr>
            </w:pPr>
            <w:r>
              <w:rPr>
                <w:rFonts w:ascii="Georgia" w:cs="Georgia" w:eastAsia="Georgia" w:hAnsi="Georgia"/>
                <w:sz w:val="20"/>
                <w:szCs w:val="20"/>
                <w:rtl w:val="0"/>
              </w:rPr>
              <w:t xml:space="preserve">Not run</w:t>
            </w:r>
          </w:p>
        </w:tc>
      </w:tr>
      <w:tr>
        <w:trPr>
          <w:cantSplit w:val="0"/>
          <w:trHeight w:val="446.9921875" w:hRule="atLeast"/>
          <w:tblHeader w:val="0"/>
        </w:trPr>
        <w:tc>
          <w:tcPr>
            <w:vAlign w:val="center"/>
          </w:tcPr>
          <w:p w14:paraId="000000B1">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Admin entry time</w:t>
            </w:r>
          </w:p>
        </w:tc>
        <w:tc>
          <w:tcPr>
            <w:vAlign w:val="center"/>
          </w:tcPr>
          <w:p w14:paraId="000000B2">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B3">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B4">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B5">
            <w:pPr>
              <w:rPr>
                <w:rFonts w:ascii="Georgia" w:cs="Georgia" w:eastAsia="Georgia" w:hAnsi="Georgia"/>
                <w:sz w:val="20"/>
                <w:szCs w:val="20"/>
              </w:rPr>
            </w:pPr>
            <w:r>
              <w:rPr>
                <w:rFonts w:ascii="Georgia" w:cs="Georgia" w:eastAsia="Georgia" w:hAnsi="Georgia"/>
                <w:sz w:val="20"/>
                <w:szCs w:val="20"/>
                <w:rtl w:val="0"/>
              </w:rPr>
              <w:t xml:space="preserve">Not run</w:t>
            </w:r>
          </w:p>
        </w:tc>
      </w:tr>
      <w:tr>
        <w:trPr>
          <w:cantSplit w:val="0"/>
          <w:trHeight w:val="446.9921875" w:hRule="atLeast"/>
          <w:tblHeader w:val="0"/>
        </w:trPr>
        <w:tc>
          <w:tcPr>
            <w:vAlign w:val="center"/>
          </w:tcPr>
          <w:p w14:paraId="000000B6">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API error rate</w:t>
            </w:r>
          </w:p>
        </w:tc>
        <w:tc>
          <w:tcPr>
            <w:vAlign w:val="center"/>
          </w:tcPr>
          <w:p w14:paraId="000000B7">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B8">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B9">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BA">
            <w:pPr>
              <w:rPr>
                <w:rFonts w:ascii="Georgia" w:cs="Georgia" w:eastAsia="Georgia" w:hAnsi="Georgia"/>
                <w:sz w:val="20"/>
                <w:szCs w:val="20"/>
              </w:rPr>
            </w:pPr>
            <w:r>
              <w:rPr>
                <w:rFonts w:ascii="Georgia" w:cs="Georgia" w:eastAsia="Georgia" w:hAnsi="Georgia"/>
                <w:sz w:val="20"/>
                <w:szCs w:val="20"/>
                <w:rtl w:val="0"/>
              </w:rPr>
              <w:t xml:space="preserve">Not run</w:t>
            </w:r>
          </w:p>
        </w:tc>
      </w:tr>
      <w:tr>
        <w:trPr>
          <w:cantSplit w:val="0"/>
          <w:trHeight w:val="446.9921875" w:hRule="atLeast"/>
          <w:tblHeader w:val="0"/>
        </w:trPr>
        <w:tc>
          <w:tcPr>
            <w:vAlign w:val="center"/>
          </w:tcPr>
          <w:p w14:paraId="000000BB">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Account deletion success</w:t>
            </w:r>
          </w:p>
        </w:tc>
        <w:tc>
          <w:tcPr>
            <w:vAlign w:val="center"/>
          </w:tcPr>
          <w:p w14:paraId="000000BC">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BD">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BE">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BF">
            <w:pPr>
              <w:rPr>
                <w:rFonts w:ascii="Georgia" w:cs="Georgia" w:eastAsia="Georgia" w:hAnsi="Georgia"/>
                <w:sz w:val="20"/>
                <w:szCs w:val="20"/>
              </w:rPr>
            </w:pPr>
            <w:r>
              <w:rPr>
                <w:rFonts w:ascii="Georgia" w:cs="Georgia" w:eastAsia="Georgia" w:hAnsi="Georgia"/>
                <w:sz w:val="20"/>
                <w:szCs w:val="20"/>
                <w:rtl w:val="0"/>
              </w:rPr>
              <w:t xml:space="preserve">Not run</w:t>
            </w:r>
          </w:p>
        </w:tc>
      </w:tr>
    </w:tbl>
    <w:p w14:paraId="000000C0">
      <w:pPr>
        <w:spacing w:after="240" w:before="240" w:lineRule="auto"/>
        <w:jc w:val="both"/>
        <w:rPr>
          <w:rFonts w:ascii="Georgia" w:cs="Georgia" w:eastAsia="Georgia" w:hAnsi="Georgia"/>
        </w:rPr>
      </w:pPr>
      <w:r>
        <w:rPr>
          <w:rFonts w:ascii="Georgia" w:cs="Georgia" w:eastAsia="Georgia" w:hAnsi="Georgia"/>
          <w:rtl w:val="0"/>
        </w:rPr>
        <w:t xml:space="preserve">No guardrail results are available. Launch review must confirm data accuracy, admin workload, and service reliability before considering member expansion.</w:t>
      </w:r>
    </w:p>
    <w:p w14:paraId="000000C1">
      <w:pPr>
        <w:pStyle w:val="Heading1"/>
        <w:rPr>
          <w:rFonts w:ascii="Georgia" w:cs="Georgia" w:eastAsia="Georgia" w:hAnsi="Georgia"/>
        </w:rPr>
      </w:pPr>
      <w:r>
        <w:rPr>
          <w:rFonts w:ascii="Georgia" w:cs="Georgia" w:eastAsia="Georgia" w:hAnsi="Georgia"/>
          <w:rtl w:val="0"/>
        </w:rPr>
        <w:t xml:space="preserve">Segment Results</w:t>
      </w:r>
    </w:p>
    <w:p w14:paraId="000000C2">
      <w:pPr>
        <w:spacing w:after="240" w:before="240" w:lineRule="auto"/>
        <w:jc w:val="both"/>
        <w:rPr>
          <w:rFonts w:ascii="Georgia" w:cs="Georgia" w:eastAsia="Georgia" w:hAnsi="Georgia"/>
        </w:rPr>
      </w:pPr>
      <w:r>
        <w:rPr>
          <w:rFonts w:ascii="Georgia" w:cs="Georgia" w:eastAsia="Georgia" w:hAnsi="Georgia"/>
          <w:rtl w:val="0"/>
        </w:rPr>
        <w:t xml:space="preserve">Pre-specify role, squad category, connection quality, new versus returning user, and device-size segments. Treat subgroup results as directional unless the sample plan explicitly powers those comparisons.</w:t>
      </w:r>
    </w:p>
    <w:tbl>
      <w:tblPr>
        <w:tblStyle w:val="Table7"/>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rHeight w:val="431.99999999999994" w:hRule="atLeast"/>
          <w:tblHeader w:val="0"/>
        </w:trPr>
        <w:tc>
          <w:tcPr>
            <w:shd w:fill="f3f3f3" w:val="clear"/>
            <w:vAlign w:val="center"/>
          </w:tcPr>
          <w:p w14:paraId="000000C3">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Segment</w:t>
            </w:r>
          </w:p>
        </w:tc>
        <w:tc>
          <w:tcPr>
            <w:shd w:fill="f3f3f3" w:val="clear"/>
            <w:vAlign w:val="center"/>
          </w:tcPr>
          <w:p w14:paraId="000000C4">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Control Value</w:t>
            </w:r>
          </w:p>
        </w:tc>
        <w:tc>
          <w:tcPr>
            <w:shd w:fill="f3f3f3" w:val="clear"/>
            <w:vAlign w:val="center"/>
          </w:tcPr>
          <w:p w14:paraId="000000C5">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Treatment Value</w:t>
            </w:r>
          </w:p>
        </w:tc>
        <w:tc>
          <w:tcPr>
            <w:shd w:fill="f3f3f3" w:val="clear"/>
            <w:vAlign w:val="center"/>
          </w:tcPr>
          <w:p w14:paraId="000000C6">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Absolute Delta</w:t>
            </w:r>
          </w:p>
        </w:tc>
        <w:tc>
          <w:tcPr>
            <w:shd w:fill="f3f3f3" w:val="clear"/>
            <w:vAlign w:val="center"/>
          </w:tcPr>
          <w:p w14:paraId="000000C7">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Interpretation</w:t>
            </w:r>
          </w:p>
        </w:tc>
      </w:tr>
      <w:tr>
        <w:trPr>
          <w:cantSplit w:val="0"/>
          <w:trHeight w:val="431.99999999999994" w:hRule="atLeast"/>
          <w:tblHeader w:val="0"/>
        </w:trPr>
        <w:tc>
          <w:tcPr>
            <w:vAlign w:val="center"/>
          </w:tcPr>
          <w:p w14:paraId="000000C8">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User role</w:t>
            </w:r>
          </w:p>
        </w:tc>
        <w:tc>
          <w:tcPr>
            <w:vAlign w:val="center"/>
          </w:tcPr>
          <w:p w14:paraId="000000C9">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CA">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CB">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CC">
            <w:pPr>
              <w:rPr>
                <w:rFonts w:ascii="Georgia" w:cs="Georgia" w:eastAsia="Georgia" w:hAnsi="Georgia"/>
                <w:sz w:val="20"/>
                <w:szCs w:val="20"/>
              </w:rPr>
            </w:pPr>
            <w:r>
              <w:rPr>
                <w:rFonts w:ascii="Georgia" w:cs="Georgia" w:eastAsia="Georgia" w:hAnsi="Georgia"/>
                <w:sz w:val="20"/>
                <w:szCs w:val="20"/>
                <w:rtl w:val="0"/>
              </w:rPr>
              <w:t xml:space="preserve">Pre-specified; no result</w:t>
            </w:r>
          </w:p>
        </w:tc>
      </w:tr>
      <w:tr>
        <w:trPr>
          <w:cantSplit w:val="0"/>
          <w:trHeight w:val="431.99999999999994" w:hRule="atLeast"/>
          <w:tblHeader w:val="0"/>
        </w:trPr>
        <w:tc>
          <w:tcPr>
            <w:vAlign w:val="center"/>
          </w:tcPr>
          <w:p w14:paraId="000000CD">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Squad category</w:t>
            </w:r>
          </w:p>
        </w:tc>
        <w:tc>
          <w:tcPr>
            <w:vAlign w:val="center"/>
          </w:tcPr>
          <w:p w14:paraId="000000CE">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CF">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D0">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D1">
            <w:pPr>
              <w:rPr>
                <w:rFonts w:ascii="Georgia" w:cs="Georgia" w:eastAsia="Georgia" w:hAnsi="Georgia"/>
                <w:sz w:val="20"/>
                <w:szCs w:val="20"/>
              </w:rPr>
            </w:pPr>
            <w:r>
              <w:rPr>
                <w:rFonts w:ascii="Georgia" w:cs="Georgia" w:eastAsia="Georgia" w:hAnsi="Georgia"/>
                <w:sz w:val="20"/>
                <w:szCs w:val="20"/>
                <w:rtl w:val="0"/>
              </w:rPr>
              <w:t xml:space="preserve">Pre-specified; no result</w:t>
            </w:r>
          </w:p>
        </w:tc>
      </w:tr>
      <w:tr>
        <w:trPr>
          <w:cantSplit w:val="0"/>
          <w:trHeight w:val="431.99999999999994" w:hRule="atLeast"/>
          <w:tblHeader w:val="0"/>
        </w:trPr>
        <w:tc>
          <w:tcPr>
            <w:vAlign w:val="center"/>
          </w:tcPr>
          <w:p w14:paraId="000000D2">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Connection quality</w:t>
            </w:r>
          </w:p>
        </w:tc>
        <w:tc>
          <w:tcPr>
            <w:vAlign w:val="center"/>
          </w:tcPr>
          <w:p w14:paraId="000000D3">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D4">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D5">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D6">
            <w:pPr>
              <w:rPr>
                <w:rFonts w:ascii="Georgia" w:cs="Georgia" w:eastAsia="Georgia" w:hAnsi="Georgia"/>
                <w:sz w:val="20"/>
                <w:szCs w:val="20"/>
              </w:rPr>
            </w:pPr>
            <w:r>
              <w:rPr>
                <w:rFonts w:ascii="Georgia" w:cs="Georgia" w:eastAsia="Georgia" w:hAnsi="Georgia"/>
                <w:sz w:val="20"/>
                <w:szCs w:val="20"/>
                <w:rtl w:val="0"/>
              </w:rPr>
              <w:t xml:space="preserve">Pre-specified; no result</w:t>
            </w:r>
          </w:p>
        </w:tc>
      </w:tr>
      <w:tr>
        <w:trPr>
          <w:cantSplit w:val="0"/>
          <w:trHeight w:val="431.99999999999994" w:hRule="atLeast"/>
          <w:tblHeader w:val="0"/>
        </w:trPr>
        <w:tc>
          <w:tcPr>
            <w:vAlign w:val="center"/>
          </w:tcPr>
          <w:p w14:paraId="000000D7">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New vs returning</w:t>
            </w:r>
          </w:p>
        </w:tc>
        <w:tc>
          <w:tcPr>
            <w:vAlign w:val="center"/>
          </w:tcPr>
          <w:p w14:paraId="000000D8">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D9">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DA">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DB">
            <w:pPr>
              <w:rPr>
                <w:rFonts w:ascii="Georgia" w:cs="Georgia" w:eastAsia="Georgia" w:hAnsi="Georgia"/>
                <w:sz w:val="20"/>
                <w:szCs w:val="20"/>
              </w:rPr>
            </w:pPr>
            <w:r>
              <w:rPr>
                <w:rFonts w:ascii="Georgia" w:cs="Georgia" w:eastAsia="Georgia" w:hAnsi="Georgia"/>
                <w:sz w:val="20"/>
                <w:szCs w:val="20"/>
                <w:rtl w:val="0"/>
              </w:rPr>
              <w:t xml:space="preserve">Pre-specified; no result</w:t>
            </w:r>
          </w:p>
        </w:tc>
      </w:tr>
      <w:tr>
        <w:trPr>
          <w:cantSplit w:val="0"/>
          <w:trHeight w:val="431.99999999999994" w:hRule="atLeast"/>
          <w:tblHeader w:val="0"/>
        </w:trPr>
        <w:tc>
          <w:tcPr>
            <w:vAlign w:val="center"/>
          </w:tcPr>
          <w:p w14:paraId="000000DC">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Device size</w:t>
            </w:r>
          </w:p>
        </w:tc>
        <w:tc>
          <w:tcPr>
            <w:vAlign w:val="center"/>
          </w:tcPr>
          <w:p w14:paraId="000000DD">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DE">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DF">
            <w:pPr>
              <w:rPr>
                <w:rFonts w:ascii="Georgia" w:cs="Georgia" w:eastAsia="Georgia" w:hAnsi="Georgia"/>
                <w:sz w:val="20"/>
                <w:szCs w:val="20"/>
              </w:rPr>
            </w:pPr>
            <w:r>
              <w:rPr>
                <w:rFonts w:ascii="Georgia" w:cs="Georgia" w:eastAsia="Georgia" w:hAnsi="Georgia"/>
                <w:sz w:val="20"/>
                <w:szCs w:val="20"/>
                <w:rtl w:val="0"/>
              </w:rPr>
              <w:t xml:space="preserve">N/A</w:t>
            </w:r>
          </w:p>
        </w:tc>
        <w:tc>
          <w:tcPr>
            <w:vAlign w:val="center"/>
          </w:tcPr>
          <w:p w14:paraId="000000E0">
            <w:pPr>
              <w:rPr>
                <w:rFonts w:ascii="Georgia" w:cs="Georgia" w:eastAsia="Georgia" w:hAnsi="Georgia"/>
                <w:sz w:val="20"/>
                <w:szCs w:val="20"/>
              </w:rPr>
            </w:pPr>
            <w:r>
              <w:rPr>
                <w:rFonts w:ascii="Georgia" w:cs="Georgia" w:eastAsia="Georgia" w:hAnsi="Georgia"/>
                <w:sz w:val="20"/>
                <w:szCs w:val="20"/>
                <w:rtl w:val="0"/>
              </w:rPr>
              <w:t xml:space="preserve">Pre-specified; no result</w:t>
            </w:r>
          </w:p>
        </w:tc>
      </w:tr>
    </w:tbl>
    <w:p w14:paraId="000000E1">
      <w:pPr>
        <w:rPr>
          <w:rFonts w:ascii="Georgia" w:cs="Georgia" w:eastAsia="Georgia" w:hAnsi="Georgia"/>
        </w:rPr>
      </w:pPr>
      <w:r>
        <w:rPr>
          <w:rtl w:val="0"/>
        </w:rPr>
      </w:r>
    </w:p>
    <w:p w14:paraId="000000E2">
      <w:pPr>
        <w:spacing w:after="240" w:before="240" w:lineRule="auto"/>
        <w:jc w:val="both"/>
        <w:rPr>
          <w:rFonts w:ascii="Georgia" w:cs="Georgia" w:eastAsia="Georgia" w:hAnsi="Georgia"/>
        </w:rPr>
      </w:pPr>
      <w:r>
        <w:rPr>
          <w:rFonts w:ascii="Georgia" w:cs="Georgia" w:eastAsia="Georgia" w:hAnsi="Georgia"/>
          <w:rtl w:val="0"/>
        </w:rPr>
        <w:t xml:space="preserve">No segment pattern can be interpreted before the experiment. Limit the final report to pre-specified segments and report uncertainty and sample size for every comparison.</w:t>
      </w:r>
    </w:p>
    <w:p w14:paraId="000000E3">
      <w:pPr>
        <w:spacing w:after="240" w:before="240" w:lineRule="auto"/>
        <w:jc w:val="both"/>
        <w:rPr>
          <w:rFonts w:ascii="Georgia" w:cs="Georgia" w:eastAsia="Georgia" w:hAnsi="Georgia"/>
        </w:rPr>
      </w:pPr>
      <w:r>
        <w:rPr>
          <w:rtl w:val="0"/>
        </w:rPr>
      </w:r>
    </w:p>
    <w:p w14:paraId="000000E4">
      <w:pPr>
        <w:pStyle w:val="Heading1"/>
        <w:rPr>
          <w:rFonts w:ascii="Georgia" w:cs="Georgia" w:eastAsia="Georgia" w:hAnsi="Georgia"/>
        </w:rPr>
      </w:pPr>
      <w:r>
        <w:rPr>
          <w:rFonts w:ascii="Georgia" w:cs="Georgia" w:eastAsia="Georgia" w:hAnsi="Georgia"/>
          <w:rtl w:val="0"/>
        </w:rPr>
        <w:t xml:space="preserve">Data Quality and Limitations</w:t>
      </w:r>
    </w:p>
    <w:p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The baseline match-information workflow and its reliability are not yet documented.</w:t>
      </w:r>
      <w:r>
        <w:rPr>
          <w:rtl w:val="0"/>
        </w:rPr>
      </w:r>
    </w:p>
    <w:p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Squad labels and hierarchy require confirmation from the club owner.</w:t>
      </w:r>
      <w:r>
        <w:rPr>
          <w:rtl w:val="0"/>
        </w:rPr>
      </w:r>
    </w:p>
    <w:p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Instrumentation and database pipelines have not yet been exercised with pilot traffic.</w:t>
      </w:r>
      <w:r>
        <w:rPr>
          <w:rtl w:val="0"/>
        </w:rPr>
      </w:r>
    </w:p>
    <w:p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An iOS-only, single-academy pilot will not generalize to Android or other clubs.</w:t>
      </w:r>
      <w:r>
        <w:rPr>
          <w:rtl w:val="0"/>
        </w:rPr>
      </w:r>
    </w:p>
    <w:p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Live admin entry can introduce human error; post-match correction needs an audit trail.</w:t>
      </w:r>
      <w:r>
        <w:rPr>
          <w:rtl w:val="0"/>
        </w:rPr>
      </w:r>
    </w:p>
    <w:p w14:paraId="000000EA">
      <w:pPr>
        <w:spacing w:after="240" w:before="240" w:lineRule="auto"/>
        <w:jc w:val="both"/>
        <w:rPr>
          <w:rFonts w:ascii="Georgia" w:cs="Georgia" w:eastAsia="Georgia" w:hAnsi="Georgia"/>
        </w:rPr>
      </w:pPr>
      <w:r>
        <w:rPr>
          <w:rFonts w:ascii="Georgia" w:cs="Georgia" w:eastAsia="Georgia" w:hAnsi="Georgia"/>
          <w:rtl w:val="0"/>
        </w:rPr>
        <w:t xml:space="preserve">These limitations make the current recommendation a validation plan, not evidence of impact. Conclusions should apply only to the eligible AIMZ pilot population and the approved test window.</w:t>
      </w:r>
    </w:p>
    <w:p w14:paraId="000000EB">
      <w:pPr>
        <w:spacing w:after="240" w:before="240" w:lineRule="auto"/>
        <w:jc w:val="both"/>
        <w:rPr>
          <w:rFonts w:ascii="Georgia" w:cs="Georgia" w:eastAsia="Georgia" w:hAnsi="Georgia"/>
        </w:rPr>
      </w:pPr>
      <w:r>
        <w:rPr>
          <w:rtl w:val="0"/>
        </w:rPr>
      </w:r>
    </w:p>
    <w:p w14:paraId="000000EC">
      <w:pPr>
        <w:pStyle w:val="Heading1"/>
        <w:rPr>
          <w:rFonts w:ascii="Georgia" w:cs="Georgia" w:eastAsia="Georgia" w:hAnsi="Georgia"/>
        </w:rPr>
      </w:pPr>
      <w:r>
        <w:rPr>
          <w:rFonts w:ascii="Georgia" w:cs="Georgia" w:eastAsia="Georgia" w:hAnsi="Georgia"/>
          <w:rtl w:val="0"/>
        </w:rPr>
        <w:t xml:space="preserve">Interpretation</w:t>
      </w:r>
    </w:p>
    <w:p w14:paraId="000000ED">
      <w:pPr>
        <w:spacing w:after="240" w:before="240" w:lineRule="auto"/>
        <w:jc w:val="both"/>
        <w:rPr>
          <w:rFonts w:ascii="Georgia" w:cs="Georgia" w:eastAsia="Georgia" w:hAnsi="Georgia"/>
        </w:rPr>
      </w:pPr>
      <w:r>
        <w:rPr>
          <w:rFonts w:ascii="Georgia" w:cs="Georgia" w:eastAsia="Georgia" w:hAnsi="Georgia"/>
          <w:rtl w:val="0"/>
        </w:rPr>
        <w:t xml:space="preserve">The experiment has not run, so the hypothesis is untested and no causal interpretation is valid. The scaffold demonstrates technical feasibility only.</w:t>
      </w:r>
    </w:p>
    <w:p w14:paraId="000000EE">
      <w:pPr>
        <w:spacing w:after="240" w:before="240" w:lineRule="auto"/>
        <w:jc w:val="both"/>
        <w:rPr>
          <w:rFonts w:ascii="Georgia" w:cs="Georgia" w:eastAsia="Georgia" w:hAnsi="Georgia"/>
        </w:rPr>
      </w:pPr>
      <w:r>
        <w:rPr>
          <w:rFonts w:ascii="Georgia" w:cs="Georgia" w:eastAsia="Georgia" w:hAnsi="Georgia"/>
          <w:rtl w:val="0"/>
        </w:rPr>
        <w:t xml:space="preserve">Proceed with authentication and core match data, then run staff QA before a controlled member pilot. Keep broad release contingent on pre-registered success and guardrail rules.</w:t>
      </w:r>
    </w:p>
    <w:p w14:paraId="000000EF">
      <w:pPr>
        <w:spacing w:after="160" w:line="278.00000000000006" w:lineRule="auto"/>
        <w:rPr>
          <w:rFonts w:ascii="Georgia" w:cs="Georgia" w:eastAsia="Georgia" w:hAnsi="Georgia"/>
        </w:rPr>
      </w:pPr>
      <w:r>
        <w:rPr>
          <w:rtl w:val="0"/>
        </w:rPr>
      </w:r>
    </w:p>
    <w:p w14:paraId="000000F0">
      <w:pPr>
        <w:pStyle w:val="Heading1"/>
        <w:rPr>
          <w:rFonts w:ascii="Georgia" w:cs="Georgia" w:eastAsia="Georgia" w:hAnsi="Georgia"/>
        </w:rPr>
      </w:pPr>
      <w:r>
        <w:rPr>
          <w:rFonts w:ascii="Georgia" w:cs="Georgia" w:eastAsia="Georgia" w:hAnsi="Georgia"/>
          <w:rtl w:val="0"/>
        </w:rPr>
        <w:t xml:space="preserve">Decision Log</w:t>
      </w:r>
    </w:p>
    <w:p w14:paraId="000000F1">
      <w:pPr>
        <w:rPr>
          <w:rFonts w:ascii="Georgia" w:cs="Georgia" w:eastAsia="Georgia" w:hAnsi="Georgia"/>
        </w:rPr>
      </w:pPr>
      <w:r>
        <w:rPr>
          <w:rtl w:val="0"/>
        </w:rPr>
      </w:r>
    </w:p>
    <w:tbl>
      <w:tblPr>
        <w:tblStyle w:val="Table8"/>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263"/>
        <w:gridCol w:w="7087"/>
        <w:tblGridChange w:id="0">
          <w:tblGrid>
            <w:gridCol w:w="2263"/>
            <w:gridCol w:w="7087"/>
          </w:tblGrid>
        </w:tblGridChange>
      </w:tblGrid>
      <w:tr>
        <w:trPr>
          <w:cantSplit w:val="0"/>
          <w:trHeight w:val="431.99999999999994" w:hRule="atLeast"/>
          <w:tblHeader w:val="0"/>
        </w:trPr>
        <w:tc>
          <w:tcPr>
            <w:shd w:fill="f3f3f3" w:val="clear"/>
            <w:vAlign w:val="center"/>
          </w:tcPr>
          <w:p w14:paraId="000000F2">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Item</w:t>
            </w:r>
          </w:p>
        </w:tc>
        <w:tc>
          <w:tcPr>
            <w:shd w:fill="f3f3f3" w:val="clear"/>
            <w:vAlign w:val="center"/>
          </w:tcPr>
          <w:p w14:paraId="000000F3">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Decision</w:t>
            </w:r>
          </w:p>
        </w:tc>
      </w:tr>
      <w:tr>
        <w:trPr>
          <w:cantSplit w:val="0"/>
          <w:trHeight w:val="431.99999999999994" w:hRule="atLeast"/>
          <w:tblHeader w:val="0"/>
        </w:trPr>
        <w:tc>
          <w:tcPr>
            <w:vAlign w:val="center"/>
          </w:tcPr>
          <w:p w14:paraId="000000F4">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Final Decision</w:t>
            </w:r>
          </w:p>
        </w:tc>
        <w:tc>
          <w:tcPr>
            <w:vAlign w:val="center"/>
          </w:tcPr>
          <w:p w14:paraId="000000F5">
            <w:pPr>
              <w:jc w:val="both"/>
              <w:rPr>
                <w:rFonts w:ascii="Georgia" w:cs="Georgia" w:eastAsia="Georgia" w:hAnsi="Georgia"/>
                <w:sz w:val="20"/>
                <w:szCs w:val="20"/>
              </w:rPr>
            </w:pPr>
            <w:r>
              <w:rPr>
                <w:rFonts w:ascii="Georgia" w:cs="Georgia" w:eastAsia="Georgia" w:hAnsi="Georgia"/>
                <w:sz w:val="20"/>
                <w:szCs w:val="20"/>
                <w:rtl w:val="0"/>
              </w:rPr>
              <w:t xml:space="preserve">Proceed with the MVP scaffold and pilot design; no broad launch decision</w:t>
            </w:r>
          </w:p>
        </w:tc>
      </w:tr>
      <w:tr>
        <w:trPr>
          <w:cantSplit w:val="0"/>
          <w:trHeight w:val="431.99999999999994" w:hRule="atLeast"/>
          <w:tblHeader w:val="0"/>
        </w:trPr>
        <w:tc>
          <w:tcPr>
            <w:vAlign w:val="center"/>
          </w:tcPr>
          <w:p w14:paraId="000000F6">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Decision Date</w:t>
            </w:r>
          </w:p>
        </w:tc>
        <w:tc>
          <w:tcPr>
            <w:vAlign w:val="center"/>
          </w:tcPr>
          <w:p w14:paraId="000000F7">
            <w:pPr>
              <w:jc w:val="both"/>
              <w:rPr>
                <w:rFonts w:ascii="Georgia" w:cs="Georgia" w:eastAsia="Georgia" w:hAnsi="Georgia"/>
                <w:sz w:val="20"/>
                <w:szCs w:val="20"/>
              </w:rPr>
            </w:pPr>
            <w:r>
              <w:rPr>
                <w:rFonts w:ascii="Georgia" w:cs="Georgia" w:eastAsia="Georgia" w:hAnsi="Georgia"/>
                <w:sz w:val="20"/>
                <w:szCs w:val="20"/>
                <w:rtl w:val="0"/>
              </w:rPr>
              <w:t xml:space="preserve">August 18, 2026</w:t>
            </w:r>
          </w:p>
        </w:tc>
      </w:tr>
      <w:tr>
        <w:trPr>
          <w:cantSplit w:val="0"/>
          <w:trHeight w:val="431.99999999999994" w:hRule="atLeast"/>
          <w:tblHeader w:val="0"/>
        </w:trPr>
        <w:tc>
          <w:tcPr>
            <w:vAlign w:val="center"/>
          </w:tcPr>
          <w:p w14:paraId="000000F8">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Approvers</w:t>
            </w:r>
          </w:p>
        </w:tc>
        <w:tc>
          <w:tcPr>
            <w:vAlign w:val="center"/>
          </w:tcPr>
          <w:p w14:paraId="000000F9">
            <w:pPr>
              <w:jc w:val="both"/>
              <w:rPr>
                <w:rFonts w:ascii="Georgia" w:cs="Georgia" w:eastAsia="Georgia" w:hAnsi="Georgia"/>
                <w:sz w:val="20"/>
                <w:szCs w:val="20"/>
              </w:rPr>
            </w:pPr>
            <w:r>
              <w:rPr>
                <w:rFonts w:ascii="Georgia" w:cs="Georgia" w:eastAsia="Georgia" w:hAnsi="Georgia"/>
                <w:sz w:val="20"/>
                <w:szCs w:val="20"/>
                <w:rtl w:val="0"/>
              </w:rPr>
              <w:t xml:space="preserve">Not yet set</w:t>
            </w:r>
          </w:p>
        </w:tc>
      </w:tr>
      <w:tr>
        <w:trPr>
          <w:cantSplit w:val="0"/>
          <w:trHeight w:val="431.99999999999994" w:hRule="atLeast"/>
          <w:tblHeader w:val="0"/>
        </w:trPr>
        <w:tc>
          <w:tcPr>
            <w:vAlign w:val="center"/>
          </w:tcPr>
          <w:p w14:paraId="000000FA">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Rollout Type</w:t>
            </w:r>
          </w:p>
        </w:tc>
        <w:tc>
          <w:tcPr>
            <w:vAlign w:val="center"/>
          </w:tcPr>
          <w:p w14:paraId="000000FB">
            <w:pPr>
              <w:jc w:val="both"/>
              <w:rPr>
                <w:rFonts w:ascii="Georgia" w:cs="Georgia" w:eastAsia="Georgia" w:hAnsi="Georgia"/>
                <w:sz w:val="20"/>
                <w:szCs w:val="20"/>
              </w:rPr>
            </w:pPr>
            <w:r>
              <w:rPr>
                <w:rFonts w:ascii="Georgia" w:cs="Georgia" w:eastAsia="Georgia" w:hAnsi="Georgia"/>
                <w:sz w:val="20"/>
                <w:szCs w:val="20"/>
                <w:rtl w:val="0"/>
              </w:rPr>
              <w:t xml:space="preserve">Scaffold, staff QA, small member pilot, then staged release</w:t>
            </w:r>
          </w:p>
        </w:tc>
      </w:tr>
      <w:tr>
        <w:trPr>
          <w:cantSplit w:val="0"/>
          <w:trHeight w:val="431.99999999999994" w:hRule="atLeast"/>
          <w:tblHeader w:val="0"/>
        </w:trPr>
        <w:tc>
          <w:tcPr>
            <w:vAlign w:val="center"/>
          </w:tcPr>
          <w:p w14:paraId="000000FC">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Rollback Trigger</w:t>
            </w:r>
          </w:p>
        </w:tc>
        <w:tc>
          <w:tcPr>
            <w:vAlign w:val="center"/>
          </w:tcPr>
          <w:p w14:paraId="000000FD">
            <w:pPr>
              <w:jc w:val="both"/>
              <w:rPr>
                <w:rFonts w:ascii="Georgia" w:cs="Georgia" w:eastAsia="Georgia" w:hAnsi="Georgia"/>
                <w:sz w:val="20"/>
                <w:szCs w:val="20"/>
              </w:rPr>
            </w:pPr>
            <w:r>
              <w:rPr>
                <w:rFonts w:ascii="Georgia" w:cs="Georgia" w:eastAsia="Georgia" w:hAnsi="Georgia"/>
                <w:sz w:val="20"/>
                <w:szCs w:val="20"/>
                <w:rtl w:val="0"/>
              </w:rPr>
              <w:t xml:space="preserve">Incorrect published score, unauthorized write, or approved reliability breach</w:t>
            </w:r>
          </w:p>
        </w:tc>
      </w:tr>
      <w:tr>
        <w:trPr>
          <w:cantSplit w:val="0"/>
          <w:trHeight w:val="431.99999999999994" w:hRule="atLeast"/>
          <w:tblHeader w:val="0"/>
        </w:trPr>
        <w:tc>
          <w:tcPr>
            <w:vAlign w:val="center"/>
          </w:tcPr>
          <w:p w14:paraId="000000FE">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Follow Up</w:t>
            </w:r>
          </w:p>
        </w:tc>
        <w:tc>
          <w:tcPr>
            <w:vAlign w:val="center"/>
          </w:tcPr>
          <w:p w14:paraId="000000FF">
            <w:pPr>
              <w:jc w:val="both"/>
              <w:rPr>
                <w:rFonts w:ascii="Georgia" w:cs="Georgia" w:eastAsia="Georgia" w:hAnsi="Georgia"/>
                <w:sz w:val="20"/>
                <w:szCs w:val="20"/>
              </w:rPr>
            </w:pPr>
            <w:r>
              <w:rPr>
                <w:rFonts w:ascii="Georgia" w:cs="Georgia" w:eastAsia="Georgia" w:hAnsi="Georgia"/>
                <w:sz w:val="20"/>
                <w:szCs w:val="20"/>
                <w:rtl w:val="0"/>
              </w:rPr>
              <w:t xml:space="preserve">Approve baseline, sample plan, thresholds, instrumentation, and pilot owners</w:t>
            </w:r>
          </w:p>
        </w:tc>
      </w:tr>
    </w:tbl>
    <w:p w14:paraId="00000100">
      <w:pPr>
        <w:rPr>
          <w:rFonts w:ascii="Georgia" w:cs="Georgia" w:eastAsia="Georgia" w:hAnsi="Georgia"/>
        </w:rPr>
      </w:pPr>
      <w:r>
        <w:rPr>
          <w:rtl w:val="0"/>
        </w:rPr>
      </w:r>
    </w:p>
    <w:p w14:paraId="00000101">
      <w:pPr>
        <w:pStyle w:val="Heading1"/>
        <w:rPr>
          <w:rFonts w:ascii="Georgia" w:cs="Georgia" w:eastAsia="Georgia" w:hAnsi="Georgia"/>
        </w:rPr>
      </w:pPr>
      <w:r>
        <w:rPr>
          <w:rFonts w:ascii="Georgia" w:cs="Georgia" w:eastAsia="Georgia" w:hAnsi="Georgia"/>
          <w:rtl w:val="0"/>
        </w:rPr>
        <w:t xml:space="preserve">Post Test Actions</w:t>
      </w:r>
    </w:p>
    <w:p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Complete authentication, role routing, and core match-data milestones.</w:t>
      </w:r>
      <w:r>
        <w:rPr>
          <w:rtl w:val="0"/>
        </w:rPr>
      </w:r>
    </w:p>
    <w:p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Run staff QA; monitor data accuracy and API reliability for a club-approved period.</w:t>
      </w:r>
      <w:r>
        <w:rPr>
          <w:rtl w:val="0"/>
        </w:rPr>
      </w:r>
    </w:p>
    <w:p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Run the member pilot after baseline rate, sample size, and thresholds are approved.</w:t>
      </w:r>
      <w:r>
        <w:rPr>
          <w:rtl w:val="0"/>
        </w:rPr>
      </w:r>
    </w:p>
    <w:p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Analyze admin entry time and lookup success; investigate only pre-specified segments.</w:t>
      </w:r>
      <w:r>
        <w:rPr>
          <w:rtl w:val="0"/>
        </w:rPr>
      </w:r>
    </w:p>
    <w:p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Archive the plan, analysis code, approvals, and final decision with named owners.</w:t>
      </w:r>
      <w:r>
        <w:rPr>
          <w:rtl w:val="0"/>
        </w:rPr>
      </w:r>
    </w:p>
    <w:p w14:paraId="00000107">
      <w:pPr>
        <w:spacing w:after="240" w:before="240" w:lineRule="auto"/>
        <w:jc w:val="both"/>
        <w:rPr>
          <w:rFonts w:ascii="Georgia" w:cs="Georgia" w:eastAsia="Georgia" w:hAnsi="Georgia"/>
        </w:rPr>
      </w:pPr>
      <w:r>
        <w:rPr>
          <w:rtl w:val="0"/>
        </w:rPr>
      </w:r>
    </w:p>
    <w:p w14:paraId="00000108">
      <w:pPr>
        <w:pStyle w:val="Heading1"/>
        <w:rPr>
          <w:rFonts w:ascii="Georgia" w:cs="Georgia" w:eastAsia="Georgia" w:hAnsi="Georgia"/>
        </w:rPr>
      </w:pPr>
      <w:r>
        <w:rPr>
          <w:rFonts w:ascii="Georgia" w:cs="Georgia" w:eastAsia="Georgia" w:hAnsi="Georgia"/>
          <w:rtl w:val="0"/>
        </w:rPr>
        <w:t xml:space="preserve">Appendix A: Metric Definitions</w:t>
      </w:r>
    </w:p>
    <w:p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502" w:right="0" w:hanging="360"/>
        <w:jc w:val="both"/>
        <w:rPr/>
      </w:pPr>
      <w:r>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Successful match lookup rate: </w:t>
      </w:r>
      <w:r>
        <w:rPr>
          <w:rFonts w:ascii="Georgia" w:cs="Georgia" w:eastAsia="Georgia" w:hAnsi="Georgia"/>
          <w:i w:val="0"/>
          <w:iCs w:val="0"/>
          <w:smallCaps w:val="0"/>
          <w:strike w:val="0"/>
          <w:color w:val="000000"/>
          <w:sz w:val="24"/>
          <w:szCs w:val="24"/>
          <w:u w:val="none"/>
          <w:shd w:fill="auto" w:val="clear"/>
          <w:vertAlign w:val="baseline"/>
          <w:rtl w:val="0"/>
        </w:rPr>
        <w:t xml:space="preserve">eligible exposed accounts that identify the correct selected match result within 60 seconds / eligible exposed accounts that start the task; source: instrumented pilot task.</w:t>
      </w:r>
      <w:r>
        <w:rPr>
          <w:rtl w:val="0"/>
        </w:rPr>
      </w:r>
    </w:p>
    <w:p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pPr>
      <w:r>
        <w:rPr>
          <w:rFonts w:ascii="Georgia" w:cs="Georgia" w:eastAsia="Georgia" w:hAnsi="Georgia"/>
          <w:b w:val="1"/>
          <w:bCs w:val="1"/>
          <w:i w:val="0"/>
          <w:iCs w:val="0"/>
          <w:smallCaps w:val="0"/>
          <w:strike w:val="0"/>
          <w:color w:val="000000"/>
          <w:sz w:val="24"/>
          <w:szCs w:val="24"/>
          <w:u w:val="none"/>
          <w:shd w:fill="auto" w:val="clear"/>
          <w:vertAlign w:val="baseline"/>
          <w:rtl w:val="0"/>
        </w:rPr>
        <w:t xml:space="preserve">Published match-data accuracy: </w:t>
      </w:r>
      <w:r>
        <w:rPr>
          <w:rFonts w:ascii="Georgia" w:cs="Georgia" w:eastAsia="Georgia" w:hAnsi="Georgia"/>
          <w:i w:val="0"/>
          <w:iCs w:val="0"/>
          <w:smallCaps w:val="0"/>
          <w:strike w:val="0"/>
          <w:color w:val="000000"/>
          <w:sz w:val="24"/>
          <w:szCs w:val="24"/>
          <w:u w:val="none"/>
          <w:shd w:fill="auto" w:val="clear"/>
          <w:vertAlign w:val="baseline"/>
          <w:rtl w:val="0"/>
        </w:rPr>
        <w:t xml:space="preserve">audited score, status, and event fields matching the approved source / audited fields; source: admin audit log and source record.</w:t>
      </w:r>
      <w:r>
        <w:rPr>
          <w:rtl w:val="0"/>
        </w:rPr>
      </w:r>
    </w:p>
    <w:p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pPr>
      <w:r>
        <w:rPr>
          <w:rFonts w:ascii="Georgia" w:cs="Georgia" w:eastAsia="Georgia" w:hAnsi="Georgia"/>
          <w:b w:val="1"/>
          <w:bCs w:val="1"/>
          <w:i w:val="0"/>
          <w:iCs w:val="0"/>
          <w:smallCaps w:val="0"/>
          <w:strike w:val="0"/>
          <w:color w:val="000000"/>
          <w:sz w:val="24"/>
          <w:szCs w:val="24"/>
          <w:u w:val="none"/>
          <w:shd w:fill="auto" w:val="clear"/>
          <w:vertAlign w:val="baseline"/>
          <w:rtl w:val="0"/>
        </w:rPr>
        <w:t xml:space="preserve">Median admin entry time: </w:t>
      </w:r>
      <w:r>
        <w:rPr>
          <w:rFonts w:ascii="Georgia" w:cs="Georgia" w:eastAsia="Georgia" w:hAnsi="Georgia"/>
          <w:i w:val="0"/>
          <w:iCs w:val="0"/>
          <w:smallCaps w:val="0"/>
          <w:strike w:val="0"/>
          <w:color w:val="000000"/>
          <w:sz w:val="24"/>
          <w:szCs w:val="24"/>
          <w:u w:val="none"/>
          <w:shd w:fill="auto" w:val="clear"/>
          <w:vertAlign w:val="baseline"/>
          <w:rtl w:val="0"/>
        </w:rPr>
        <w:t xml:space="preserve">median elapsed time from opening a match entry flow to validated submission; source: client and API timestamps.</w:t>
      </w:r>
      <w:r>
        <w:rPr>
          <w:rtl w:val="0"/>
        </w:rPr>
      </w:r>
    </w:p>
    <w:p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pPr>
      <w:r>
        <w:rPr>
          <w:rFonts w:ascii="Georgia" w:cs="Georgia" w:eastAsia="Georgia" w:hAnsi="Georgia"/>
          <w:b w:val="1"/>
          <w:bCs w:val="1"/>
          <w:i w:val="0"/>
          <w:iCs w:val="0"/>
          <w:smallCaps w:val="0"/>
          <w:strike w:val="0"/>
          <w:color w:val="000000"/>
          <w:sz w:val="24"/>
          <w:szCs w:val="24"/>
          <w:u w:val="none"/>
          <w:shd w:fill="auto" w:val="clear"/>
          <w:vertAlign w:val="baseline"/>
          <w:rtl w:val="0"/>
        </w:rPr>
        <w:t xml:space="preserve">API error rate: </w:t>
      </w:r>
      <w:r>
        <w:rPr>
          <w:rFonts w:ascii="Georgia" w:cs="Georgia" w:eastAsia="Georgia" w:hAnsi="Georgia"/>
          <w:i w:val="0"/>
          <w:iCs w:val="0"/>
          <w:smallCaps w:val="0"/>
          <w:strike w:val="0"/>
          <w:color w:val="000000"/>
          <w:sz w:val="24"/>
          <w:szCs w:val="24"/>
          <w:u w:val="none"/>
          <w:shd w:fill="auto" w:val="clear"/>
          <w:vertAlign w:val="baseline"/>
          <w:rtl w:val="0"/>
        </w:rPr>
        <w:t xml:space="preserve">failed versioned API requests / all versioned API requests from eligible pilot sessions; exclude deliberate offline tests.</w:t>
      </w:r>
      <w:r>
        <w:rPr>
          <w:rtl w:val="0"/>
        </w:rPr>
      </w:r>
    </w:p>
    <w:p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502" w:right="0" w:hanging="360"/>
        <w:jc w:val="both"/>
        <w:rPr/>
      </w:pPr>
      <w:r>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Seven-day return rate: </w:t>
      </w:r>
      <w:r>
        <w:rPr>
          <w:rFonts w:ascii="Georgia" w:cs="Georgia" w:eastAsia="Georgia" w:hAnsi="Georgia"/>
          <w:i w:val="0"/>
          <w:iCs w:val="0"/>
          <w:smallCaps w:val="0"/>
          <w:strike w:val="0"/>
          <w:color w:val="000000"/>
          <w:sz w:val="24"/>
          <w:szCs w:val="24"/>
          <w:u w:val="none"/>
          <w:shd w:fill="auto" w:val="clear"/>
          <w:vertAlign w:val="baseline"/>
          <w:rtl w:val="0"/>
        </w:rPr>
        <w:t xml:space="preserve">eligible exposed accounts active again within seven days / eligible exposed accounts with sufficient follow-up; exploratory unless promoted before launch.</w:t>
      </w:r>
      <w:r>
        <w:rPr>
          <w:rtl w:val="0"/>
        </w:rPr>
      </w:r>
    </w:p>
    <w:p w14:paraId="0000010E">
      <w:pPr>
        <w:spacing w:after="160" w:line="278.00000000000006" w:lineRule="auto"/>
        <w:rPr>
          <w:rFonts w:ascii="Georgia" w:cs="Georgia" w:eastAsia="Georgia" w:hAnsi="Georgia"/>
        </w:rPr>
      </w:pPr>
      <w:r>
        <w:rPr>
          <w:rtl w:val="0"/>
        </w:rPr>
      </w:r>
    </w:p>
    <w:p w14:paraId="0000010F">
      <w:pPr>
        <w:pStyle w:val="Heading1"/>
        <w:rPr>
          <w:rFonts w:ascii="Georgia" w:cs="Georgia" w:eastAsia="Georgia" w:hAnsi="Georgia"/>
        </w:rPr>
      </w:pPr>
      <w:r>
        <w:rPr>
          <w:rFonts w:ascii="Georgia" w:cs="Georgia" w:eastAsia="Georgia" w:hAnsi="Georgia"/>
          <w:rtl w:val="0"/>
        </w:rPr>
        <w:t xml:space="preserve">Appendix B: Analyst Notes</w:t>
      </w:r>
    </w:p>
    <w:p w14:paraId="000001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Planned method: compare eligible-account outcome proportions with a two-sided test and 95% confidence interval; finalize the method after the sample plan. Software/query versions: not yet set.</w:t>
      </w:r>
      <w:r>
        <w:rPr>
          <w:rtl w:val="0"/>
        </w:rPr>
      </w:r>
    </w:p>
    <w:p w14:paraId="000001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No interim reads or early-stopping rule are approved. Any change must be logged before analysis.</w:t>
      </w:r>
      <w:r>
        <w:rPr>
          <w:rtl w:val="0"/>
        </w:rPr>
      </w:r>
    </w:p>
    <w:p w14:paraId="000001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Reconcile assignment, exposure, outcomes, and match source data before unblinding results.</w:t>
      </w:r>
      <w:r>
        <w:rPr>
          <w:rtl w:val="0"/>
        </w:rPr>
      </w:r>
    </w:p>
    <w:p w14:paraId="000001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Source inputs are the AIMZ product brief and milestone 1 scaffold dated August 18, 2026.</w:t>
      </w:r>
      <w:r>
        <w:rPr>
          <w:rtl w:val="0"/>
        </w:rPr>
      </w:r>
    </w:p>
    <w:p w14:paraId="00000114">
      <w:pPr>
        <w:rPr>
          <w:rFonts w:ascii="Georgia" w:cs="Georgia" w:eastAsia="Georgia" w:hAnsi="Georgia"/>
        </w:rPr>
      </w:pPr>
      <w:r>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6">
    <w:pPr>
      <w:rPr>
        <w:color w:val="002715"/>
      </w:rPr>
    </w:pPr>
    <w:r>
      <w:rPr>
        <w:rtl w:val="0"/>
      </w:rPr>
    </w:r>
  </w:p>
  <w:sdt>
    <w:sdtPr>
      <w:lock w:val="contentLocked"/>
      <w:id w:val="-913180812"/>
      <w:tag w:val="goog_rdk_0"/>
    </w:sdtPr>
    <w:sdtContent>
      <w:tbl>
        <w:tblPr>
          <w:tblStyle w:val="Table9"/>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05128"/>
                  <w:sz w:val="18"/>
                  <w:szCs w:val="18"/>
                </w:rPr>
              </w:pPr>
              <w:r>
                <w:rPr>
                  <w:rFonts w:ascii="Georgia" w:cs="Georgia" w:eastAsia="Georgia" w:hAnsi="Georgia"/>
                  <w:color w:val="105128"/>
                  <w:sz w:val="18"/>
                  <w:szCs w:val="18"/>
                  <w:rtl w:val="0"/>
                </w:rPr>
                <w:t xml:space="preserve">AIMZ MVP Validation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color w:val="105128"/>
                  <w:sz w:val="18"/>
                  <w:szCs w:val="18"/>
                </w:rPr>
              </w:pPr>
              <w:r>
                <w:rPr>
                  <w:rFonts w:ascii="Georgia" w:cs="Georgia" w:eastAsia="Georgia" w:hAnsi="Georgia"/>
                  <w:color w:val="105128"/>
                  <w:sz w:val="18"/>
                  <w:szCs w:val="18"/>
                </w:rPr>
                <w:fldChar w:fldCharType="begin"/>
                <w:instrText xml:space="preserve">PAGE</w:instrText>
                <w:fldChar w:fldCharType="separate"/>
                <w:fldChar w:fldCharType="end"/>
              </w:r>
              <w:r>
                <w:rPr>
                  <w:rtl w:val="0"/>
                </w:rPr>
              </w:r>
            </w:p>
          </w:tc>
        </w:tr>
      </w:tbl>
    </w:sdtContent>
  </w:sdt>
  <w:p w14:paraId="00000119">
    <w:pPr>
      <w:rPr>
        <w:color w:val="002715"/>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5">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643" w:hanging="360"/>
      </w:pPr>
      <w:rPr/>
    </w:lvl>
    <w:lvl w:ilvl="1">
      <w:start w:val="1"/>
      <w:numFmt w:val="lowerLetter"/>
      <w:lvlText w:val="%2."/>
      <w:lvlJc w:val="left"/>
      <w:pPr>
        <w:ind w:left="1363" w:hanging="359.99999999999955"/>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abstractNum w:abstractNumId="4">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55"/>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Georgia" w:cs="Georgia" w:eastAsia="Georgia" w:hAnsi="Georgia"/>
      <w:b w:val="1"/>
      <w:bCs w:val="1"/>
      <w:color w:val="1a703a"/>
      <w:sz w:val="36"/>
      <w:szCs w:val="36"/>
    </w:rPr>
  </w:style>
  <w:style w:type="paragraph" w:styleId="Heading2">
    <w:name w:val="heading 2"/>
    <w:basedOn w:val="Normal"/>
    <w:next w:val="Normal"/>
    <w:pPr>
      <w:keepNext w:val="1"/>
      <w:keepLines w:val="1"/>
      <w:spacing w:before="160" w:lineRule="auto"/>
      <w:jc w:val="center"/>
    </w:pPr>
    <w:rPr>
      <w:rFonts w:ascii="Georgia" w:cs="Georgia" w:eastAsia="Georgia" w:hAnsi="Georgia"/>
      <w:color w:val="592382"/>
      <w:sz w:val="32"/>
      <w:szCs w:val="32"/>
    </w:rPr>
  </w:style>
  <w:style w:type="paragraph" w:styleId="Heading3">
    <w:name w:val="heading 3"/>
    <w:basedOn w:val="Normal"/>
    <w:next w:val="Normal"/>
    <w:pPr>
      <w:keepNext w:val="1"/>
      <w:keepLines w:val="1"/>
      <w:spacing w:before="160" w:lineRule="auto"/>
      <w:jc w:val="center"/>
    </w:pPr>
    <w:rPr>
      <w:rFonts w:ascii="Georgia" w:cs="Georgia" w:eastAsia="Georgia" w:hAnsi="Georgia"/>
      <w:color w:val="592382"/>
    </w:rPr>
  </w:style>
  <w:style w:type="paragraph" w:styleId="Heading4">
    <w:name w:val="heading 4"/>
    <w:basedOn w:val="Normal"/>
    <w:next w:val="Normal"/>
    <w:pPr>
      <w:keepNext w:val="1"/>
      <w:keepLines w:val="1"/>
      <w:spacing w:after="40" w:before="80" w:lineRule="auto"/>
    </w:pPr>
    <w:rPr>
      <w:i w:val="1"/>
      <w:iCs w:val="1"/>
      <w:color w:val="37233f"/>
    </w:rPr>
  </w:style>
  <w:style w:type="paragraph" w:styleId="Heading5">
    <w:name w:val="heading 5"/>
    <w:basedOn w:val="Normal"/>
    <w:next w:val="Normal"/>
    <w:pPr>
      <w:keepNext w:val="1"/>
      <w:keepLines w:val="1"/>
      <w:spacing w:after="40" w:before="80" w:lineRule="auto"/>
    </w:pPr>
    <w:rPr>
      <w:color w:val="37233f"/>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jc w:val="center"/>
    </w:pPr>
    <w:rPr>
      <w:b w:val="1"/>
      <w:bCs w:val="1"/>
      <w:color w:val="4a2e5f"/>
      <w:sz w:val="80"/>
      <w:szCs w:val="8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