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Logická funkce</w:t>
      </w:r>
    </w:p>
    <w:p>
      <w:pPr>
        <w:pStyle w:val="Heading2"/>
      </w:pPr>
      <w:r>
        <w:t xml:space="preserve">Doporučení</w:t>
      </w:r>
    </w:p>
    <w:p>
      <w:pPr>
        <w:pStyle w:val="ListParagraph"/>
        <w:numPr>
          <w:ilvl w:val="0"/>
          <w:numId w:val="1"/>
        </w:numPr>
      </w:pPr>
      <w:r>
        <w:t xml:space="preserve">Pracovat lze samostatně či po dvojicích (doporučeno).</w:t>
      </w:r>
    </w:p>
    <w:p>
      <w:pPr>
        <w:pStyle w:val="ListParagraph"/>
        <w:numPr>
          <w:ilvl w:val="0"/>
          <w:numId w:val="1"/>
        </w:numPr>
      </w:pPr>
      <w:r>
        <w:t xml:space="preserve">Pokud je něco nejasné hned se ptejte.</w:t>
      </w:r>
    </w:p>
    <w:p>
      <w:pPr>
        <w:pStyle w:val="Heading2"/>
      </w:pPr>
      <w:r>
        <w:t xml:space="preserve">Potřebné vybavení</w:t>
      </w:r>
    </w:p>
    <w:p>
      <w:pPr>
        <w:pStyle w:val="ListParagraph"/>
        <w:numPr>
          <w:ilvl w:val="0"/>
          <w:numId w:val="2"/>
        </w:numPr>
      </w:pPr>
      <w:r>
        <w:t xml:space="preserve">Nepájivé pole osazené zdrojem napájení, tlačítky a LEDkama (či alternativně prázdné nepájivé pole), napájecí kabel např. USB, propojovací drátky</w:t>
      </w:r>
    </w:p>
    <w:p>
      <w:pPr>
        <w:pStyle w:val="ListParagraph"/>
        <w:numPr>
          <w:ilvl w:val="0"/>
          <w:numId w:val="2"/>
        </w:numPr>
      </w:pPr>
      <w:r>
        <w:t xml:space="preserve">IO 7400 (či alternativa)</w:t>
      </w:r>
    </w:p>
    <w:p>
      <w:pPr>
        <w:pStyle w:val="ListParagraph"/>
        <w:numPr>
          <w:ilvl w:val="0"/>
          <w:numId w:val="2"/>
        </w:numPr>
      </w:pPr>
      <w:r>
        <w:t xml:space="preserve">Voltmetr, ohmmetr</w:t>
      </w:r>
    </w:p>
    <w:p>
      <w:pPr>
        <w:pStyle w:val="ListParagraph"/>
        <w:numPr>
          <w:ilvl w:val="0"/>
          <w:numId w:val="2"/>
        </w:numPr>
      </w:pPr>
      <w:r>
        <w:t xml:space="preserve">Další součástky nejsou potřeba (tlačítka, rezistory a LED diody se použijí tak jak jsou na standartním nepájivém poli)</w:t>
      </w:r>
    </w:p>
    <w:p>
      <w:pPr>
        <w:pStyle w:val="Heading2"/>
      </w:pPr>
      <w:r>
        <w:t xml:space="preserve">Cíle</w:t>
      </w:r>
    </w:p>
    <w:p>
      <w:pPr>
        <w:pStyle w:val="ListParagraph"/>
        <w:numPr>
          <w:ilvl w:val="0"/>
          <w:numId w:val="3"/>
        </w:numPr>
      </w:pPr>
      <w:r>
        <w:t xml:space="preserve">realizujte jednoduchou logickou funkci: Y = NEG (A*B), přičemž vstupní proměnné (A, B) jsou připojeny ke dvěma tlačítkům, a výstup na jednu LED</w:t>
      </w:r>
    </w:p>
    <w:p>
      <w:pPr>
        <w:pStyle w:val="ListParagraph"/>
        <w:numPr>
          <w:ilvl w:val="0"/>
          <w:numId w:val="3"/>
        </w:numPr>
      </w:pPr>
      <w:r>
        <w:t xml:space="preserve">ověřte, že reálná implementace všech vstupních stavů odpovídá teorii (dvě tabulky: teoretická a změřená na přípravku a jejich porovnání)</w:t>
      </w:r>
    </w:p>
    <w:p>
      <w:pPr>
        <w:pStyle w:val="Heading2"/>
      </w:pPr>
      <w:r>
        <w:t xml:space="preserve">Návodka</w:t>
      </w:r>
    </w:p>
    <w:p>
      <w:pPr>
        <w:pStyle w:val="ListParagraph"/>
        <w:numPr>
          <w:ilvl w:val="0"/>
          <w:numId w:val="4"/>
        </w:numPr>
      </w:pPr>
      <w:r>
        <w:t xml:space="preserve">Sestavte teoretickou tabulku hodnot realizované logické funkce</w:t>
      </w:r>
    </w:p>
    <w:p>
      <w:pPr>
        <w:pStyle w:val="ListParagraph"/>
        <w:numPr>
          <w:ilvl w:val="0"/>
          <w:numId w:val="4"/>
        </w:numPr>
      </w:pPr>
      <w:r>
        <w:t xml:space="preserve">Seznamte se s nepájivým polem, zjistěte jak jsou vnitřně pospojovány jednotlivé oblasti</w:t>
      </w:r>
    </w:p>
    <w:p>
      <w:pPr>
        <w:pStyle w:val="ListParagraph"/>
        <w:numPr>
          <w:ilvl w:val="0"/>
          <w:numId w:val="4"/>
        </w:numPr>
      </w:pPr>
      <w:r>
        <w:t xml:space="preserve">Zjistěte jaké napájení generuje zdroj a zda-li je v toleranci pro daný použitý IO (viz. jeho dokumentace)</w:t>
      </w:r>
    </w:p>
    <w:p>
      <w:pPr>
        <w:pStyle w:val="ListParagraph"/>
        <w:numPr>
          <w:ilvl w:val="0"/>
          <w:numId w:val="4"/>
        </w:numPr>
      </w:pPr>
      <w:r>
        <w:t xml:space="preserve">Seznamte se s IO 7400: zjistěte základní informace z jeho dokumentace jako jsou úrovně napájení, funkce jednotlivých pinů, pokud máte dispozici pouze alternativu IO s jiným značením prověřte, že je použitelný i pro naši úlohu</w:t>
      </w:r>
    </w:p>
    <w:p>
      <w:pPr>
        <w:pStyle w:val="ListParagraph"/>
        <w:numPr>
          <w:ilvl w:val="0"/>
          <w:numId w:val="4"/>
        </w:numPr>
      </w:pPr>
      <w:r>
        <w:t xml:space="preserve">Při vypnutém napájení zapojte schéma pomocí propojovacích drátků (příklad rozvržení a zapojení </w:t>
      </w:r>
      <w:hyperlink r:id="rIdL1">
        <w:r>
          <w:rPr>
            <w:rStyle w:val="Hyperlink"/>
          </w:rPr>
          <w:t xml:space="preserve">zde</w:t>
        </w:r>
      </w:hyperlink>
      <w:r>
        <w:t xml:space="preserve">)</w:t>
      </w:r>
    </w:p>
    <w:p>
      <w:pPr>
        <w:jc w:val="center"/>
      </w:pPr>
      <w:r>
        <w:drawing>
          <wp:inline distT="0" distB="0" distL="0" distR="0">
            <wp:extent cx="3240000" cy="1582031"/>
            <wp:docPr id="1" name="rozvrzeni" descr="Příklad rozvržení a zapojení na nepájivém pol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zvrzeni.jp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8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Obrázek: příklad rozvržení a zapojení</w:t>
      </w:r>
    </w:p>
    <w:p>
      <w:pPr>
        <w:pStyle w:val="ListParagraph"/>
        <w:numPr>
          <w:ilvl w:val="0"/>
          <w:numId w:val="4"/>
        </w:numPr>
      </w:pPr>
      <w:r>
        <w:t xml:space="preserve">Sestavte tabulku hodnot realizované logické funkce (reálnou, ověřením implementace na nepájivém poli) a porovnejte ji s teoretickou</w:t>
      </w:r>
    </w:p>
    <w:p>
      <w:pPr>
        <w:pStyle w:val="Heading2"/>
      </w:pPr>
      <w:r>
        <w:t xml:space="preserve">Co by mohlo pomoci</w:t>
      </w:r>
    </w:p>
    <w:p>
      <w:pPr>
        <w:pStyle w:val="ListParagraph"/>
        <w:numPr>
          <w:ilvl w:val="0"/>
          <w:numId w:val="5"/>
        </w:numPr>
      </w:pPr>
      <w:hyperlink r:id="rIdL2">
        <w:r>
          <w:rPr>
            <w:rStyle w:val="Hyperlink"/>
          </w:rPr>
          <w:t xml:space="preserve">IO 7400</w:t>
        </w:r>
      </w:hyperlink>
    </w:p>
    <w:p>
      <w:pPr>
        <w:pStyle w:val="Heading2"/>
      </w:pPr>
      <w:r>
        <w:t xml:space="preserve">Alternace (další možnosti)</w:t>
      </w:r>
    </w:p>
    <w:p>
      <w:r>
        <w:t xml:space="preserve">Nejsou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Calibri" w:hAnsi="Calibri" w:cs="Calibri" w:eastAsia="Calibri"/>
        <w:sz w:val="21"/>
        <w:lang w:val="cs-CZ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160" w:after="6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16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Img" Type="http://schemas.openxmlformats.org/officeDocument/2006/relationships/image" Target="media/rozvrzeni.jpg"/><Relationship Id="rIdN" Type="http://schemas.openxmlformats.org/officeDocument/2006/relationships/numbering" Target="numbering.xml"/><Relationship Id="rIdL1" Type="http://schemas.openxmlformats.org/officeDocument/2006/relationships/hyperlink" Target="rozvrzeni.jpg" TargetMode="External"/><Relationship Id="rIdL2" Type="http://schemas.openxmlformats.org/officeDocument/2006/relationships/hyperlink" Target="sn7400.pdf" TargetMode="External"/></Relationships>
</file>