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Syllabus</w:t>
      </w:r>
    </w:p>
    <w:p>
      <w:r>
        <w:rPr>
          <w:b/>
          <w:sz w:val="40"/>
        </w:rPr>
        <w:t>rFLA300: Data Analytics with Excel</w:t>
      </w:r>
    </w:p>
    <w:p>
      <w:pPr/>
      <w:r>
        <w:t>Summer 2025</w:t>
      </w:r>
    </w:p>
    <w:p>
      <w:pPr/>
      <w:r>
        <w:t>Rollins College</w:t>
      </w:r>
    </w:p>
    <w:p>
      <w:pPr/>
      <w:r>
        <w:t>Data Analytics</w:t>
      </w:r>
    </w:p>
    <w:p>
      <w:pPr/>
      <w:r>
        <w:t>Mathematics and Computer Science</w:t>
      </w:r>
    </w:p>
    <w:p>
      <w:pPr>
        <w:pStyle w:val="Heading1"/>
        <w:keepNext/>
      </w:pPr>
      <w:r>
        <w:t>Course Overview</w:t>
      </w:r>
    </w:p>
    <w:p>
      <w:pPr/>
      <w:r>
        <w:t>Welcome to rFLA300 Data Analytics with Excel. In this course, we will explore the fundamental concepts and tools that are essential for analyzing data within Excel. We will start by understanding the core principles of data analysis, including data cleaning, preparation, and visualization. Students are expected to acquire skills in managing and manipulating data, designing complex queries, and creating powerful reports and dashboards that make data more accessible and actionable for decision making.</w:t>
      </w:r>
    </w:p>
    <w:p>
      <w:pPr/>
      <w:r>
        <w:rPr>
          <w:b/>
        </w:rPr>
        <w:t>Course Catalog Description:</w:t>
      </w:r>
      <w:r>
        <w:t xml:space="preserve"> This course is designed to teach students the fundamentals of data analytics using Microsoft Excel. Students will learn how to use this tool to analyze data, create reports, and visualize data. The course will cover topics such as data cleaning, data organization, data analysis, and data visualization. Students will also learn how to select a dataset to investigate and report their findings. By the end of the course, students will have a solid understanding of data analytics and be able to apply these skills to real-world problems.</w:t>
      </w:r>
    </w:p>
    <w:p>
      <w:pPr>
        <w:pStyle w:val="Heading1"/>
        <w:keepNext/>
      </w:pPr>
      <w:r>
        <w:t>Who is JJ?</w:t>
      </w:r>
    </w:p>
    <w:p>
      <w:pPr/>
      <w:r>
        <w:rPr>
          <w:b/>
        </w:rPr>
        <w:t>Dr. Jasser (JJ) Jasser</w:t>
      </w:r>
    </w:p>
    <w:p>
      <w:pPr/>
      <w:r>
        <w:rPr>
          <w:b/>
        </w:rPr>
        <w:t>Office: Bush 331</w:t>
      </w:r>
    </w:p>
    <w:p>
      <w:pPr/>
      <w:r>
        <w:rPr>
          <w:b/>
        </w:rPr>
        <w:t>Phone Number: 407-646 2479</w:t>
      </w:r>
    </w:p>
    <w:p>
      <w:pPr/>
      <w:r>
        <w:rPr>
          <w:b/>
        </w:rPr>
        <w:t>Office Hours: Tuesdays and Thursdays 10AM-11:30AM - Can be done virtually through TEAMS.</w:t>
      </w:r>
    </w:p>
    <w:p>
      <w:pPr/>
      <w:r>
        <w:rPr>
          <w:b/>
        </w:rPr>
        <w:t xml:space="preserve">Email: </w:t>
      </w:r>
      <w:hyperlink r:id="rId10">
        <w:r>
          <w:rPr>
            <w:color w:val="0563C1"/>
            <w:u w:val="single"/>
          </w:rPr>
          <w:t>jjasser@rollins.edu</w:t>
        </w:r>
      </w:hyperlink>
      <w:r>
        <w:rPr>
          <w:b/>
        </w:rPr>
        <w:t xml:space="preserve"> - Best way to contact me is through Teams - I usually respond within 24-48 hours.</w:t>
      </w:r>
    </w:p>
    <w:p>
      <w:pPr>
        <w:pStyle w:val="Heading1"/>
        <w:keepNext/>
      </w:pPr>
      <w:r>
        <w:t>Required Textbook</w:t>
      </w:r>
    </w:p>
    <w:p>
      <w:pPr/>
      <w:r>
        <w:rPr>
          <w:b/>
        </w:rPr>
        <w:t>Your Office Microsoft 365: Excel 2025, 1st edition</w:t>
      </w:r>
    </w:p>
    <w:p>
      <w:pPr/>
      <w:r>
        <w:t>Authors: Amy S. Kinser, Kristyn Jacobson, Eric Kinser, and Brant Moriarity</w:t>
      </w:r>
    </w:p>
    <w:p>
      <w:pPr/>
      <w:r>
        <w:t>Published by Pearson (January 29, 2025) © 2026</w:t>
      </w:r>
    </w:p>
    <w:p>
      <w:pPr/>
      <w:r>
        <w:t>Required access: MyLab IT with Pearson eText Instant Access for Your Office Microsoft 365: Excel 2025</w:t>
      </w:r>
    </w:p>
    <w:p>
      <w:pPr/>
      <w:r>
        <w:t>ISBN-13: 9780135389478 (2025 update)</w:t>
      </w:r>
    </w:p>
    <w:p>
      <w:pPr/>
      <w:r>
        <w:t xml:space="preserve">Pearson link: </w:t>
      </w:r>
      <w:hyperlink r:id="rId11">
        <w:r>
          <w:rPr>
            <w:color w:val="0563C1"/>
            <w:u w:val="single"/>
          </w:rPr>
          <w:t>Your Office Microsoft 365: Excel 2025</w:t>
        </w:r>
      </w:hyperlink>
    </w:p>
    <w:tbl>
      <w:tblPr>
        <w:tblW w:type="dxa" w:w="9360"/>
        <w:jc w:val="center"/>
        <w:tblLook w:firstColumn="1" w:firstRow="1" w:lastColumn="0" w:lastRow="0" w:noHBand="0" w:noVBand="1" w:val="04A0"/>
        <w:tblInd w:w="12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9360"/>
      </w:tblGrid>
      <w:tr>
        <w:tc>
          <w:tcPr>
            <w:tcW w:type="dxa" w:w="9360"/>
            <w:shd w:fill="F7F7F7"/>
            <w:tcMar>
              <w:top w:w="140" w:type="dxa"/>
              <w:start w:w="180" w:type="dxa"/>
              <w:bottom w:w="140" w:type="dxa"/>
              <w:end w:w="180" w:type="dxa"/>
            </w:tcMar>
          </w:tcPr>
          <w:p>
            <w:pPr>
              <w:spacing w:after="0"/>
            </w:pPr>
            <w:r>
              <w:t>Make sure to buy the MyLab edition so you can access the Excel Simulation which will be used in the homework and exams.</w:t>
            </w:r>
          </w:p>
        </w:tc>
      </w:tr>
    </w:tbl>
    <w:p>
      <w:pPr>
        <w:pStyle w:val="Heading1"/>
        <w:keepNext/>
      </w:pPr>
      <w:r>
        <w:t>Course Goal and Objectives</w:t>
      </w:r>
    </w:p>
    <w:p>
      <w:pPr>
        <w:pStyle w:val="Heading2"/>
        <w:keepNext/>
      </w:pPr>
      <w:r>
        <w:t>Goal</w:t>
      </w:r>
    </w:p>
    <w:p>
      <w:pPr/>
      <w:r>
        <w:t>Equip students with both theoretical and practical knowledge in working with data analytics tools in Excel, enabling them to conduct in-depth analysis and present data in a clear and concise manner. By integrating hands-on practice with theoretical understanding, the course aims to prepare students to face real-world data challenges effectively.</w:t>
      </w:r>
    </w:p>
    <w:p>
      <w:pPr>
        <w:pStyle w:val="Heading2"/>
        <w:keepNext/>
      </w:pPr>
      <w:r>
        <w:t>Objectives</w:t>
      </w:r>
    </w:p>
    <w:p>
      <w:pPr>
        <w:pStyle w:val="ListBullet"/>
      </w:pPr>
      <w:r>
        <w:t>Understand the Role of Data Analytics: Recognize the importance and application of data analytics in various industries and professions.</w:t>
      </w:r>
    </w:p>
    <w:p>
      <w:pPr>
        <w:pStyle w:val="ListBullet"/>
      </w:pPr>
      <w:r>
        <w:t>Master Excel Fundamentals: Gain a thorough understanding of the capabilities, functions, and features of Excel, including pivot tables, formulas, and macros necessary for data manipulation and analysis.</w:t>
      </w:r>
    </w:p>
    <w:p>
      <w:pPr>
        <w:pStyle w:val="ListBullet"/>
      </w:pPr>
      <w:r>
        <w:t>Perform Data Analysis and Interpretation: Analyze and interpret complex datasets using advanced Excel features, employing statistical tools to derive meaningful insights and support decision-making processes.</w:t>
      </w:r>
    </w:p>
    <w:p>
      <w:pPr>
        <w:pStyle w:val="ListBullet"/>
      </w:pPr>
      <w:r>
        <w:t>Create Compelling Reports and Visualizations: Learn to present data through compelling reports and visualizations that communicate insights clearly and effectively to various audiences.</w:t>
      </w:r>
    </w:p>
    <w:p>
      <w:pPr>
        <w:pStyle w:val="Heading1"/>
        <w:keepNext/>
      </w:pPr>
      <w:r>
        <w:t>Schedule</w:t>
      </w:r>
    </w:p>
    <w:tbl>
      <w:tblPr>
        <w:tblW w:type="dxa" w:w="9360"/>
        <w:tblLook w:firstColumn="1" w:firstRow="1" w:lastColumn="0" w:lastRow="0" w:noHBand="0" w:noVBand="1" w:val="04A0"/>
        <w:tblInd w:w="12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40"/>
        <w:gridCol w:w="2340"/>
        <w:gridCol w:w="2340"/>
        <w:gridCol w:w="2340"/>
      </w:tblGrid>
      <w:tr>
        <w:tc>
          <w:tcPr>
            <w:tcW w:type="dxa" w:w="380"/>
            <w:shd w:fill="F2F2F2"/>
            <w:tcMar>
              <w:top w:w="80" w:type="dxa"/>
              <w:start w:w="120" w:type="dxa"/>
              <w:bottom w:w="80" w:type="dxa"/>
              <w:end w:w="120" w:type="dxa"/>
            </w:tcMar>
            <w:vAlign w:val="center"/>
          </w:tcPr>
          <w:p>
            <w:pPr>
              <w:spacing w:after="0"/>
            </w:pPr>
            <w:r>
              <w:rPr>
                <w:b/>
              </w:rPr>
            </w:r>
          </w:p>
        </w:tc>
        <w:tc>
          <w:tcPr>
            <w:tcW w:type="dxa" w:w="3020"/>
            <w:shd w:fill="F2F2F2"/>
            <w:tcMar>
              <w:top w:w="80" w:type="dxa"/>
              <w:start w:w="120" w:type="dxa"/>
              <w:bottom w:w="80" w:type="dxa"/>
              <w:end w:w="120" w:type="dxa"/>
            </w:tcMar>
            <w:vAlign w:val="center"/>
          </w:tcPr>
          <w:p>
            <w:pPr>
              <w:spacing w:after="0"/>
            </w:pPr>
            <w:r>
              <w:rPr>
                <w:b/>
              </w:rPr>
              <w:t>Dates</w:t>
            </w:r>
          </w:p>
        </w:tc>
        <w:tc>
          <w:tcPr>
            <w:tcW w:type="dxa" w:w="3020"/>
            <w:shd w:fill="F2F2F2"/>
            <w:tcMar>
              <w:top w:w="80" w:type="dxa"/>
              <w:start w:w="120" w:type="dxa"/>
              <w:bottom w:w="80" w:type="dxa"/>
              <w:end w:w="120" w:type="dxa"/>
            </w:tcMar>
            <w:vAlign w:val="center"/>
          </w:tcPr>
          <w:p>
            <w:pPr>
              <w:spacing w:after="0"/>
            </w:pPr>
            <w:r>
              <w:rPr>
                <w:b/>
              </w:rPr>
              <w:t>Material</w:t>
            </w:r>
          </w:p>
        </w:tc>
        <w:tc>
          <w:tcPr>
            <w:tcW w:type="dxa" w:w="2940"/>
            <w:shd w:fill="F2F2F2"/>
            <w:tcMar>
              <w:top w:w="80" w:type="dxa"/>
              <w:start w:w="120" w:type="dxa"/>
              <w:bottom w:w="80" w:type="dxa"/>
              <w:end w:w="120" w:type="dxa"/>
            </w:tcMar>
            <w:vAlign w:val="center"/>
          </w:tcPr>
          <w:p>
            <w:pPr>
              <w:spacing w:after="0"/>
            </w:pPr>
            <w:r>
              <w:rPr>
                <w:b/>
              </w:rPr>
              <w:t>TODOs</w:t>
            </w:r>
          </w:p>
        </w:tc>
      </w:tr>
      <w:tr>
        <w:tc>
          <w:tcPr>
            <w:tcW w:type="dxa" w:w="380"/>
            <w:tcMar>
              <w:top w:w="160" w:type="dxa"/>
              <w:start w:w="120" w:type="dxa"/>
              <w:bottom w:w="160" w:type="dxa"/>
              <w:end w:w="120" w:type="dxa"/>
            </w:tcMar>
            <w:vAlign w:val="top"/>
          </w:tcPr>
          <w:p>
            <w:pPr>
              <w:spacing w:after="0"/>
              <w:jc w:val="center"/>
            </w:pPr>
            <w:r>
              <w:t>1</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2</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3</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4</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5</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6</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7</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8</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9</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r>
        <w:tc>
          <w:tcPr>
            <w:tcW w:type="dxa" w:w="380"/>
            <w:tcMar>
              <w:top w:w="160" w:type="dxa"/>
              <w:start w:w="120" w:type="dxa"/>
              <w:bottom w:w="160" w:type="dxa"/>
              <w:end w:w="120" w:type="dxa"/>
            </w:tcMar>
            <w:vAlign w:val="top"/>
          </w:tcPr>
          <w:p>
            <w:pPr>
              <w:spacing w:after="0"/>
              <w:jc w:val="center"/>
            </w:pPr>
            <w:r>
              <w:t>10</w:t>
            </w:r>
          </w:p>
        </w:tc>
        <w:tc>
          <w:tcPr>
            <w:tcW w:type="dxa" w:w="3020"/>
            <w:tcMar>
              <w:top w:w="160" w:type="dxa"/>
              <w:start w:w="120" w:type="dxa"/>
              <w:bottom w:w="160" w:type="dxa"/>
              <w:end w:w="120" w:type="dxa"/>
            </w:tcMar>
            <w:vAlign w:val="top"/>
          </w:tcPr>
          <w:p>
            <w:pPr>
              <w:spacing w:after="0"/>
            </w:pPr>
            <w:r/>
          </w:p>
        </w:tc>
        <w:tc>
          <w:tcPr>
            <w:tcW w:type="dxa" w:w="3020"/>
            <w:tcMar>
              <w:top w:w="160" w:type="dxa"/>
              <w:start w:w="120" w:type="dxa"/>
              <w:bottom w:w="160" w:type="dxa"/>
              <w:end w:w="120" w:type="dxa"/>
            </w:tcMar>
            <w:vAlign w:val="top"/>
          </w:tcPr>
          <w:p>
            <w:pPr>
              <w:spacing w:after="0"/>
            </w:pPr>
            <w:r/>
          </w:p>
        </w:tc>
        <w:tc>
          <w:tcPr>
            <w:tcW w:type="dxa" w:w="2940"/>
            <w:tcMar>
              <w:top w:w="160" w:type="dxa"/>
              <w:start w:w="120" w:type="dxa"/>
              <w:bottom w:w="160" w:type="dxa"/>
              <w:end w:w="120" w:type="dxa"/>
            </w:tcMar>
            <w:vAlign w:val="top"/>
          </w:tcPr>
          <w:p>
            <w:pPr>
              <w:spacing w:after="0"/>
            </w:pPr>
            <w:r/>
          </w:p>
        </w:tc>
      </w:tr>
    </w:tbl>
    <w:p>
      <w:pPr>
        <w:pStyle w:val="Heading1"/>
        <w:keepNext/>
      </w:pPr>
      <w:r>
        <w:t>Grade Distribution</w:t>
      </w:r>
    </w:p>
    <w:tbl>
      <w:tblPr>
        <w:tblW w:type="dxa" w:w="9360"/>
        <w:tblLook w:firstColumn="1" w:firstRow="1" w:lastColumn="0" w:lastRow="0" w:noHBand="0" w:noVBand="1" w:val="04A0"/>
        <w:tblInd w:w="12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20"/>
        <w:gridCol w:w="3120"/>
        <w:gridCol w:w="3120"/>
      </w:tblGrid>
      <w:tr>
        <w:tc>
          <w:tcPr>
            <w:tcW w:type="dxa" w:w="380"/>
            <w:shd w:fill="F2F2F2"/>
            <w:tcMar>
              <w:top w:w="80" w:type="dxa"/>
              <w:start w:w="120" w:type="dxa"/>
              <w:bottom w:w="80" w:type="dxa"/>
              <w:end w:w="120" w:type="dxa"/>
            </w:tcMar>
            <w:vAlign w:val="center"/>
          </w:tcPr>
          <w:p>
            <w:pPr>
              <w:spacing w:after="0"/>
            </w:pPr>
            <w:r>
              <w:rPr>
                <w:b/>
              </w:rPr>
            </w:r>
          </w:p>
        </w:tc>
        <w:tc>
          <w:tcPr>
            <w:tcW w:type="dxa" w:w="4660"/>
            <w:shd w:fill="F2F2F2"/>
            <w:tcMar>
              <w:top w:w="80" w:type="dxa"/>
              <w:start w:w="120" w:type="dxa"/>
              <w:bottom w:w="80" w:type="dxa"/>
              <w:end w:w="120" w:type="dxa"/>
            </w:tcMar>
            <w:vAlign w:val="center"/>
          </w:tcPr>
          <w:p>
            <w:pPr>
              <w:spacing w:after="0"/>
            </w:pPr>
            <w:r>
              <w:rPr>
                <w:b/>
              </w:rPr>
              <w:t>Category</w:t>
            </w:r>
          </w:p>
        </w:tc>
        <w:tc>
          <w:tcPr>
            <w:tcW w:type="dxa" w:w="4320"/>
            <w:shd w:fill="F2F2F2"/>
            <w:tcMar>
              <w:top w:w="80" w:type="dxa"/>
              <w:start w:w="120" w:type="dxa"/>
              <w:bottom w:w="80" w:type="dxa"/>
              <w:end w:w="120" w:type="dxa"/>
            </w:tcMar>
            <w:vAlign w:val="center"/>
          </w:tcPr>
          <w:p>
            <w:pPr>
              <w:spacing w:after="0"/>
            </w:pPr>
            <w:r>
              <w:rPr>
                <w:b/>
              </w:rPr>
              <w:t>Percentage</w:t>
            </w:r>
          </w:p>
        </w:tc>
      </w:tr>
      <w:tr>
        <w:tc>
          <w:tcPr>
            <w:tcW w:type="dxa" w:w="380"/>
            <w:tcMar>
              <w:top w:w="80" w:type="dxa"/>
              <w:start w:w="120" w:type="dxa"/>
              <w:bottom w:w="80" w:type="dxa"/>
              <w:end w:w="120" w:type="dxa"/>
            </w:tcMar>
            <w:vAlign w:val="center"/>
          </w:tcPr>
          <w:p>
            <w:pPr>
              <w:spacing w:after="0"/>
            </w:pPr>
            <w:r>
              <w:t>1</w:t>
            </w:r>
          </w:p>
        </w:tc>
        <w:tc>
          <w:tcPr>
            <w:tcW w:type="dxa" w:w="4660"/>
            <w:tcMar>
              <w:top w:w="80" w:type="dxa"/>
              <w:start w:w="120" w:type="dxa"/>
              <w:bottom w:w="80" w:type="dxa"/>
              <w:end w:w="120" w:type="dxa"/>
            </w:tcMar>
            <w:vAlign w:val="center"/>
          </w:tcPr>
          <w:p>
            <w:pPr>
              <w:spacing w:after="0"/>
            </w:pPr>
            <w:r>
              <w:t>Class Activities</w:t>
            </w:r>
          </w:p>
        </w:tc>
        <w:tc>
          <w:tcPr>
            <w:tcW w:type="dxa" w:w="4320"/>
            <w:tcMar>
              <w:top w:w="80" w:type="dxa"/>
              <w:start w:w="120" w:type="dxa"/>
              <w:bottom w:w="80" w:type="dxa"/>
              <w:end w:w="120" w:type="dxa"/>
            </w:tcMar>
            <w:vAlign w:val="center"/>
          </w:tcPr>
          <w:p>
            <w:pPr>
              <w:spacing w:after="0"/>
            </w:pPr>
            <w:r>
              <w:t>10%</w:t>
            </w:r>
          </w:p>
        </w:tc>
      </w:tr>
      <w:tr>
        <w:tc>
          <w:tcPr>
            <w:tcW w:type="dxa" w:w="380"/>
            <w:tcMar>
              <w:top w:w="80" w:type="dxa"/>
              <w:start w:w="120" w:type="dxa"/>
              <w:bottom w:w="80" w:type="dxa"/>
              <w:end w:w="120" w:type="dxa"/>
            </w:tcMar>
            <w:vAlign w:val="center"/>
          </w:tcPr>
          <w:p>
            <w:pPr>
              <w:spacing w:after="0"/>
            </w:pPr>
            <w:r>
              <w:t>2</w:t>
            </w:r>
          </w:p>
        </w:tc>
        <w:tc>
          <w:tcPr>
            <w:tcW w:type="dxa" w:w="4660"/>
            <w:tcMar>
              <w:top w:w="80" w:type="dxa"/>
              <w:start w:w="120" w:type="dxa"/>
              <w:bottom w:w="80" w:type="dxa"/>
              <w:end w:w="120" w:type="dxa"/>
            </w:tcMar>
            <w:vAlign w:val="center"/>
          </w:tcPr>
          <w:p>
            <w:pPr>
              <w:spacing w:after="0"/>
            </w:pPr>
            <w:r>
              <w:t>Poster</w:t>
            </w:r>
          </w:p>
        </w:tc>
        <w:tc>
          <w:tcPr>
            <w:tcW w:type="dxa" w:w="4320"/>
            <w:tcMar>
              <w:top w:w="80" w:type="dxa"/>
              <w:start w:w="120" w:type="dxa"/>
              <w:bottom w:w="80" w:type="dxa"/>
              <w:end w:w="120" w:type="dxa"/>
            </w:tcMar>
            <w:vAlign w:val="center"/>
          </w:tcPr>
          <w:p>
            <w:pPr>
              <w:spacing w:after="0"/>
            </w:pPr>
            <w:r>
              <w:t>15%</w:t>
            </w:r>
          </w:p>
        </w:tc>
      </w:tr>
      <w:tr>
        <w:tc>
          <w:tcPr>
            <w:tcW w:type="dxa" w:w="380"/>
            <w:tcMar>
              <w:top w:w="80" w:type="dxa"/>
              <w:start w:w="120" w:type="dxa"/>
              <w:bottom w:w="80" w:type="dxa"/>
              <w:end w:w="120" w:type="dxa"/>
            </w:tcMar>
            <w:vAlign w:val="center"/>
          </w:tcPr>
          <w:p>
            <w:pPr>
              <w:spacing w:after="0"/>
            </w:pPr>
            <w:r>
              <w:t>3</w:t>
            </w:r>
          </w:p>
        </w:tc>
        <w:tc>
          <w:tcPr>
            <w:tcW w:type="dxa" w:w="4660"/>
            <w:tcMar>
              <w:top w:w="80" w:type="dxa"/>
              <w:start w:w="120" w:type="dxa"/>
              <w:bottom w:w="80" w:type="dxa"/>
              <w:end w:w="120" w:type="dxa"/>
            </w:tcMar>
            <w:vAlign w:val="center"/>
          </w:tcPr>
          <w:p>
            <w:pPr>
              <w:spacing w:after="0"/>
            </w:pPr>
            <w:r>
              <w:t>Assignments</w:t>
            </w:r>
          </w:p>
        </w:tc>
        <w:tc>
          <w:tcPr>
            <w:tcW w:type="dxa" w:w="4320"/>
            <w:tcMar>
              <w:top w:w="80" w:type="dxa"/>
              <w:start w:w="120" w:type="dxa"/>
              <w:bottom w:w="80" w:type="dxa"/>
              <w:end w:w="120" w:type="dxa"/>
            </w:tcMar>
            <w:vAlign w:val="center"/>
          </w:tcPr>
          <w:p>
            <w:pPr>
              <w:spacing w:after="0"/>
            </w:pPr>
            <w:r>
              <w:t>15%</w:t>
            </w:r>
          </w:p>
        </w:tc>
      </w:tr>
      <w:tr>
        <w:tc>
          <w:tcPr>
            <w:tcW w:type="dxa" w:w="380"/>
            <w:tcMar>
              <w:top w:w="80" w:type="dxa"/>
              <w:start w:w="120" w:type="dxa"/>
              <w:bottom w:w="80" w:type="dxa"/>
              <w:end w:w="120" w:type="dxa"/>
            </w:tcMar>
            <w:vAlign w:val="center"/>
          </w:tcPr>
          <w:p>
            <w:pPr>
              <w:spacing w:after="0"/>
            </w:pPr>
            <w:r>
              <w:t>4</w:t>
            </w:r>
          </w:p>
        </w:tc>
        <w:tc>
          <w:tcPr>
            <w:tcW w:type="dxa" w:w="4660"/>
            <w:tcMar>
              <w:top w:w="80" w:type="dxa"/>
              <w:start w:w="120" w:type="dxa"/>
              <w:bottom w:w="80" w:type="dxa"/>
              <w:end w:w="120" w:type="dxa"/>
            </w:tcMar>
            <w:vAlign w:val="center"/>
          </w:tcPr>
          <w:p>
            <w:pPr>
              <w:spacing w:after="0"/>
            </w:pPr>
            <w:r>
              <w:t>Midterm</w:t>
            </w:r>
          </w:p>
        </w:tc>
        <w:tc>
          <w:tcPr>
            <w:tcW w:type="dxa" w:w="4320"/>
            <w:tcMar>
              <w:top w:w="80" w:type="dxa"/>
              <w:start w:w="120" w:type="dxa"/>
              <w:bottom w:w="80" w:type="dxa"/>
              <w:end w:w="120" w:type="dxa"/>
            </w:tcMar>
            <w:vAlign w:val="center"/>
          </w:tcPr>
          <w:p>
            <w:pPr>
              <w:spacing w:after="0"/>
            </w:pPr>
            <w:r>
              <w:t>30%</w:t>
            </w:r>
          </w:p>
        </w:tc>
      </w:tr>
      <w:tr>
        <w:tc>
          <w:tcPr>
            <w:tcW w:type="dxa" w:w="380"/>
            <w:tcMar>
              <w:top w:w="80" w:type="dxa"/>
              <w:start w:w="120" w:type="dxa"/>
              <w:bottom w:w="80" w:type="dxa"/>
              <w:end w:w="120" w:type="dxa"/>
            </w:tcMar>
            <w:vAlign w:val="center"/>
          </w:tcPr>
          <w:p>
            <w:pPr>
              <w:spacing w:after="0"/>
            </w:pPr>
            <w:r>
              <w:t>5</w:t>
            </w:r>
          </w:p>
        </w:tc>
        <w:tc>
          <w:tcPr>
            <w:tcW w:type="dxa" w:w="4660"/>
            <w:tcMar>
              <w:top w:w="80" w:type="dxa"/>
              <w:start w:w="120" w:type="dxa"/>
              <w:bottom w:w="80" w:type="dxa"/>
              <w:end w:w="120" w:type="dxa"/>
            </w:tcMar>
            <w:vAlign w:val="center"/>
          </w:tcPr>
          <w:p>
            <w:pPr>
              <w:spacing w:after="0"/>
            </w:pPr>
            <w:r>
              <w:t>Final</w:t>
            </w:r>
          </w:p>
        </w:tc>
        <w:tc>
          <w:tcPr>
            <w:tcW w:type="dxa" w:w="4320"/>
            <w:tcMar>
              <w:top w:w="80" w:type="dxa"/>
              <w:start w:w="120" w:type="dxa"/>
              <w:bottom w:w="80" w:type="dxa"/>
              <w:end w:w="120" w:type="dxa"/>
            </w:tcMar>
            <w:vAlign w:val="center"/>
          </w:tcPr>
          <w:p>
            <w:pPr>
              <w:spacing w:after="0"/>
            </w:pPr>
            <w:r>
              <w:t>30%</w:t>
            </w:r>
          </w:p>
        </w:tc>
      </w:tr>
    </w:tbl>
    <w:p>
      <w:pPr>
        <w:pStyle w:val="Heading1"/>
        <w:keepNext/>
      </w:pPr>
      <w:r>
        <w:t>Grading Scale</w:t>
      </w:r>
    </w:p>
    <w:tbl>
      <w:tblPr>
        <w:tblW w:type="dxa" w:w="9360"/>
        <w:tblLook w:firstColumn="1" w:firstRow="1" w:lastColumn="0" w:lastRow="0" w:noHBand="0" w:noVBand="1" w:val="04A0"/>
        <w:tblInd w:w="12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20"/>
        <w:gridCol w:w="3120"/>
        <w:gridCol w:w="3120"/>
      </w:tblGrid>
      <w:tr>
        <w:tc>
          <w:tcPr>
            <w:tcW w:type="dxa" w:w="380"/>
            <w:shd w:fill="F2F2F2"/>
            <w:tcMar>
              <w:top w:w="80" w:type="dxa"/>
              <w:start w:w="120" w:type="dxa"/>
              <w:bottom w:w="80" w:type="dxa"/>
              <w:end w:w="120" w:type="dxa"/>
            </w:tcMar>
            <w:vAlign w:val="center"/>
          </w:tcPr>
          <w:p>
            <w:pPr>
              <w:spacing w:after="0"/>
            </w:pPr>
            <w:r>
              <w:rPr>
                <w:b/>
              </w:rPr>
            </w:r>
          </w:p>
        </w:tc>
        <w:tc>
          <w:tcPr>
            <w:tcW w:type="dxa" w:w="4660"/>
            <w:shd w:fill="F2F2F2"/>
            <w:tcMar>
              <w:top w:w="80" w:type="dxa"/>
              <w:start w:w="120" w:type="dxa"/>
              <w:bottom w:w="80" w:type="dxa"/>
              <w:end w:w="120" w:type="dxa"/>
            </w:tcMar>
            <w:vAlign w:val="center"/>
          </w:tcPr>
          <w:p>
            <w:pPr>
              <w:spacing w:after="0"/>
            </w:pPr>
            <w:r>
              <w:rPr>
                <w:b/>
              </w:rPr>
              <w:t>Grade Range</w:t>
            </w:r>
          </w:p>
        </w:tc>
        <w:tc>
          <w:tcPr>
            <w:tcW w:type="dxa" w:w="4320"/>
            <w:shd w:fill="F2F2F2"/>
            <w:tcMar>
              <w:top w:w="80" w:type="dxa"/>
              <w:start w:w="120" w:type="dxa"/>
              <w:bottom w:w="80" w:type="dxa"/>
              <w:end w:w="120" w:type="dxa"/>
            </w:tcMar>
            <w:vAlign w:val="center"/>
          </w:tcPr>
          <w:p>
            <w:pPr>
              <w:spacing w:after="0"/>
            </w:pPr>
            <w:r>
              <w:rPr>
                <w:b/>
              </w:rPr>
              <w:t>Letter</w:t>
            </w:r>
          </w:p>
        </w:tc>
      </w:tr>
      <w:tr>
        <w:tc>
          <w:tcPr>
            <w:tcW w:type="dxa" w:w="380"/>
            <w:tcMar>
              <w:top w:w="80" w:type="dxa"/>
              <w:start w:w="120" w:type="dxa"/>
              <w:bottom w:w="80" w:type="dxa"/>
              <w:end w:w="120" w:type="dxa"/>
            </w:tcMar>
            <w:vAlign w:val="center"/>
          </w:tcPr>
          <w:p>
            <w:pPr>
              <w:spacing w:after="0"/>
            </w:pPr>
            <w:r>
              <w:t>1</w:t>
            </w:r>
          </w:p>
        </w:tc>
        <w:tc>
          <w:tcPr>
            <w:tcW w:type="dxa" w:w="4660"/>
            <w:tcMar>
              <w:top w:w="80" w:type="dxa"/>
              <w:start w:w="120" w:type="dxa"/>
              <w:bottom w:w="80" w:type="dxa"/>
              <w:end w:w="120" w:type="dxa"/>
            </w:tcMar>
            <w:vAlign w:val="center"/>
          </w:tcPr>
          <w:p>
            <w:pPr>
              <w:spacing w:after="0"/>
            </w:pPr>
            <w:r>
              <w:t>&gt;= 94</w:t>
            </w:r>
          </w:p>
        </w:tc>
        <w:tc>
          <w:tcPr>
            <w:tcW w:type="dxa" w:w="4320"/>
            <w:tcMar>
              <w:top w:w="80" w:type="dxa"/>
              <w:start w:w="120" w:type="dxa"/>
              <w:bottom w:w="80" w:type="dxa"/>
              <w:end w:w="120" w:type="dxa"/>
            </w:tcMar>
            <w:vAlign w:val="center"/>
          </w:tcPr>
          <w:p>
            <w:pPr>
              <w:spacing w:after="0"/>
            </w:pPr>
            <w:r>
              <w:t>A</w:t>
            </w:r>
          </w:p>
        </w:tc>
      </w:tr>
      <w:tr>
        <w:tc>
          <w:tcPr>
            <w:tcW w:type="dxa" w:w="380"/>
            <w:tcMar>
              <w:top w:w="80" w:type="dxa"/>
              <w:start w:w="120" w:type="dxa"/>
              <w:bottom w:w="80" w:type="dxa"/>
              <w:end w:w="120" w:type="dxa"/>
            </w:tcMar>
            <w:vAlign w:val="center"/>
          </w:tcPr>
          <w:p>
            <w:pPr>
              <w:spacing w:after="0"/>
            </w:pPr>
            <w:r>
              <w:t>2</w:t>
            </w:r>
          </w:p>
        </w:tc>
        <w:tc>
          <w:tcPr>
            <w:tcW w:type="dxa" w:w="4660"/>
            <w:tcMar>
              <w:top w:w="80" w:type="dxa"/>
              <w:start w:w="120" w:type="dxa"/>
              <w:bottom w:w="80" w:type="dxa"/>
              <w:end w:w="120" w:type="dxa"/>
            </w:tcMar>
            <w:vAlign w:val="center"/>
          </w:tcPr>
          <w:p>
            <w:pPr>
              <w:spacing w:after="0"/>
            </w:pPr>
            <w:r>
              <w:t>&gt;= 90</w:t>
            </w:r>
          </w:p>
        </w:tc>
        <w:tc>
          <w:tcPr>
            <w:tcW w:type="dxa" w:w="4320"/>
            <w:tcMar>
              <w:top w:w="80" w:type="dxa"/>
              <w:start w:w="120" w:type="dxa"/>
              <w:bottom w:w="80" w:type="dxa"/>
              <w:end w:w="120" w:type="dxa"/>
            </w:tcMar>
            <w:vAlign w:val="center"/>
          </w:tcPr>
          <w:p>
            <w:pPr>
              <w:spacing w:after="0"/>
            </w:pPr>
            <w:r>
              <w:t>A-</w:t>
            </w:r>
          </w:p>
        </w:tc>
      </w:tr>
      <w:tr>
        <w:tc>
          <w:tcPr>
            <w:tcW w:type="dxa" w:w="380"/>
            <w:tcMar>
              <w:top w:w="80" w:type="dxa"/>
              <w:start w:w="120" w:type="dxa"/>
              <w:bottom w:w="80" w:type="dxa"/>
              <w:end w:w="120" w:type="dxa"/>
            </w:tcMar>
            <w:vAlign w:val="center"/>
          </w:tcPr>
          <w:p>
            <w:pPr>
              <w:spacing w:after="0"/>
            </w:pPr>
            <w:r>
              <w:t>3</w:t>
            </w:r>
          </w:p>
        </w:tc>
        <w:tc>
          <w:tcPr>
            <w:tcW w:type="dxa" w:w="4660"/>
            <w:tcMar>
              <w:top w:w="80" w:type="dxa"/>
              <w:start w:w="120" w:type="dxa"/>
              <w:bottom w:w="80" w:type="dxa"/>
              <w:end w:w="120" w:type="dxa"/>
            </w:tcMar>
            <w:vAlign w:val="center"/>
          </w:tcPr>
          <w:p>
            <w:pPr>
              <w:spacing w:after="0"/>
            </w:pPr>
            <w:r>
              <w:t>&gt;= 87</w:t>
            </w:r>
          </w:p>
        </w:tc>
        <w:tc>
          <w:tcPr>
            <w:tcW w:type="dxa" w:w="4320"/>
            <w:tcMar>
              <w:top w:w="80" w:type="dxa"/>
              <w:start w:w="120" w:type="dxa"/>
              <w:bottom w:w="80" w:type="dxa"/>
              <w:end w:w="120" w:type="dxa"/>
            </w:tcMar>
            <w:vAlign w:val="center"/>
          </w:tcPr>
          <w:p>
            <w:pPr>
              <w:spacing w:after="0"/>
            </w:pPr>
            <w:r>
              <w:t>B+</w:t>
            </w:r>
          </w:p>
        </w:tc>
      </w:tr>
      <w:tr>
        <w:tc>
          <w:tcPr>
            <w:tcW w:type="dxa" w:w="380"/>
            <w:tcMar>
              <w:top w:w="80" w:type="dxa"/>
              <w:start w:w="120" w:type="dxa"/>
              <w:bottom w:w="80" w:type="dxa"/>
              <w:end w:w="120" w:type="dxa"/>
            </w:tcMar>
            <w:vAlign w:val="center"/>
          </w:tcPr>
          <w:p>
            <w:pPr>
              <w:spacing w:after="0"/>
            </w:pPr>
            <w:r>
              <w:t>4</w:t>
            </w:r>
          </w:p>
        </w:tc>
        <w:tc>
          <w:tcPr>
            <w:tcW w:type="dxa" w:w="4660"/>
            <w:tcMar>
              <w:top w:w="80" w:type="dxa"/>
              <w:start w:w="120" w:type="dxa"/>
              <w:bottom w:w="80" w:type="dxa"/>
              <w:end w:w="120" w:type="dxa"/>
            </w:tcMar>
            <w:vAlign w:val="center"/>
          </w:tcPr>
          <w:p>
            <w:pPr>
              <w:spacing w:after="0"/>
            </w:pPr>
            <w:r>
              <w:t>&gt;= 83</w:t>
            </w:r>
          </w:p>
        </w:tc>
        <w:tc>
          <w:tcPr>
            <w:tcW w:type="dxa" w:w="4320"/>
            <w:tcMar>
              <w:top w:w="80" w:type="dxa"/>
              <w:start w:w="120" w:type="dxa"/>
              <w:bottom w:w="80" w:type="dxa"/>
              <w:end w:w="120" w:type="dxa"/>
            </w:tcMar>
            <w:vAlign w:val="center"/>
          </w:tcPr>
          <w:p>
            <w:pPr>
              <w:spacing w:after="0"/>
            </w:pPr>
            <w:r>
              <w:t>B</w:t>
            </w:r>
          </w:p>
        </w:tc>
      </w:tr>
      <w:tr>
        <w:tc>
          <w:tcPr>
            <w:tcW w:type="dxa" w:w="380"/>
            <w:tcMar>
              <w:top w:w="80" w:type="dxa"/>
              <w:start w:w="120" w:type="dxa"/>
              <w:bottom w:w="80" w:type="dxa"/>
              <w:end w:w="120" w:type="dxa"/>
            </w:tcMar>
            <w:vAlign w:val="center"/>
          </w:tcPr>
          <w:p>
            <w:pPr>
              <w:spacing w:after="0"/>
            </w:pPr>
            <w:r>
              <w:t>5</w:t>
            </w:r>
          </w:p>
        </w:tc>
        <w:tc>
          <w:tcPr>
            <w:tcW w:type="dxa" w:w="4660"/>
            <w:tcMar>
              <w:top w:w="80" w:type="dxa"/>
              <w:start w:w="120" w:type="dxa"/>
              <w:bottom w:w="80" w:type="dxa"/>
              <w:end w:w="120" w:type="dxa"/>
            </w:tcMar>
            <w:vAlign w:val="center"/>
          </w:tcPr>
          <w:p>
            <w:pPr>
              <w:spacing w:after="0"/>
            </w:pPr>
            <w:r>
              <w:t>&gt;= 80</w:t>
            </w:r>
          </w:p>
        </w:tc>
        <w:tc>
          <w:tcPr>
            <w:tcW w:type="dxa" w:w="4320"/>
            <w:tcMar>
              <w:top w:w="80" w:type="dxa"/>
              <w:start w:w="120" w:type="dxa"/>
              <w:bottom w:w="80" w:type="dxa"/>
              <w:end w:w="120" w:type="dxa"/>
            </w:tcMar>
            <w:vAlign w:val="center"/>
          </w:tcPr>
          <w:p>
            <w:pPr>
              <w:spacing w:after="0"/>
            </w:pPr>
            <w:r>
              <w:t>B-</w:t>
            </w:r>
          </w:p>
        </w:tc>
      </w:tr>
      <w:tr>
        <w:tc>
          <w:tcPr>
            <w:tcW w:type="dxa" w:w="380"/>
            <w:tcMar>
              <w:top w:w="80" w:type="dxa"/>
              <w:start w:w="120" w:type="dxa"/>
              <w:bottom w:w="80" w:type="dxa"/>
              <w:end w:w="120" w:type="dxa"/>
            </w:tcMar>
            <w:vAlign w:val="center"/>
          </w:tcPr>
          <w:p>
            <w:pPr>
              <w:spacing w:after="0"/>
            </w:pPr>
            <w:r>
              <w:t>6</w:t>
            </w:r>
          </w:p>
        </w:tc>
        <w:tc>
          <w:tcPr>
            <w:tcW w:type="dxa" w:w="4660"/>
            <w:tcMar>
              <w:top w:w="80" w:type="dxa"/>
              <w:start w:w="120" w:type="dxa"/>
              <w:bottom w:w="80" w:type="dxa"/>
              <w:end w:w="120" w:type="dxa"/>
            </w:tcMar>
            <w:vAlign w:val="center"/>
          </w:tcPr>
          <w:p>
            <w:pPr>
              <w:spacing w:after="0"/>
            </w:pPr>
            <w:r>
              <w:t>&gt;= 77</w:t>
            </w:r>
          </w:p>
        </w:tc>
        <w:tc>
          <w:tcPr>
            <w:tcW w:type="dxa" w:w="4320"/>
            <w:tcMar>
              <w:top w:w="80" w:type="dxa"/>
              <w:start w:w="120" w:type="dxa"/>
              <w:bottom w:w="80" w:type="dxa"/>
              <w:end w:w="120" w:type="dxa"/>
            </w:tcMar>
            <w:vAlign w:val="center"/>
          </w:tcPr>
          <w:p>
            <w:pPr>
              <w:spacing w:after="0"/>
            </w:pPr>
            <w:r>
              <w:t>C+</w:t>
            </w:r>
          </w:p>
        </w:tc>
      </w:tr>
      <w:tr>
        <w:tc>
          <w:tcPr>
            <w:tcW w:type="dxa" w:w="380"/>
            <w:tcMar>
              <w:top w:w="80" w:type="dxa"/>
              <w:start w:w="120" w:type="dxa"/>
              <w:bottom w:w="80" w:type="dxa"/>
              <w:end w:w="120" w:type="dxa"/>
            </w:tcMar>
            <w:vAlign w:val="center"/>
          </w:tcPr>
          <w:p>
            <w:pPr>
              <w:spacing w:after="0"/>
            </w:pPr>
            <w:r>
              <w:t>7</w:t>
            </w:r>
          </w:p>
        </w:tc>
        <w:tc>
          <w:tcPr>
            <w:tcW w:type="dxa" w:w="4660"/>
            <w:tcMar>
              <w:top w:w="80" w:type="dxa"/>
              <w:start w:w="120" w:type="dxa"/>
              <w:bottom w:w="80" w:type="dxa"/>
              <w:end w:w="120" w:type="dxa"/>
            </w:tcMar>
            <w:vAlign w:val="center"/>
          </w:tcPr>
          <w:p>
            <w:pPr>
              <w:spacing w:after="0"/>
            </w:pPr>
            <w:r>
              <w:t>&gt;= 73</w:t>
            </w:r>
          </w:p>
        </w:tc>
        <w:tc>
          <w:tcPr>
            <w:tcW w:type="dxa" w:w="4320"/>
            <w:tcMar>
              <w:top w:w="80" w:type="dxa"/>
              <w:start w:w="120" w:type="dxa"/>
              <w:bottom w:w="80" w:type="dxa"/>
              <w:end w:w="120" w:type="dxa"/>
            </w:tcMar>
            <w:vAlign w:val="center"/>
          </w:tcPr>
          <w:p>
            <w:pPr>
              <w:spacing w:after="0"/>
            </w:pPr>
            <w:r>
              <w:t>C</w:t>
            </w:r>
          </w:p>
        </w:tc>
      </w:tr>
      <w:tr>
        <w:tc>
          <w:tcPr>
            <w:tcW w:type="dxa" w:w="380"/>
            <w:tcMar>
              <w:top w:w="80" w:type="dxa"/>
              <w:start w:w="120" w:type="dxa"/>
              <w:bottom w:w="80" w:type="dxa"/>
              <w:end w:w="120" w:type="dxa"/>
            </w:tcMar>
            <w:vAlign w:val="center"/>
          </w:tcPr>
          <w:p>
            <w:pPr>
              <w:spacing w:after="0"/>
            </w:pPr>
            <w:r>
              <w:t>8</w:t>
            </w:r>
          </w:p>
        </w:tc>
        <w:tc>
          <w:tcPr>
            <w:tcW w:type="dxa" w:w="4660"/>
            <w:tcMar>
              <w:top w:w="80" w:type="dxa"/>
              <w:start w:w="120" w:type="dxa"/>
              <w:bottom w:w="80" w:type="dxa"/>
              <w:end w:w="120" w:type="dxa"/>
            </w:tcMar>
            <w:vAlign w:val="center"/>
          </w:tcPr>
          <w:p>
            <w:pPr>
              <w:spacing w:after="0"/>
            </w:pPr>
            <w:r>
              <w:t>&gt;= 70</w:t>
            </w:r>
          </w:p>
        </w:tc>
        <w:tc>
          <w:tcPr>
            <w:tcW w:type="dxa" w:w="4320"/>
            <w:tcMar>
              <w:top w:w="80" w:type="dxa"/>
              <w:start w:w="120" w:type="dxa"/>
              <w:bottom w:w="80" w:type="dxa"/>
              <w:end w:w="120" w:type="dxa"/>
            </w:tcMar>
            <w:vAlign w:val="center"/>
          </w:tcPr>
          <w:p>
            <w:pPr>
              <w:spacing w:after="0"/>
            </w:pPr>
            <w:r>
              <w:t>C-</w:t>
            </w:r>
          </w:p>
        </w:tc>
      </w:tr>
      <w:tr>
        <w:tc>
          <w:tcPr>
            <w:tcW w:type="dxa" w:w="380"/>
            <w:tcMar>
              <w:top w:w="80" w:type="dxa"/>
              <w:start w:w="120" w:type="dxa"/>
              <w:bottom w:w="80" w:type="dxa"/>
              <w:end w:w="120" w:type="dxa"/>
            </w:tcMar>
            <w:vAlign w:val="center"/>
          </w:tcPr>
          <w:p>
            <w:pPr>
              <w:spacing w:after="0"/>
            </w:pPr>
            <w:r>
              <w:t>9</w:t>
            </w:r>
          </w:p>
        </w:tc>
        <w:tc>
          <w:tcPr>
            <w:tcW w:type="dxa" w:w="4660"/>
            <w:tcMar>
              <w:top w:w="80" w:type="dxa"/>
              <w:start w:w="120" w:type="dxa"/>
              <w:bottom w:w="80" w:type="dxa"/>
              <w:end w:w="120" w:type="dxa"/>
            </w:tcMar>
            <w:vAlign w:val="center"/>
          </w:tcPr>
          <w:p>
            <w:pPr>
              <w:spacing w:after="0"/>
            </w:pPr>
            <w:r>
              <w:t>&gt;= 67</w:t>
            </w:r>
          </w:p>
        </w:tc>
        <w:tc>
          <w:tcPr>
            <w:tcW w:type="dxa" w:w="4320"/>
            <w:tcMar>
              <w:top w:w="80" w:type="dxa"/>
              <w:start w:w="120" w:type="dxa"/>
              <w:bottom w:w="80" w:type="dxa"/>
              <w:end w:w="120" w:type="dxa"/>
            </w:tcMar>
            <w:vAlign w:val="center"/>
          </w:tcPr>
          <w:p>
            <w:pPr>
              <w:spacing w:after="0"/>
            </w:pPr>
            <w:r>
              <w:t>D+</w:t>
            </w:r>
          </w:p>
        </w:tc>
      </w:tr>
      <w:tr>
        <w:tc>
          <w:tcPr>
            <w:tcW w:type="dxa" w:w="380"/>
            <w:tcMar>
              <w:top w:w="80" w:type="dxa"/>
              <w:start w:w="120" w:type="dxa"/>
              <w:bottom w:w="80" w:type="dxa"/>
              <w:end w:w="120" w:type="dxa"/>
            </w:tcMar>
            <w:vAlign w:val="center"/>
          </w:tcPr>
          <w:p>
            <w:pPr>
              <w:spacing w:after="0"/>
            </w:pPr>
            <w:r>
              <w:t>10</w:t>
            </w:r>
          </w:p>
        </w:tc>
        <w:tc>
          <w:tcPr>
            <w:tcW w:type="dxa" w:w="4660"/>
            <w:tcMar>
              <w:top w:w="80" w:type="dxa"/>
              <w:start w:w="120" w:type="dxa"/>
              <w:bottom w:w="80" w:type="dxa"/>
              <w:end w:w="120" w:type="dxa"/>
            </w:tcMar>
            <w:vAlign w:val="center"/>
          </w:tcPr>
          <w:p>
            <w:pPr>
              <w:spacing w:after="0"/>
            </w:pPr>
            <w:r>
              <w:t>&gt;= 63</w:t>
            </w:r>
          </w:p>
        </w:tc>
        <w:tc>
          <w:tcPr>
            <w:tcW w:type="dxa" w:w="4320"/>
            <w:tcMar>
              <w:top w:w="80" w:type="dxa"/>
              <w:start w:w="120" w:type="dxa"/>
              <w:bottom w:w="80" w:type="dxa"/>
              <w:end w:w="120" w:type="dxa"/>
            </w:tcMar>
            <w:vAlign w:val="center"/>
          </w:tcPr>
          <w:p>
            <w:pPr>
              <w:spacing w:after="0"/>
            </w:pPr>
            <w:r>
              <w:t>D</w:t>
            </w:r>
          </w:p>
        </w:tc>
      </w:tr>
      <w:tr>
        <w:tc>
          <w:tcPr>
            <w:tcW w:type="dxa" w:w="380"/>
            <w:tcMar>
              <w:top w:w="80" w:type="dxa"/>
              <w:start w:w="120" w:type="dxa"/>
              <w:bottom w:w="80" w:type="dxa"/>
              <w:end w:w="120" w:type="dxa"/>
            </w:tcMar>
            <w:vAlign w:val="center"/>
          </w:tcPr>
          <w:p>
            <w:pPr>
              <w:spacing w:after="0"/>
            </w:pPr>
            <w:r>
              <w:t>11</w:t>
            </w:r>
          </w:p>
        </w:tc>
        <w:tc>
          <w:tcPr>
            <w:tcW w:type="dxa" w:w="4660"/>
            <w:tcMar>
              <w:top w:w="80" w:type="dxa"/>
              <w:start w:w="120" w:type="dxa"/>
              <w:bottom w:w="80" w:type="dxa"/>
              <w:end w:w="120" w:type="dxa"/>
            </w:tcMar>
            <w:vAlign w:val="center"/>
          </w:tcPr>
          <w:p>
            <w:pPr>
              <w:spacing w:after="0"/>
            </w:pPr>
            <w:r>
              <w:t>&gt;= 60</w:t>
            </w:r>
          </w:p>
        </w:tc>
        <w:tc>
          <w:tcPr>
            <w:tcW w:type="dxa" w:w="4320"/>
            <w:tcMar>
              <w:top w:w="80" w:type="dxa"/>
              <w:start w:w="120" w:type="dxa"/>
              <w:bottom w:w="80" w:type="dxa"/>
              <w:end w:w="120" w:type="dxa"/>
            </w:tcMar>
            <w:vAlign w:val="center"/>
          </w:tcPr>
          <w:p>
            <w:pPr>
              <w:spacing w:after="0"/>
            </w:pPr>
            <w:r>
              <w:t>D-</w:t>
            </w:r>
          </w:p>
        </w:tc>
      </w:tr>
      <w:tr>
        <w:tc>
          <w:tcPr>
            <w:tcW w:type="dxa" w:w="380"/>
            <w:tcMar>
              <w:top w:w="80" w:type="dxa"/>
              <w:start w:w="120" w:type="dxa"/>
              <w:bottom w:w="80" w:type="dxa"/>
              <w:end w:w="120" w:type="dxa"/>
            </w:tcMar>
            <w:vAlign w:val="center"/>
          </w:tcPr>
          <w:p>
            <w:pPr>
              <w:spacing w:after="0"/>
            </w:pPr>
            <w:r>
              <w:t>12</w:t>
            </w:r>
          </w:p>
        </w:tc>
        <w:tc>
          <w:tcPr>
            <w:tcW w:type="dxa" w:w="4660"/>
            <w:tcMar>
              <w:top w:w="80" w:type="dxa"/>
              <w:start w:w="120" w:type="dxa"/>
              <w:bottom w:w="80" w:type="dxa"/>
              <w:end w:w="120" w:type="dxa"/>
            </w:tcMar>
            <w:vAlign w:val="center"/>
          </w:tcPr>
          <w:p>
            <w:pPr>
              <w:spacing w:after="0"/>
            </w:pPr>
            <w:r>
              <w:t>Else</w:t>
            </w:r>
          </w:p>
        </w:tc>
        <w:tc>
          <w:tcPr>
            <w:tcW w:type="dxa" w:w="4320"/>
            <w:tcMar>
              <w:top w:w="80" w:type="dxa"/>
              <w:start w:w="120" w:type="dxa"/>
              <w:bottom w:w="80" w:type="dxa"/>
              <w:end w:w="120" w:type="dxa"/>
            </w:tcMar>
            <w:vAlign w:val="center"/>
          </w:tcPr>
          <w:p>
            <w:pPr>
              <w:spacing w:after="0"/>
            </w:pPr>
            <w:r>
              <w:t>F</w:t>
            </w:r>
          </w:p>
        </w:tc>
      </w:tr>
    </w:tbl>
    <w:p>
      <w:pPr>
        <w:pStyle w:val="Heading1"/>
        <w:keepNext/>
      </w:pPr>
      <w:r>
        <w:t>College Policies</w:t>
      </w:r>
    </w:p>
    <w:p>
      <w:pPr>
        <w:pStyle w:val="Heading2"/>
        <w:keepNext/>
      </w:pPr>
      <w:r>
        <w:t>Accessibility Services (updated 5/20/19)</w:t>
      </w:r>
    </w:p>
    <w:p>
      <w:pPr/>
      <w:r>
        <w:t>Rollins College is committed to equal access and inclusion for all students, faculty and staff. The Rehabilitation Act of 1973 and the Americans with Disabilities Act of 1990 create a foundation of legal obligations to provide an accessible educational environment that does not discriminate against persons with disabilities. It is the spirit of these laws that guides the college toward expanding access in all courses and programs, utilizing innovative instructional design, and identifying and removing barriers whenever possible.</w:t>
      </w:r>
    </w:p>
    <w:p>
      <w:pPr/>
      <w:r>
        <w:t xml:space="preserve">If you are a person with a disability and anticipate needing any type of academic accommodations in order to fully participate in your classes, please contact the Office of Accessibility Services, located on the first floor of the Olin Library, as soon as possible. You are encouraged to schedule a Welcome Meeting by filling out the “First Time Users” form on the website: </w:t>
      </w:r>
      <w:hyperlink r:id="rId12">
        <w:r>
          <w:rPr>
            <w:color w:val="0563C1"/>
            <w:u w:val="single"/>
          </w:rPr>
          <w:t>https://www.rollins.edu/accessibility-services</w:t>
        </w:r>
      </w:hyperlink>
      <w:r>
        <w:t xml:space="preserve"> and/or reach out by phone or email: 407-975-6463 or </w:t>
      </w:r>
      <w:hyperlink r:id="rId13">
        <w:r>
          <w:rPr>
            <w:color w:val="0563C1"/>
            <w:u w:val="single"/>
          </w:rPr>
          <w:t>Access@Rollins.edu</w:t>
        </w:r>
      </w:hyperlink>
      <w:r>
        <w:t>.</w:t>
      </w:r>
    </w:p>
    <w:p>
      <w:pPr/>
      <w:r>
        <w:t>All test-taking accommodations requested for this course must first be approved through the Office of Accessibility Services (OAS) and scheduled online through Accommodate at least 72 hours before the exam. Official accommodation letters must be received by and discussed with the faculty in advance. There will be no exceptions given unless previously approved by the OAS with documentation of the emergency situation. We highly recommend making all testing accommodations at the beginning of the semester. OAS staff are available to assist with this process.</w:t>
      </w:r>
    </w:p>
    <w:p>
      <w:pPr>
        <w:pStyle w:val="Heading2"/>
        <w:keepNext/>
      </w:pPr>
      <w:r>
        <w:t>Academic Honor Code Reaffirmation (updated 7/10/23)</w:t>
      </w:r>
    </w:p>
    <w:p>
      <w:pPr/>
      <w:hyperlink r:id="rId14">
        <w:r>
          <w:rPr>
            <w:color w:val="0563C1"/>
            <w:u w:val="single"/>
          </w:rPr>
          <w:t>http://www.rollins.edu/honor-code/documents/academic-honor-code-rollins-college.pdf</w:t>
        </w:r>
      </w:hyperlink>
    </w:p>
    <w:p>
      <w:pPr/>
      <w:r>
        <w:t>Membership in the student body of Rollins College carries with it an obligation, and requires a commitment, to act with honor in all things. The student commitment to uphold the values of honor - honesty, trust, respect, fairness, and responsibility - particularly manifests itself in two public aspects of student life. First, as part of the admission process to the College, students agree to commit themselves to the Honor Code. Then, as part of the matriculation process during Orientation, students sign a more detailed pledge to uphold the Honor Code and to conduct themselves honorably in all their activities, both academic and social, as a Rollins student. A student signature on the following pledge is a binding commitment by the student that lasts for his or her entire tenure at Rollins College.</w:t>
      </w:r>
    </w:p>
    <w:p>
      <w:pPr/>
      <w:r>
        <w:t>The development of the virtues of Honor and Integrity are integral to a Rollins College education and to membership in the Rollins College community. Therefore, I, a student of Rollins College, pledge to show my commitment to these virtues by abstaining from any lying, cheating, or plagiarism in my academic endeavors and by behaving responsibly, respectfully and honorably in my social life and in my relationships with others. This pledge is reinforced every time a student submits work for academic credit as his/her own. Students shall add to the paper, quiz, test, lab report, etc., the handwritten signed statement:</w:t>
      </w:r>
    </w:p>
    <w:p>
      <w:pPr/>
      <w:r>
        <w:rPr>
          <w:b/>
        </w:rPr>
        <w:t>"On my honor, I have not given, nor received, nor witnessed any unauthorized assistance on this work."</w:t>
      </w:r>
    </w:p>
    <w:p>
      <w:pPr/>
      <w:r>
        <w:t>Material submitted electronically should contain the pledge; submission implies signing the pledge.</w:t>
      </w:r>
    </w:p>
    <w:p>
      <w:pPr>
        <w:pStyle w:val="Heading2"/>
        <w:keepNext/>
      </w:pPr>
      <w:r>
        <w:t>Citation Expectations</w:t>
      </w:r>
    </w:p>
    <w:p>
      <w:pPr/>
      <w:r>
        <w:t>As per the Academic Honor Code, plagiarism is defined as “Offering the words, facts, or ideas of another person as your own in any academic exercise.” In order to avoid plagiarism, all students are expected to use proper citation norms. For our course, all assignments will use APA citation style.</w:t>
      </w:r>
    </w:p>
    <w:p>
      <w:pPr>
        <w:pStyle w:val="Heading2"/>
        <w:keepNext/>
      </w:pPr>
      <w:r>
        <w:t>Responsible Use of AI:</w:t>
      </w:r>
    </w:p>
    <w:p>
      <w:pPr/>
      <w:r>
        <w:t>In this class, generative AI (ChatGPT, and similar) is allowed for assistance. In other words, it should be used as a learning tool. Examples of good uses of generative AI in this course include asking for explanations of topics which are difficult for you and help figuring out what is wrong with your code (i.e., debugging).</w:t>
      </w:r>
    </w:p>
    <w:p>
      <w:pPr/>
      <w:r>
        <w:t>Use of generative AI should be documented in your collaboration statement as described above. You should describe your use sufficiently to help me understand what you did vs. what AI did. For example, "I consulted ChatGPT when my program didn't end and discovered I had an infinite loop because I wrote i &lt; 10 instead of i == 10" or "I asked ChatGPT to explain if it was possible to write infinite loops using for loops and it gave me 2 examples which helped me understand."</w:t>
      </w:r>
    </w:p>
    <w:p>
      <w:pPr/>
      <w:r>
        <w:t>Unless specifically stated on an assignment, presenting AI-generated work as your own is considered Unauthorized Collaboration and a violation of the Academic Honor Code.</w:t>
      </w:r>
    </w:p>
    <w:p>
      <w:pPr>
        <w:pStyle w:val="Heading2"/>
        <w:keepNext/>
      </w:pPr>
      <w:r>
        <w:t>Attendance Policy - Serious and Contagious Illnesses (Updated 4/2023)</w:t>
      </w:r>
    </w:p>
    <w:p>
      <w:pPr/>
      <w:r>
        <w:t>The College aims to accommodate students who are isolated or quarantined due to serious and contagious illnesses, in order to minimize the potential spread of disease among the College’s students, faculty, and staff.</w:t>
      </w:r>
    </w:p>
    <w:p>
      <w:pPr/>
      <w:r>
        <w:t>For the purposes of this policy, “serious and contagious illness” refers to an infectious disease that is spread from person to person through casual contact or respiratory droplets, which may lead to life-threatening illness and impact the health of the campus community. These diseases include but are not limited to: tuberculosis (TB), mumps, measles or German measles (rubella), certain strains of hepatitis and meningitis, as well as any coronavirus, influenza, monkeypox, and chickenpox. Other potentially less serious infectious diseases, such as pneumonia and febrile illnesses will be addressed on a case-by-case basis.</w:t>
      </w:r>
    </w:p>
    <w:p>
      <w:pPr/>
      <w:r>
        <w:t>Students who must miss class due to isolation or quarantine orders will not have their course grade negatively affected by these absences. Faculty will be notified of these absences by college officials. Students who receive their diagnosis or quarantine order from off-campus health care providers must contact the Wellness Center to have these absences communicated to faculty. Students are reminded that lying to a faculty or staff member is considered a violation of the Academic Honor Code. Students remain responsible for all assigned work and will consult with instructors on the means of accommodation.</w:t>
      </w:r>
    </w:p>
    <w:p>
      <w:pPr/>
      <w:r>
        <w:t>Students who miss class for reasons other than isolation/quarantine will be held to the terms of the instructor's attendance and participation policy as stated in the course syllabus.</w:t>
      </w:r>
    </w:p>
    <w:p>
      <w:pPr/>
      <w:r>
        <w:t>Excessive absences from class due to isolation/quarantine or other reasons can result in the student being unable to meet all of the learning objectives for a course. In such cases, students will consult with the Office of Student and Family Care to explore options such as a medical leave, incomplete course contract, or withdrawal from the course.</w:t>
      </w:r>
    </w:p>
    <w:p>
      <w:pPr>
        <w:pStyle w:val="Heading2"/>
        <w:keepNext/>
      </w:pPr>
      <w:r>
        <w:t>Attendance Policy - College Related Business (updated 1/21/2021)</w:t>
      </w:r>
    </w:p>
    <w:p>
      <w:pPr/>
      <w:r>
        <w:t>Students are expected to meet faculty expectations for class attendance. It is the responsibility of the faculty to publish attendance policies for their courses in the course syllabus. If a distinction is made between “excused” absences and “unexcused” absences, it must be conveyed in the attendance policy. At the instructor’s discretion, a student’s grade may be lowered for failure to comply with the attendance policy. Exceptions exist for absences owing to college-related business. If a student misses a class because of participation in college related business, then the student must confer with their instructor as to how and when the make-up work will be done, which includes the possibility of turning work in early. The instructor may not lower a student's participation or attendance grade in the course due to absences resulting from college related business. Instructors need to provide reasonable accommodations for excused absences regarding due dates for assignments and make-up exams whenever possible.</w:t>
      </w:r>
    </w:p>
    <w:p>
      <w:pPr/>
      <w:r>
        <w:t>A student will not fail a course because the number of college-related business absences exceed the number of absences allowed, except if excessive absences make it impossible to fulfill the learning objectives of the course. In regard to absences due to college related business, students must notify the instructor of an upcoming absence as soon as they are aware of the conflict and obtain an approval. Irrespective of attendance, students remain responsible for all assigned work in the course or instructor approved alternatives. It is the student’s responsibility to discuss with their professor how and when make-up work should be completed before missing class.</w:t>
      </w:r>
    </w:p>
    <w:p>
      <w:pPr/>
      <w:r>
        <w:t>The following are considered excused absences:</w:t>
      </w:r>
    </w:p>
    <w:p>
      <w:pPr>
        <w:pStyle w:val="ListBullet"/>
      </w:pPr>
      <w:r>
        <w:t>participation in Rollins sanctioned varsity competitions (e.g., NCAA athletics, UN and Debate)</w:t>
      </w:r>
    </w:p>
    <w:p>
      <w:pPr>
        <w:pStyle w:val="ListBullet"/>
      </w:pPr>
      <w:r>
        <w:t>participation in special academic events (e.g., academic conferences accompanied by a faculty or staff from college, project competitions)</w:t>
      </w:r>
    </w:p>
    <w:p>
      <w:pPr>
        <w:pStyle w:val="ListBullet"/>
      </w:pPr>
      <w:r>
        <w:t>participation in official college business (e.g., student representatives attending meetings related to college governance, admissions recruitment trips, college performances, co-curricular field trips)</w:t>
      </w:r>
    </w:p>
    <w:p>
      <w:pPr/>
      <w:r>
        <w:t>All absences are excused at the discretion of the faculty.</w:t>
      </w:r>
    </w:p>
    <w:p>
      <w:pPr>
        <w:pStyle w:val="Heading2"/>
        <w:keepNext/>
      </w:pPr>
      <w:r>
        <w:t>Attendance Policy - Religious Holidays (updated 10/20/20)</w:t>
      </w:r>
    </w:p>
    <w:p>
      <w:pPr/>
      <w:r>
        <w:t>It is the responsibility of the faculty to publish attendance policies for their courses in the course syllabus. If a distinction is made between “excused” absences and “unexcused” absences, it must be conveyed in the attendance policy. At the instructor’s discretion, a student’s grade may be lowered for failure to comply with the attendance policy. Exceptions exist for absences owing to religious observances. If a student will miss a class because of religious observance, then the student must confer with their instructor as to how and when the make-up work will be done, which includes the possibility of turning work in early. The instructor may not lower a student's participation or attendance grade in the course due to absences for religious observance. Instructors need to provide reasonable accommodations for excused absences regarding due dates for assignments and make-up exams whenever possible.</w:t>
      </w:r>
    </w:p>
    <w:p>
      <w:pPr/>
      <w:r>
        <w:t>A student will not fail a course because the number of religious observances exceeds the number of absences allowed, except if excessive absences make it impossible to fulfill the learning objectives of the course. Regarding absences due to religious observances, students must notify the instructor of an upcoming absence as soon as they are aware of the conflict. Irrespective of attendance, students remain responsible for all assigned work in the course or instructor approved alternatives. It is the student’s responsibility to discuss with their professor how and when make-up work should be completed before missing class.</w:t>
      </w:r>
    </w:p>
    <w:p>
      <w:pPr/>
      <w:r>
        <w:t>Students who need assistance in communicating absences due to religious holiday observance should consult with the Office of Student and Family Care, the Dean of Religious Life, or the appropriate academic dean.</w:t>
      </w:r>
    </w:p>
    <w:p>
      <w:pPr>
        <w:pStyle w:val="Heading2"/>
        <w:keepNext/>
      </w:pPr>
      <w:r>
        <w:t>Credit Hour Statement for Rollins Courses</w:t>
      </w:r>
    </w:p>
    <w:p>
      <w:pPr/>
      <w:r>
        <w:t>This course is a four-credit-hour course that meets three hours per week. The value of four credit hours results, in part, from work expected of enrolled students both inside and outside the classroom. Rollins faculty require that students average at least 2 ½ hours of outside work for every hour of scheduled class time. In this course, the additional outside-of-class expectations are experiential education and small-group projects.</w:t>
      </w:r>
    </w:p>
    <w:p>
      <w:pPr>
        <w:pStyle w:val="Heading2"/>
        <w:keepNext/>
      </w:pPr>
      <w:r>
        <w:t>Credit Hour Statement for Rollins 4-Week Intensive Maymester Courses</w:t>
      </w:r>
    </w:p>
    <w:p>
      <w:pPr/>
      <w:r>
        <w:t>This course is a four-credit-hour course that meets 15 hours per week for four weeks. The value of four credit hours results, in part, from work expected of enrolled students both inside and outside the classroom. During Maymester, Rollins faculty require that students average about one hour of outside work for every hour of scheduled class time, or about 15 hours each week, in out-of class assignments. In this course, the additional outside-of-class expectations are experiential education and small-group projects.</w:t>
      </w:r>
    </w:p>
    <w:p>
      <w:pPr>
        <w:pStyle w:val="Heading2"/>
        <w:keepNext/>
      </w:pPr>
      <w:r>
        <w:t>Recording Device Use and Class Recordings (updated July 2020)</w:t>
      </w:r>
    </w:p>
    <w:p>
      <w:pPr/>
      <w:r>
        <w:t xml:space="preserve">In order to protect the integrity of the classroom experience, the use of recording devices is limited to either the expressed permission of the faculty member or with proper documentation from the Office of Accessibility Services. Likewise, students may not record virtual class sessions without faculty permission or without proper documentation from the Office of Accessibility Services. Information about accommodations through Accessibility Services can be found at </w:t>
      </w:r>
      <w:hyperlink r:id="rId15">
        <w:r>
          <w:rPr>
            <w:color w:val="0563C1"/>
            <w:u w:val="single"/>
          </w:rPr>
          <w:t>http://www.rollins.edu/accessibility-services/</w:t>
        </w:r>
      </w:hyperlink>
      <w:r>
        <w:t>. Recording without the proper authorization is considered a violation of the Rollins Code of Community Standards.</w:t>
      </w:r>
    </w:p>
    <w:p>
      <w:pPr>
        <w:pStyle w:val="Heading2"/>
        <w:keepNext/>
      </w:pPr>
      <w:r>
        <w:t>Title IX Statement (updated 5/20/19)</w:t>
      </w:r>
    </w:p>
    <w:p>
      <w:pPr/>
      <w:r>
        <w:t xml:space="preserve">Rollins College is committed to making its campus a safe place for students. If you tell any of your faculty about sexual misconduct involving members of the campus community, your professors are required to report this information to the Title IX Coordinator. Your faculty member can help connect you with the Title IX Coordinator, </w:t>
      </w:r>
      <w:hyperlink r:id="rId16">
        <w:r>
          <w:rPr>
            <w:color w:val="0563C1"/>
            <w:u w:val="single"/>
          </w:rPr>
          <w:t>TitleIX@rollins.edu</w:t>
        </w:r>
      </w:hyperlink>
      <w:r>
        <w:t xml:space="preserve"> or 407.691.1773. You will be provided with information, resources and support. If you would prefer to speak to someone on campus confidentially, please call the Wellness Center at 407.628.6340. They are not required to report any information you share with the Title IX Coordinator.</w:t>
      </w:r>
    </w:p>
    <w:p>
      <w:pPr/>
      <w:r>
        <w:t xml:space="preserve">Misconduct under Title IX includes gender-based discrimination and harassment, sexual harassment, sexual violence including fondling and assault, sexual coercion/force, sexual-based communication, sexual exploitation, interpersonal violence including dating and domestic violence, stalking, complicity and retaliation. Everyone is protected under the following protected statuses: sex (including pregnancy), gender, gender identity (including transgender status), gender expression, and sexual orientation. For information, visit </w:t>
      </w:r>
      <w:hyperlink r:id="rId17">
        <w:r>
          <w:rPr>
            <w:color w:val="0563C1"/>
            <w:u w:val="single"/>
          </w:rPr>
          <w:t>https://www.rollins.edu/sexual-misconduct/</w:t>
        </w:r>
      </w:hyperlink>
      <w:r>
        <w:t>.</w:t>
      </w:r>
    </w:p>
    <w:p>
      <w:pPr>
        <w:pStyle w:val="Heading2"/>
        <w:keepNext/>
      </w:pPr>
      <w:r>
        <w:t>Emergency Management (new, August 2020)</w:t>
      </w:r>
    </w:p>
    <w:p>
      <w:pPr/>
      <w:r>
        <w:t xml:space="preserve">In case of emergency, the Rollins “R-Alert” emergency notification system will be activated. Students are encouraged to maintain updated contact information in the R-Alert portion in Foxlink. In addition, students should become familiar with the Emergency Response Protocols in each classroom, and visit the </w:t>
      </w:r>
      <w:hyperlink r:id="rId18">
        <w:r>
          <w:rPr>
            <w:color w:val="0563C1"/>
            <w:u w:val="single"/>
          </w:rPr>
          <w:t>Rollins Emergency Website</w:t>
        </w:r>
      </w:hyperlink>
      <w:r>
        <w:t xml:space="preserve"> for emergency notifications and related resources.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rFLA300: Data Analytics with Excel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0" w:line="240" w:lineRule="auto" w:before="0"/>
      <w:contextualSpacing/>
    </w:pPr>
    <w:rPr>
      <w:rFonts w:asciiTheme="majorHAnsi" w:eastAsiaTheme="majorEastAsia" w:hAnsiTheme="majorHAnsi" w:cstheme="majorBidi" w:ascii="Calibri" w:hAnsi="Calibri"/>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jasser@rollins.edu" TargetMode="External"/><Relationship Id="rId11" Type="http://schemas.openxmlformats.org/officeDocument/2006/relationships/hyperlink" Target="https://www.pearson.com/en-us/subject-catalog/p/your-office-microsoft-365-excel-2025/P200000013142/9780135389478" TargetMode="External"/><Relationship Id="rId12" Type="http://schemas.openxmlformats.org/officeDocument/2006/relationships/hyperlink" Target="https://www.rollins.edu/accessibility-services" TargetMode="External"/><Relationship Id="rId13" Type="http://schemas.openxmlformats.org/officeDocument/2006/relationships/hyperlink" Target="mailto:Access@Rollins.edu" TargetMode="External"/><Relationship Id="rId14" Type="http://schemas.openxmlformats.org/officeDocument/2006/relationships/hyperlink" Target="http://www.rollins.edu/honor-code/documents/academic-honor-code-rollins-college.pdf" TargetMode="External"/><Relationship Id="rId15" Type="http://schemas.openxmlformats.org/officeDocument/2006/relationships/hyperlink" Target="http://www.rollins.edu/accessibility-services/" TargetMode="External"/><Relationship Id="rId16" Type="http://schemas.openxmlformats.org/officeDocument/2006/relationships/hyperlink" Target="mailto:TitleIX@rollins.edu" TargetMode="External"/><Relationship Id="rId17" Type="http://schemas.openxmlformats.org/officeDocument/2006/relationships/hyperlink" Target="https://www.rollins.edu/sexual-misconduct/" TargetMode="External"/><Relationship Id="rId18" Type="http://schemas.openxmlformats.org/officeDocument/2006/relationships/hyperlink" Target="https://www.rollins.edu/emer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