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 AGREEMENT</w:t>
      </w:r>
    </w:p>
    <w:p/>
    <w:p>
      <w:r>
        <w:rPr>
          <w:b w:val="0"/>
        </w:rPr>
        <w:t>This Master Service Agreement (the 'Agreement') is entered into as of January 15, 2025 (the 'Effective Date') by and between:</w:t>
      </w:r>
    </w:p>
    <w:p/>
    <w:p>
      <w:r>
        <w:rPr>
          <w:b w:val="0"/>
        </w:rPr>
        <w:t>Acme Corporation, a Delaware corporation with its principal place of business at 123 Business Park, San Francisco, CA 94102 ('Client')</w:t>
      </w:r>
    </w:p>
    <w:p/>
    <w:p>
      <w:r>
        <w:rPr>
          <w:b w:val="0"/>
        </w:rPr>
        <w:t>AND</w:t>
      </w:r>
    </w:p>
    <w:p/>
    <w:p>
      <w:r>
        <w:rPr>
          <w:b w:val="0"/>
        </w:rPr>
        <w:t>TechVendor Solutions Inc., a California corporation with its principal place of business at 456 Innovation Drive, Palo Alto, CA 94301 ('Vendor')</w:t>
      </w:r>
    </w:p>
    <w:p>
      <w:pPr>
        <w:pStyle w:val="Heading1"/>
      </w:pPr>
      <w:r>
        <w:t>RECITALS</w:t>
      </w:r>
    </w:p>
    <w:p>
      <w:r>
        <w:rPr>
          <w:b w:val="0"/>
        </w:rPr>
        <w:t>WHEREAS, Vendor is engaged in the business of providing software development, IT consulting, and managed services;</w:t>
      </w:r>
    </w:p>
    <w:p>
      <w:r>
        <w:rPr>
          <w:b w:val="0"/>
        </w:rPr>
        <w:t>WHEREAS, Client desires to engage Vendor to provide certain services as described herein;</w:t>
      </w:r>
    </w:p>
    <w:p>
      <w:r>
        <w:rPr>
          <w:b w:val="0"/>
        </w:rPr>
        <w:t>NOW, THEREFORE, in consideration of the mutual covenants and agreements set forth herein, the parties agree as follows:</w:t>
      </w:r>
    </w:p>
    <w:p>
      <w:pPr>
        <w:pStyle w:val="Heading1"/>
      </w:pPr>
      <w:r>
        <w:t>ARTICLE 1: SERVICES</w:t>
      </w:r>
    </w:p>
    <w:p>
      <w:r>
        <w:rPr>
          <w:b w:val="0"/>
        </w:rPr>
        <w:t>1.1 Scope of Services. Vendor shall provide the services described in each Statement of Work ('SOW') executed by both parties. Each SOW shall be incorporated into and governed by this Agreement.</w:t>
      </w:r>
    </w:p>
    <w:p>
      <w:r>
        <w:rPr>
          <w:b w:val="0"/>
        </w:rPr>
        <w:t>1.2 Service Levels. Vendor shall maintain a minimum system uptime of 99.5% measured monthly. Vendor shall respond to critical issues within 2 hours and resolve them within 8 hours.</w:t>
      </w:r>
    </w:p>
    <w:p>
      <w:r>
        <w:rPr>
          <w:b w:val="0"/>
        </w:rPr>
        <w:t>1.3 Performance Standards. Vendor shall perform all services in a professional and workmanlike manner consistent with industry standards.</w:t>
      </w:r>
    </w:p>
    <w:p>
      <w:pPr>
        <w:pStyle w:val="Heading1"/>
      </w:pPr>
      <w:r>
        <w:t>ARTICLE 2: TERM AND TERMINATION</w:t>
      </w:r>
    </w:p>
    <w:p>
      <w:r>
        <w:rPr>
          <w:b w:val="0"/>
        </w:rPr>
        <w:t>2.1 Term. This Agreement shall commence on the Effective Date and continue for a period of three (3) years, unless earlier terminated in accordance with this Article 2. This Agreement shall automatically renew for successive one (1) year periods unless either party provides written notice of non-renewal at least ninety (90) days prior to the end of the then-current term.</w:t>
      </w:r>
    </w:p>
    <w:p>
      <w:r>
        <w:rPr>
          <w:b w:val="0"/>
        </w:rPr>
        <w:t>2.2 Termination for Convenience. Either party may terminate this Agreement for any reason upon sixty (60) days prior written notice to the other party.</w:t>
      </w:r>
    </w:p>
    <w:p>
      <w:r>
        <w:rPr>
          <w:b w:val="0"/>
        </w:rPr>
        <w:t>2.3 Termination for Cause. Either party may terminate this Agreement immediately upon written notice if the other party: (a) materially breaches this Agreement and fails to cure such breach within thirty (30) days of receiving written notice; or (b) becomes insolvent or files for bankruptcy.</w:t>
      </w:r>
    </w:p>
    <w:p>
      <w:pPr>
        <w:pStyle w:val="Heading1"/>
      </w:pPr>
      <w:r>
        <w:t>ARTICLE 3: PAYMENT TERMS</w:t>
      </w:r>
    </w:p>
    <w:p>
      <w:r>
        <w:rPr>
          <w:b w:val="0"/>
        </w:rPr>
        <w:t>3.1 Fees. Client shall pay Vendor the fees set forth in each SOW. The base monthly fee is $125,000.00 USD.</w:t>
      </w:r>
    </w:p>
    <w:p>
      <w:r>
        <w:rPr>
          <w:b w:val="0"/>
        </w:rPr>
        <w:t>3.2 Payment Terms. All invoices are due and payable within thirty (30) days of receipt. Late payments shall accrue interest at a rate of 1.5% per month.</w:t>
      </w:r>
    </w:p>
    <w:p>
      <w:r>
        <w:rPr>
          <w:b w:val="0"/>
        </w:rPr>
        <w:t>3.3 Expenses. Client shall reimburse Vendor for all pre-approved, reasonable travel and out-of-pocket expenses incurred in connection with the services.</w:t>
      </w:r>
    </w:p>
    <w:p>
      <w:pPr>
        <w:pStyle w:val="Heading1"/>
      </w:pPr>
      <w:r>
        <w:t>ARTICLE 4: CONFIDENTIALITY</w:t>
      </w:r>
    </w:p>
    <w:p>
      <w:r>
        <w:rPr>
          <w:b w:val="0"/>
        </w:rPr>
        <w:t>4.1 Definition. 'Confidential Information' means any non-public information disclosed by either party to the other, whether orally or in writing, that is designated as confidential or that reasonably should be understood to be confidential.</w:t>
      </w:r>
    </w:p>
    <w:p>
      <w:r>
        <w:rPr>
          <w:b w:val="0"/>
        </w:rPr>
        <w:t>4.2 Obligations. Each party agrees to: (a) maintain the confidentiality of the other party's Confidential Information; (b) not disclose such information to third parties without prior written consent; and (c) use such information only for purposes of this Agreement.</w:t>
      </w:r>
    </w:p>
    <w:p>
      <w:r>
        <w:rPr>
          <w:b w:val="0"/>
        </w:rPr>
        <w:t>4.3 Duration. The confidentiality obligations shall survive termination of this Agreement for a period of five (5) years.</w:t>
      </w:r>
    </w:p>
    <w:p>
      <w:pPr>
        <w:pStyle w:val="Heading1"/>
      </w:pPr>
      <w:r>
        <w:t>ARTICLE 5: INTELLECTUAL PROPERTY</w:t>
      </w:r>
    </w:p>
    <w:p>
      <w:r>
        <w:rPr>
          <w:b w:val="0"/>
        </w:rPr>
        <w:t>5.1 Client Materials. Client shall retain all rights to any materials, data, or intellectual property provided to Vendor.</w:t>
      </w:r>
    </w:p>
    <w:p>
      <w:r>
        <w:rPr>
          <w:b w:val="0"/>
        </w:rPr>
        <w:t>5.2 Work Product. All work product created by Vendor specifically for Client under this Agreement shall be owned by Client upon full payment.</w:t>
      </w:r>
    </w:p>
    <w:p>
      <w:r>
        <w:rPr>
          <w:b w:val="0"/>
        </w:rPr>
        <w:t>5.3 Vendor Tools. Vendor retains all rights to its pre-existing tools, methodologies, and know-how.</w:t>
      </w:r>
    </w:p>
    <w:p>
      <w:pPr>
        <w:pStyle w:val="Heading1"/>
      </w:pPr>
      <w:r>
        <w:t>ARTICLE 6: LIABILITY AND INDEMNIFICATION</w:t>
      </w:r>
    </w:p>
    <w:p>
      <w:r>
        <w:rPr>
          <w:b w:val="0"/>
        </w:rPr>
        <w:t>6.1 Limitation of Liability. IN NO EVENT SHALL EITHER PARTY BE LIABLE FOR ANY INDIRECT, INCIDENTAL, SPECIAL, CONSEQUENTIAL, OR PUNITIVE DAMAGES. VENDOR'S TOTAL LIABILITY SHALL NOT EXCEED THE AMOUNTS PAID BY CLIENT IN THE TWELVE (12) MONTHS PRECEDING THE CLAIM.</w:t>
      </w:r>
    </w:p>
    <w:p>
      <w:r>
        <w:rPr>
          <w:b w:val="0"/>
        </w:rPr>
        <w:t>6.2 Indemnification. Vendor shall indemnify, defend, and hold harmless Client from any third-party claims arising from Vendor's negligence, willful misconduct, or breach of this Agreement.</w:t>
      </w:r>
    </w:p>
    <w:p>
      <w:r>
        <w:rPr>
          <w:b w:val="0"/>
        </w:rPr>
        <w:t>6.3 Insurance. Vendor shall maintain commercial general liability insurance with coverage of at least $2,000,000 per occurrence and professional liability insurance of at least $5,000,000.</w:t>
      </w:r>
    </w:p>
    <w:p>
      <w:pPr>
        <w:pStyle w:val="Heading1"/>
      </w:pPr>
      <w:r>
        <w:t>ARTICLE 7: DATA PROTECTION</w:t>
      </w:r>
    </w:p>
    <w:p>
      <w:r>
        <w:rPr>
          <w:b w:val="0"/>
        </w:rPr>
        <w:t>7.1 Compliance. Vendor shall comply with all applicable data protection laws, including GDPR and CCPA.</w:t>
      </w:r>
    </w:p>
    <w:p>
      <w:r>
        <w:rPr>
          <w:b w:val="0"/>
        </w:rPr>
        <w:t>7.2 Security. Vendor shall implement appropriate technical and organizational measures to protect Client data, including encryption at rest and in transit.</w:t>
      </w:r>
    </w:p>
    <w:p>
      <w:r>
        <w:rPr>
          <w:b w:val="0"/>
        </w:rPr>
        <w:t>7.3 Breach Notification. Vendor shall notify Client of any data breach within 24 hours of discovery.</w:t>
      </w:r>
    </w:p>
    <w:p>
      <w:pPr>
        <w:pStyle w:val="Heading1"/>
      </w:pPr>
      <w:r>
        <w:t>ARTICLE 8: GENERAL PROVISIONS</w:t>
      </w:r>
    </w:p>
    <w:p>
      <w:r>
        <w:rPr>
          <w:b w:val="0"/>
        </w:rPr>
        <w:t>8.1 Governing Law. This Agreement shall be governed by the laws of the State of California.</w:t>
      </w:r>
    </w:p>
    <w:p>
      <w:r>
        <w:rPr>
          <w:b w:val="0"/>
        </w:rPr>
        <w:t>8.2 Dispute Resolution. Any disputes shall be resolved through binding arbitration in San Francisco, California.</w:t>
      </w:r>
    </w:p>
    <w:p>
      <w:r>
        <w:rPr>
          <w:b w:val="0"/>
        </w:rPr>
        <w:t>8.3 Entire Agreement. This Agreement constitutes the entire agreement between the parties and supersedes all prior negotiations and agreements.</w:t>
      </w:r>
    </w:p>
    <w:p>
      <w:r>
        <w:rPr>
          <w:b w:val="0"/>
        </w:rPr>
        <w:t>8.4 Amendment. This Agreement may only be amended by a written instrument signed by both parties.</w:t>
      </w:r>
    </w:p>
    <w:p>
      <w:r>
        <w:rPr>
          <w:b w:val="0"/>
        </w:rPr>
        <w:t>8.5 Assignment. Neither party may assign this Agreement without the prior written consent of the other party.</w:t>
      </w:r>
    </w:p>
    <w:p/>
    <w:p/>
    <w:p>
      <w:r>
        <w:rPr>
          <w:b w:val="0"/>
        </w:rPr>
        <w:t>IN WITNESS WHEREOF, the parties have executed this Agreement as of the Effective Date.</w:t>
      </w:r>
    </w:p>
    <w:p/>
    <w:p/>
    <w:tbl>
      <w:tblPr>
        <w:tblW w:type="auto" w:w="0"/>
        <w:tblLook w:firstColumn="1" w:firstRow="1" w:lastColumn="0" w:lastRow="0" w:noHBand="0" w:noVBand="1" w:val="04A0"/>
      </w:tblPr>
      <w:tblGrid>
        <w:gridCol w:w="4320"/>
        <w:gridCol w:w="4320"/>
      </w:tblGrid>
      <w:tr>
        <w:tc>
          <w:tcPr>
            <w:tcW w:type="dxa" w:w="4320"/>
          </w:tcPr>
          <w:p>
            <w:r>
              <w:t>ACME CORPORATION</w:t>
            </w:r>
          </w:p>
        </w:tc>
        <w:tc>
          <w:tcPr>
            <w:tcW w:type="dxa" w:w="4320"/>
          </w:tcPr>
          <w:p>
            <w:r>
              <w:t>TECHVENDOR SOLUTIONS INC.</w:t>
            </w:r>
          </w:p>
        </w:tc>
      </w:tr>
      <w:tr>
        <w:tc>
          <w:tcPr>
            <w:tcW w:type="dxa" w:w="4320"/>
          </w:tcPr>
          <w:p>
            <w:r>
              <w:t>By: _________________________</w:t>
            </w:r>
          </w:p>
        </w:tc>
        <w:tc>
          <w:tcPr>
            <w:tcW w:type="dxa" w:w="4320"/>
          </w:tcPr>
          <w:p>
            <w:r>
              <w:t>By: _________________________</w:t>
            </w:r>
          </w:p>
        </w:tc>
      </w:tr>
      <w:tr>
        <w:tc>
          <w:tcPr>
            <w:tcW w:type="dxa" w:w="4320"/>
          </w:tcPr>
          <w:p>
            <w:r>
              <w:t>Name: John Smith</w:t>
            </w:r>
          </w:p>
        </w:tc>
        <w:tc>
          <w:tcPr>
            <w:tcW w:type="dxa" w:w="4320"/>
          </w:tcPr>
          <w:p>
            <w:r>
              <w:t>Name: Jane Doe</w:t>
            </w:r>
          </w:p>
        </w:tc>
      </w:tr>
      <w:tr>
        <w:tc>
          <w:tcPr>
            <w:tcW w:type="dxa" w:w="4320"/>
          </w:tcPr>
          <w:p>
            <w:r>
              <w:t>Title: Chief Executive Officer</w:t>
            </w:r>
          </w:p>
        </w:tc>
        <w:tc>
          <w:tcPr>
            <w:tcW w:type="dxa" w:w="4320"/>
          </w:tcPr>
          <w:p>
            <w:r>
              <w:t>Title: President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