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LICENSE AND SUPPORT AGREEMENT</w:t>
      </w:r>
    </w:p>
    <w:p/>
    <w:p>
      <w:r>
        <w:rPr>
          <w:b w:val="0"/>
        </w:rPr>
        <w:t>This Software License and Support Agreement ('Agreement') is made effective as of March 1, 2025 ('Effective Date') between:</w:t>
      </w:r>
    </w:p>
    <w:p/>
    <w:p>
      <w:r>
        <w:rPr>
          <w:b w:val="0"/>
        </w:rPr>
        <w:t>CloudSoft Inc., a Delaware corporation ('Licensor')</w:t>
      </w:r>
    </w:p>
    <w:p>
      <w:r>
        <w:rPr>
          <w:b w:val="0"/>
        </w:rPr>
        <w:t>AND</w:t>
      </w:r>
    </w:p>
    <w:p>
      <w:r>
        <w:rPr>
          <w:b w:val="0"/>
        </w:rPr>
        <w:t>Acme Corporation, a Delaware corporation ('Licensee')</w:t>
      </w:r>
    </w:p>
    <w:p>
      <w:pPr>
        <w:pStyle w:val="Heading1"/>
      </w:pPr>
      <w:r>
        <w:t>1. GRANT OF LICENSE</w:t>
      </w:r>
    </w:p>
    <w:p>
      <w:r>
        <w:rPr>
          <w:b w:val="0"/>
        </w:rPr>
        <w:t>1.1 License Grant. Subject to the terms of this Agreement, Licensor grants Licensee a non-exclusive, non-transferable license to use the CloudSoft Enterprise Platform ('Software') for Licensee's internal business operations.</w:t>
      </w:r>
    </w:p>
    <w:p>
      <w:r>
        <w:rPr>
          <w:b w:val="0"/>
        </w:rPr>
        <w:t>1.2 License Scope. The license permits use by up to 500 named users and unlimited API calls per month.</w:t>
      </w:r>
    </w:p>
    <w:p>
      <w:r>
        <w:rPr>
          <w:b w:val="0"/>
        </w:rPr>
        <w:t>1.3 Restrictions. Licensee shall not: (a) sublicense, sell, or transfer the Software; (b) reverse engineer or decompile the Software; (c) remove any proprietary notices; (d) use the Software for any unlawful purpose.</w:t>
      </w:r>
    </w:p>
    <w:p>
      <w:pPr>
        <w:pStyle w:val="Heading1"/>
      </w:pPr>
      <w:r>
        <w:t>2. FEES AND PAYMENT</w:t>
      </w:r>
    </w:p>
    <w:p>
      <w:r>
        <w:rPr>
          <w:b w:val="0"/>
        </w:rPr>
        <w:t>2.1 License Fee. Licensee shall pay an annual license fee of $250,000 USD, payable in advance on each anniversary of the Effective Date.</w:t>
      </w:r>
    </w:p>
    <w:p>
      <w:r>
        <w:rPr>
          <w:b w:val="0"/>
        </w:rPr>
        <w:t>2.2 Support Fee. Annual support and maintenance fee of $50,000 USD is included in the license fee for the first year. Subsequent years will be billed at 20% of the then-current license fee.</w:t>
      </w:r>
    </w:p>
    <w:p>
      <w:r>
        <w:rPr>
          <w:b w:val="0"/>
        </w:rPr>
        <w:t>2.3 Late Payment. Any amounts not paid when due shall bear interest at 1.5% per month or the maximum rate permitted by law, whichever is less.</w:t>
      </w:r>
    </w:p>
    <w:p>
      <w:pPr>
        <w:pStyle w:val="Heading1"/>
      </w:pPr>
      <w:r>
        <w:t>3. SERVICE LEVEL AGREEMENT</w:t>
      </w:r>
    </w:p>
    <w:p>
      <w:r>
        <w:rPr>
          <w:b w:val="0"/>
        </w:rPr>
        <w:t>3.1 Availability. Licensor guarantees 99.9% uptime availability for the hosted Software, measured monthly, excluding scheduled maintenance windows.</w:t>
      </w:r>
    </w:p>
    <w:p>
      <w:r>
        <w:rPr>
          <w:b w:val="0"/>
        </w:rPr>
        <w:t>3.2 Response Times. Licensor shall respond to support requests as follows:</w:t>
      </w:r>
    </w:p>
    <w:p>
      <w:r>
        <w:rPr>
          <w:b w:val="0"/>
        </w:rPr>
        <w:t xml:space="preserve">   - Critical (System Down): Response within 1 hour, Resolution within 4 hours</w:t>
      </w:r>
    </w:p>
    <w:p>
      <w:r>
        <w:rPr>
          <w:b w:val="0"/>
        </w:rPr>
        <w:t xml:space="preserve">   - High (Major Feature Impaired): Response within 4 hours, Resolution within 8 hours</w:t>
      </w:r>
    </w:p>
    <w:p>
      <w:r>
        <w:rPr>
          <w:b w:val="0"/>
        </w:rPr>
        <w:t xml:space="preserve">   - Medium (Minor Feature Impaired): Response within 8 hours, Resolution within 24 hours</w:t>
      </w:r>
    </w:p>
    <w:p>
      <w:r>
        <w:rPr>
          <w:b w:val="0"/>
        </w:rPr>
        <w:t xml:space="preserve">   - Low (General Questions): Response within 24 hours, Resolution within 72 hours</w:t>
      </w:r>
    </w:p>
    <w:p>
      <w:r>
        <w:rPr>
          <w:b w:val="0"/>
        </w:rPr>
        <w:t>3.3 Service Credits. If Licensor fails to meet the availability guarantee, Licensee shall receive service credits as follows:</w:t>
      </w:r>
    </w:p>
    <w:p>
      <w:r>
        <w:rPr>
          <w:b w:val="0"/>
        </w:rPr>
        <w:t xml:space="preserve">   - 99.0% - 99.9%: 10% credit of monthly fee</w:t>
      </w:r>
    </w:p>
    <w:p>
      <w:r>
        <w:rPr>
          <w:b w:val="0"/>
        </w:rPr>
        <w:t xml:space="preserve">   - 95.0% - 99.0%: 25% credit of monthly fee</w:t>
      </w:r>
    </w:p>
    <w:p>
      <w:r>
        <w:rPr>
          <w:b w:val="0"/>
        </w:rPr>
        <w:t xml:space="preserve">   - Below 95.0%: 50% credit of monthly fee</w:t>
      </w:r>
    </w:p>
    <w:p>
      <w:r>
        <w:rPr>
          <w:b w:val="0"/>
        </w:rPr>
        <w:t>3.4 Credit Cap. Total service credits shall not exceed 50% of monthly fees in any given month.</w:t>
      </w:r>
    </w:p>
    <w:p>
      <w:pPr>
        <w:pStyle w:val="Heading1"/>
      </w:pPr>
      <w:r>
        <w:t>4. SUPPORT SERVICES</w:t>
      </w:r>
    </w:p>
    <w:p>
      <w:r>
        <w:rPr>
          <w:b w:val="0"/>
        </w:rPr>
        <w:t>4.1 Scope. Support services include: (a) telephone and email technical support during business hours (8am-8pm EST, Monday-Friday); (b) access to online knowledge base and documentation; (c) bug fixes and security patches; (d) minor version updates.</w:t>
      </w:r>
    </w:p>
    <w:p>
      <w:r>
        <w:rPr>
          <w:b w:val="0"/>
        </w:rPr>
        <w:t>4.2 Exclusions. Support does not include: (a) customization services; (b) training; (c) issues caused by Licensee modifications; (d) third-party software integration issues.</w:t>
      </w:r>
    </w:p>
    <w:p>
      <w:pPr>
        <w:pStyle w:val="Heading1"/>
      </w:pPr>
      <w:r>
        <w:t>5. DATA SECURITY</w:t>
      </w:r>
    </w:p>
    <w:p>
      <w:r>
        <w:rPr>
          <w:b w:val="0"/>
        </w:rPr>
        <w:t>5.1 Security Measures. Licensor shall implement and maintain appropriate security measures including: AES-256 encryption at rest, TLS 1.3 encryption in transit, multi-factor authentication, and annual SOC 2 Type II audits.</w:t>
      </w:r>
    </w:p>
    <w:p>
      <w:r>
        <w:rPr>
          <w:b w:val="0"/>
        </w:rPr>
        <w:t>5.2 Data Backup. Licensor shall perform daily backups with 30-day retention and maintain disaster recovery capabilities with RPO of 4 hours and RTO of 8 hours.</w:t>
      </w:r>
    </w:p>
    <w:p>
      <w:r>
        <w:rPr>
          <w:b w:val="0"/>
        </w:rPr>
        <w:t>5.3 Breach Notification. Licensor shall notify Licensee of any security breach affecting Licensee data within 48 hours of discovery.</w:t>
      </w:r>
    </w:p>
    <w:p>
      <w:pPr>
        <w:pStyle w:val="Heading1"/>
      </w:pPr>
      <w:r>
        <w:t>6. TERM AND TERMINATION</w:t>
      </w:r>
    </w:p>
    <w:p>
      <w:r>
        <w:rPr>
          <w:b w:val="0"/>
        </w:rPr>
        <w:t>6.1 Term. This Agreement shall commence on the Effective Date and continue for an initial term of three (3) years. The Agreement shall automatically renew for successive one (1) year terms unless either party provides written notice of non-renewal at least sixty (60) days prior to the end of the then-current term.</w:t>
      </w:r>
    </w:p>
    <w:p>
      <w:r>
        <w:rPr>
          <w:b w:val="0"/>
        </w:rPr>
        <w:t>6.2 Termination for Breach. Either party may terminate this Agreement upon thirty (30) days written notice if the other party materially breaches this Agreement and fails to cure such breach within the notice period.</w:t>
      </w:r>
    </w:p>
    <w:p>
      <w:r>
        <w:rPr>
          <w:b w:val="0"/>
        </w:rPr>
        <w:t>6.3 Effect of Termination. Upon termination: (a) all licenses granted herein shall immediately terminate; (b) Licensee shall cease use of the Software; (c) Licensor shall provide Licensee's data in a standard format within 30 days.</w:t>
      </w:r>
    </w:p>
    <w:p>
      <w:pPr>
        <w:pStyle w:val="Heading1"/>
      </w:pPr>
      <w:r>
        <w:t>7. LIMITATION OF LIABILITY</w:t>
      </w:r>
    </w:p>
    <w:p>
      <w:r>
        <w:rPr>
          <w:b w:val="0"/>
        </w:rPr>
        <w:t>7.1 EXCLUSION OF DAMAGES. IN NO EVENT SHALL EITHER PARTY BE LIABLE FOR ANY INDIRECT, INCIDENTAL, SPECIAL, CONSEQUENTIAL, OR PUNITIVE DAMAGES, INCLUDING LOST PROFITS OR LOST DATA.</w:t>
      </w:r>
    </w:p>
    <w:p>
      <w:r>
        <w:rPr>
          <w:b w:val="0"/>
        </w:rPr>
        <w:t>7.2 CAP ON LIABILITY. EACH PARTY'S TOTAL CUMULATIVE LIABILITY SHALL NOT EXCEED THE FEES PAID OR PAYABLE BY LICENSEE IN THE TWELVE (12) MONTHS PRECEDING THE CLAIM.</w:t>
      </w:r>
    </w:p>
    <w:p>
      <w:r>
        <w:rPr>
          <w:b w:val="0"/>
        </w:rPr>
        <w:t>7.3 EXCEPTIONS. The limitations in this Section 7 shall not apply to: (a) breaches of confidentiality; (b) infringement of intellectual property rights; (c) gross negligence or willful misconduct.</w:t>
      </w:r>
    </w:p>
    <w:p>
      <w:pPr>
        <w:pStyle w:val="Heading1"/>
      </w:pPr>
      <w:r>
        <w:t>8. GENERAL PROVISIONS</w:t>
      </w:r>
    </w:p>
    <w:p>
      <w:r>
        <w:rPr>
          <w:b w:val="0"/>
        </w:rPr>
        <w:t>8.1 Governing Law. This Agreement shall be governed by the laws of the State of Delaware.</w:t>
      </w:r>
    </w:p>
    <w:p>
      <w:r>
        <w:rPr>
          <w:b w:val="0"/>
        </w:rPr>
        <w:t>8.2 Dispute Resolution. Any disputes shall first be subject to good faith negotiation. If unresolved after 30 days, disputes shall be submitted to binding arbitration under AAA Commercial Rules.</w:t>
      </w:r>
    </w:p>
    <w:p>
      <w:r>
        <w:rPr>
          <w:b w:val="0"/>
        </w:rPr>
        <w:t>8.3 Force Majeure. Neither party shall be liable for delays caused by events beyond its reasonable control.</w:t>
      </w:r>
    </w:p>
    <w:p>
      <w:r>
        <w:rPr>
          <w:b w:val="0"/>
        </w:rPr>
        <w:t>8.4 Entire Agreement. This Agreement constitutes the entire agreement between the parties.</w:t>
      </w:r>
    </w:p>
    <w:p/>
    <w:p>
      <w:r>
        <w:rPr>
          <w:b w:val="0"/>
        </w:rPr>
        <w:t>IN WITNESS WHEREOF, the parties have executed this Agreement as of the Effective Date.</w:t>
      </w:r>
    </w:p>
    <w:p/>
    <w:tbl>
      <w:tblPr>
        <w:tblW w:type="auto" w:w="0"/>
        <w:tblLook w:firstColumn="1" w:firstRow="1" w:lastColumn="0" w:lastRow="0" w:noHBand="0" w:noVBand="1" w:val="04A0"/>
      </w:tblPr>
      <w:tblGrid>
        <w:gridCol w:w="4320"/>
        <w:gridCol w:w="4320"/>
      </w:tblGrid>
      <w:tr>
        <w:tc>
          <w:tcPr>
            <w:tcW w:type="dxa" w:w="4320"/>
          </w:tcPr>
          <w:p>
            <w:r>
              <w:t>CLOUDSOFT INC.</w:t>
            </w:r>
          </w:p>
        </w:tc>
        <w:tc>
          <w:tcPr>
            <w:tcW w:type="dxa" w:w="4320"/>
          </w:tcPr>
          <w:p>
            <w:r>
              <w:t>ACME CORPORATION</w:t>
            </w:r>
          </w:p>
        </w:tc>
      </w:tr>
      <w:tr>
        <w:tc>
          <w:tcPr>
            <w:tcW w:type="dxa" w:w="4320"/>
          </w:tcPr>
          <w:p>
            <w:r>
              <w:t>By: _________________________</w:t>
            </w:r>
          </w:p>
        </w:tc>
        <w:tc>
          <w:tcPr>
            <w:tcW w:type="dxa" w:w="4320"/>
          </w:tcPr>
          <w:p>
            <w:r>
              <w:t>By: _________________________</w:t>
            </w:r>
          </w:p>
        </w:tc>
      </w:tr>
      <w:tr>
        <w:tc>
          <w:tcPr>
            <w:tcW w:type="dxa" w:w="4320"/>
          </w:tcPr>
          <w:p>
            <w:r>
              <w:t>Name: Sarah Johnson</w:t>
            </w:r>
          </w:p>
        </w:tc>
        <w:tc>
          <w:tcPr>
            <w:tcW w:type="dxa" w:w="4320"/>
          </w:tcPr>
          <w:p>
            <w:r>
              <w:t>Name: John Smith</w:t>
            </w:r>
          </w:p>
        </w:tc>
      </w:tr>
      <w:tr>
        <w:tc>
          <w:tcPr>
            <w:tcW w:type="dxa" w:w="4320"/>
          </w:tcPr>
          <w:p>
            <w:r>
              <w:t>Title: VP of Sales</w:t>
            </w:r>
          </w:p>
        </w:tc>
        <w:tc>
          <w:tcPr>
            <w:tcW w:type="dxa" w:w="4320"/>
          </w:tcPr>
          <w:p>
            <w:r>
              <w:t>Title: CTO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