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CONSULTING SERVICES AGREEMENT</w:t>
      </w:r>
    </w:p>
    <w:p/>
    <w:p>
      <w:r>
        <w:rPr>
          <w:b w:val="0"/>
        </w:rPr>
        <w:t>This Consulting Services Agreement ('Agreement') is entered into as of January 20, 2025 ('Effective Date') by and between:</w:t>
      </w:r>
    </w:p>
    <w:p/>
    <w:p>
      <w:r>
        <w:rPr>
          <w:b w:val="0"/>
        </w:rPr>
        <w:t>TechStart Inc., a California corporation ('Client')</w:t>
      </w:r>
    </w:p>
    <w:p>
      <w:r>
        <w:rPr>
          <w:b w:val="0"/>
        </w:rPr>
        <w:t>AND</w:t>
      </w:r>
    </w:p>
    <w:p>
      <w:r>
        <w:rPr>
          <w:b w:val="0"/>
        </w:rPr>
        <w:t>Strategic Advisors LLC, a Delaware limited liability company ('Consultant')</w:t>
      </w:r>
    </w:p>
    <w:p>
      <w:pPr>
        <w:pStyle w:val="Heading1"/>
      </w:pPr>
      <w:r>
        <w:t>1. CONSULTING SERVICES</w:t>
      </w:r>
    </w:p>
    <w:p>
      <w:r>
        <w:rPr>
          <w:b w:val="0"/>
        </w:rPr>
        <w:t>1.1 Scope. Consultant shall provide strategic consulting services including: (a) market analysis and competitive intelligence; (b) go-to-market strategy development; (c) product positioning and messaging; (d) investor presentation preparation.</w:t>
      </w:r>
    </w:p>
    <w:p>
      <w:r>
        <w:rPr>
          <w:b w:val="0"/>
        </w:rPr>
        <w:t>1.2 Deliverables. Consultant shall deliver: (a) Market Analysis Report within 30 days; (b) Strategic Plan within 60 days; (c) Investor Deck within 45 days.</w:t>
      </w:r>
    </w:p>
    <w:p>
      <w:r>
        <w:rPr>
          <w:b w:val="0"/>
        </w:rPr>
        <w:t>1.3 Time Commitment. Consultant shall dedicate approximately 40 hours per month to this engagement.</w:t>
      </w:r>
    </w:p>
    <w:p>
      <w:pPr>
        <w:pStyle w:val="Heading1"/>
      </w:pPr>
      <w:r>
        <w:t>2. COMPENSATION</w:t>
      </w:r>
    </w:p>
    <w:p>
      <w:r>
        <w:rPr>
          <w:b w:val="0"/>
        </w:rPr>
        <w:t>2.1 Fees. Client shall pay Consultant a monthly retainer of $15,000 USD, plus a success fee of 1% of any funding raised during the term.</w:t>
      </w:r>
    </w:p>
    <w:p>
      <w:r>
        <w:rPr>
          <w:b w:val="0"/>
        </w:rPr>
        <w:t>2.2 Expenses. Client shall reimburse Consultant for pre-approved travel and out-of-pocket expenses.</w:t>
      </w:r>
    </w:p>
    <w:p>
      <w:r>
        <w:rPr>
          <w:b w:val="0"/>
        </w:rPr>
        <w:t>2.3 Invoicing. Consultant shall invoice monthly, with payment due within 15 days of invoice date.</w:t>
      </w:r>
    </w:p>
    <w:p>
      <w:pPr>
        <w:pStyle w:val="Heading1"/>
      </w:pPr>
      <w:r>
        <w:t>3. TERM AND TERMINATION</w:t>
      </w:r>
    </w:p>
    <w:p>
      <w:r>
        <w:rPr>
          <w:b w:val="0"/>
        </w:rPr>
        <w:t>3.1 Term. This Agreement shall be effective for six (6) months from the Effective Date.</w:t>
      </w:r>
    </w:p>
    <w:p>
      <w:r>
        <w:rPr>
          <w:b w:val="0"/>
        </w:rPr>
        <w:t>3.2 Termination. Either party may terminate with 14 days written notice. Upon termination, Client shall pay for all services rendered through the termination date.</w:t>
      </w:r>
    </w:p>
    <w:p>
      <w:pPr>
        <w:pStyle w:val="Heading1"/>
      </w:pPr>
      <w:r>
        <w:t>4. CONFIDENTIALITY</w:t>
      </w:r>
    </w:p>
    <w:p>
      <w:r>
        <w:rPr>
          <w:b w:val="0"/>
        </w:rPr>
        <w:t>4.1 Obligations. Consultant shall maintain strict confidentiality of all Client information and shall not disclose to any third party without prior written consent.</w:t>
      </w:r>
    </w:p>
    <w:p>
      <w:r>
        <w:rPr>
          <w:b w:val="0"/>
        </w:rPr>
        <w:t>4.2 Non-Compete. During the term and for 12 months thereafter, Consultant shall not provide similar services to direct competitors of Client.</w:t>
      </w:r>
    </w:p>
    <w:p>
      <w:pPr>
        <w:pStyle w:val="Heading1"/>
      </w:pPr>
      <w:r>
        <w:t>5. INTELLECTUAL PROPERTY</w:t>
      </w:r>
    </w:p>
    <w:p>
      <w:r>
        <w:rPr>
          <w:b w:val="0"/>
        </w:rPr>
        <w:t>All deliverables and work product created under this Agreement shall be the exclusive property of Client upon payment.</w:t>
      </w:r>
    </w:p>
    <w:p>
      <w:pPr>
        <w:pStyle w:val="Heading1"/>
      </w:pPr>
      <w:r>
        <w:t>6. LIABILITY</w:t>
      </w:r>
    </w:p>
    <w:p>
      <w:r>
        <w:rPr>
          <w:b w:val="0"/>
        </w:rPr>
        <w:t>Consultant's total liability shall not exceed the fees paid under this Agreement. Neither party shall be liable for indirect or consequential damages.</w:t>
      </w:r>
    </w:p>
    <w:p>
      <w:pPr>
        <w:pStyle w:val="Heading1"/>
      </w:pPr>
      <w:r>
        <w:t>7. GENERAL</w:t>
      </w:r>
    </w:p>
    <w:p>
      <w:r>
        <w:rPr>
          <w:b w:val="0"/>
        </w:rPr>
        <w:t>7.1 Independent Contractor. Consultant is an independent contractor, not an employee of Client.</w:t>
      </w:r>
    </w:p>
    <w:p>
      <w:r>
        <w:rPr>
          <w:b w:val="0"/>
        </w:rPr>
        <w:t>7.2 Governing Law. This Agreement shall be governed by California law.</w:t>
      </w:r>
    </w:p>
    <w:p/>
    <w:p>
      <w:r>
        <w:rPr>
          <w:b w:val="0"/>
        </w:rPr>
        <w:t>IN WITNESS WHEREOF, the parties have executed this Agreement.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TECHSTART INC.</w:t>
            </w:r>
          </w:p>
        </w:tc>
        <w:tc>
          <w:tcPr>
            <w:tcW w:type="dxa" w:w="4320"/>
          </w:tcPr>
          <w:p>
            <w:r>
              <w:t>STRATEGIC ADVISORS LLC</w:t>
            </w:r>
          </w:p>
        </w:tc>
      </w:tr>
      <w:tr>
        <w:tc>
          <w:tcPr>
            <w:tcW w:type="dxa" w:w="4320"/>
          </w:tcPr>
          <w:p>
            <w:r>
              <w:t>By: _________________________</w:t>
            </w:r>
          </w:p>
        </w:tc>
        <w:tc>
          <w:tcPr>
            <w:tcW w:type="dxa" w:w="4320"/>
          </w:tcPr>
          <w:p>
            <w:r>
              <w:t>By: _________________________</w:t>
            </w:r>
          </w:p>
        </w:tc>
      </w:tr>
      <w:tr>
        <w:tc>
          <w:tcPr>
            <w:tcW w:type="dxa" w:w="4320"/>
          </w:tcPr>
          <w:p>
            <w:r>
              <w:t>Name: Michael Chen</w:t>
            </w:r>
          </w:p>
        </w:tc>
        <w:tc>
          <w:tcPr>
            <w:tcW w:type="dxa" w:w="4320"/>
          </w:tcPr>
          <w:p>
            <w:r>
              <w:t>Name: David Wilson</w:t>
            </w:r>
          </w:p>
        </w:tc>
      </w:tr>
      <w:tr>
        <w:tc>
          <w:tcPr>
            <w:tcW w:type="dxa" w:w="4320"/>
          </w:tcPr>
          <w:p>
            <w:r>
              <w:t>Title: CEO</w:t>
            </w:r>
          </w:p>
        </w:tc>
        <w:tc>
          <w:tcPr>
            <w:tcW w:type="dxa" w:w="4320"/>
          </w:tcPr>
          <w:p>
            <w:r>
              <w:t>Title: Managing Partner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