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pPr>
      <w:r>
        <w:rPr/>
      </w:r>
    </w:p>
    <w:p>
      <w:pPr>
        <w:pStyle w:val="Title"/>
        <w:rPr/>
      </w:pPr>
      <w:r>
        <w:rPr/>
      </w:r>
    </w:p>
    <w:p>
      <w:pPr>
        <w:pStyle w:val="Title"/>
        <w:rPr>
          <w:highlight w:val="yellow"/>
        </w:rPr>
      </w:pPr>
      <w:r>
        <w:rPr/>
        <w:t>Attachment 13-A</w:t>
      </w:r>
    </w:p>
    <w:p>
      <w:pPr>
        <w:pStyle w:val="Title"/>
        <w:rPr>
          <w:highlight w:val="yellow"/>
        </w:rPr>
      </w:pPr>
      <w:r>
        <w:rPr>
          <w:highlight w:val="yellow"/>
        </w:rPr>
      </w:r>
    </w:p>
    <w:p>
      <w:pPr>
        <w:pStyle w:val="Title"/>
        <w:rPr>
          <w:highlight w:val="yellow"/>
        </w:rPr>
      </w:pPr>
      <w:r>
        <w:rPr/>
        <w:t>Description of REports</w:t>
      </w:r>
    </w:p>
    <w:p>
      <w:pPr>
        <w:pStyle w:val="Heading"/>
        <w:spacing w:before="120" w:after="0"/>
        <w:rPr>
          <w:bCs/>
          <w:caps w:val="false"/>
          <w:smallCaps w:val="false"/>
          <w:sz w:val="32"/>
        </w:rPr>
      </w:pPr>
      <w:r>
        <w:rPr>
          <w:bCs/>
          <w:caps w:val="false"/>
          <w:smallCaps w:val="false"/>
          <w:sz w:val="32"/>
        </w:rPr>
        <w:t>Attachment to Exhibit 13 (Reports)</w:t>
      </w:r>
    </w:p>
    <w:p>
      <w:pPr>
        <w:pStyle w:val="Title"/>
        <w:rPr>
          <w:bCs w:val="false"/>
          <w:caps w:val="false"/>
          <w:smallCaps w:val="false"/>
          <w:sz w:val="32"/>
        </w:rPr>
      </w:pPr>
      <w:r>
        <w:rPr>
          <w:bCs w:val="false"/>
          <w:caps w:val="false"/>
          <w:smallCaps w:val="false"/>
          <w:sz w:val="32"/>
        </w:rPr>
      </w:r>
    </w:p>
    <w:p>
      <w:pPr>
        <w:pStyle w:val="Title"/>
        <w:rPr/>
      </w:pPr>
      <w:r>
        <w:rPr/>
      </w:r>
    </w:p>
    <w:p>
      <w:pPr>
        <w:pStyle w:val="Title"/>
        <w:rPr/>
      </w:pPr>
      <w:r>
        <w:rPr/>
      </w:r>
    </w:p>
    <w:p>
      <w:pPr>
        <w:sectPr>
          <w:headerReference w:type="default" r:id="rId2"/>
          <w:footerReference w:type="default" r:id="rId3"/>
          <w:type w:val="nextPage"/>
          <w:pgSz w:orient="landscape" w:w="16838" w:h="11906"/>
          <w:pgMar w:left="720" w:right="994" w:gutter="0" w:header="720" w:top="1440" w:footer="720" w:bottom="1440"/>
          <w:pgNumType w:fmt="decimal"/>
          <w:formProt w:val="false"/>
          <w:textDirection w:val="lrTb"/>
          <w:docGrid w:type="default" w:linePitch="360" w:charSpace="0"/>
        </w:sectPr>
        <w:pStyle w:val="Title"/>
        <w:rPr/>
      </w:pPr>
      <w:r>
        <w:rPr/>
      </w:r>
    </w:p>
    <w:p>
      <w:pPr>
        <w:pStyle w:val="Title"/>
        <w:rPr/>
      </w:pPr>
      <w:r>
        <w:rPr/>
        <w:t>Table of Contents</w:t>
      </w:r>
    </w:p>
    <w:sdt>
      <w:sdtPr>
        <w:docPartObj>
          <w:docPartGallery w:val="Table of Contents"/>
          <w:docPartUnique w:val="true"/>
        </w:docPartObj>
      </w:sdtPr>
      <w:sdtContent>
        <w:p>
          <w:pPr>
            <w:pStyle w:val="TOC1"/>
            <w:tabs>
              <w:tab w:val="clear" w:pos="720"/>
              <w:tab w:val="right" w:pos="15112" w:leader="dot"/>
            </w:tabs>
            <w:rPr>
              <w:b w:val="false"/>
              <w:sz w:val="18"/>
              <w:szCs w:val="18"/>
              <w:lang w:val="en-US" w:eastAsia="en-US"/>
            </w:rPr>
          </w:pPr>
          <w:r>
            <w:fldChar w:fldCharType="begin"/>
          </w:r>
          <w:r>
            <w:rPr>
              <w:sz w:val="18"/>
              <w:b w:val="false"/>
              <w:szCs w:val="18"/>
              <w:lang w:val="en-US" w:eastAsia="en-US"/>
            </w:rPr>
            <w:instrText xml:space="preserve"> TOC \o "1-3" \h \z \t "Heading 1 Numbered;1;Heading 2 Numbered;2" </w:instrText>
          </w:r>
          <w:r>
            <w:rPr>
              <w:sz w:val="18"/>
              <w:b w:val="false"/>
              <w:szCs w:val="18"/>
              <w:lang w:val="en-US" w:eastAsia="en-US"/>
            </w:rPr>
            <w:fldChar w:fldCharType="separate"/>
          </w:r>
          <w:r>
            <w:rPr>
              <w:b w:val="false"/>
              <w:sz w:val="18"/>
              <w:szCs w:val="18"/>
              <w:lang w:val="en-US" w:eastAsia="en-US"/>
            </w:rPr>
          </w:r>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1.0</w:t>
          </w:r>
          <w:r>
            <w:rPr>
              <w:b w:val="false"/>
              <w:sz w:val="18"/>
              <w:szCs w:val="18"/>
              <w:lang w:val="en-US" w:eastAsia="en-US"/>
            </w:rPr>
            <w:tab/>
          </w:r>
          <w:r>
            <w:rPr>
              <w:color w:val="000000"/>
              <w:sz w:val="18"/>
              <w:szCs w:val="18"/>
              <w:u w:val="none"/>
              <w:lang w:val="en-US" w:eastAsia="en-US"/>
            </w:rPr>
            <w:t>Introduction</w:t>
          </w:r>
          <w:r>
            <w:rPr>
              <w:sz w:val="18"/>
              <w:szCs w:val="18"/>
              <w:lang w:val="en-US" w:eastAsia="en-US"/>
            </w:rPr>
            <w:tab/>
          </w:r>
          <w:hyperlink w:anchor="__RefHeading___Toc106693852">
            <w:r>
              <w:rPr>
                <w:rStyle w:val="IndexLink"/>
                <w:sz w:val="18"/>
                <w:szCs w:val="18"/>
                <w:lang w:val="en-US" w:eastAsia="en-US"/>
              </w:rPr>
              <w:t>1</w:t>
            </w:r>
          </w:hyperlink>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2.0</w:t>
          </w:r>
          <w:r>
            <w:rPr>
              <w:b w:val="false"/>
              <w:sz w:val="18"/>
              <w:szCs w:val="18"/>
              <w:lang w:val="en-US" w:eastAsia="en-US"/>
            </w:rPr>
            <w:tab/>
          </w:r>
          <w:r>
            <w:rPr>
              <w:color w:val="000000"/>
              <w:sz w:val="18"/>
              <w:szCs w:val="18"/>
              <w:u w:val="none"/>
              <w:lang w:val="en-US" w:eastAsia="en-US"/>
            </w:rPr>
            <w:t>2IM  Services Bundle Reports</w:t>
          </w:r>
          <w:r>
            <w:rPr>
              <w:sz w:val="18"/>
              <w:szCs w:val="18"/>
              <w:lang w:val="en-US" w:eastAsia="en-US"/>
            </w:rPr>
            <w:tab/>
          </w:r>
          <w:hyperlink w:anchor="__RefHeading___Toc106693853">
            <w:r>
              <w:rPr>
                <w:rStyle w:val="IndexLink"/>
                <w:sz w:val="18"/>
                <w:szCs w:val="18"/>
                <w:lang w:val="en-US" w:eastAsia="en-US"/>
              </w:rPr>
              <w:t>2</w:t>
            </w:r>
          </w:hyperlink>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3.0</w:t>
          </w:r>
          <w:r>
            <w:rPr>
              <w:b w:val="false"/>
              <w:sz w:val="18"/>
              <w:szCs w:val="18"/>
              <w:lang w:val="en-US" w:eastAsia="en-US"/>
            </w:rPr>
            <w:tab/>
          </w:r>
          <w:r>
            <w:rPr>
              <w:color w:val="000000"/>
              <w:sz w:val="18"/>
              <w:szCs w:val="18"/>
              <w:u w:val="none"/>
              <w:lang w:val="en-US" w:eastAsia="en-US"/>
            </w:rPr>
            <w:t>Server Management Services Bundle Reports</w:t>
          </w:r>
          <w:r>
            <w:rPr>
              <w:sz w:val="18"/>
              <w:szCs w:val="18"/>
              <w:lang w:val="en-US" w:eastAsia="en-US"/>
            </w:rPr>
            <w:tab/>
          </w:r>
          <w:hyperlink w:anchor="__RefHeading___Toc106693854">
            <w:r>
              <w:rPr>
                <w:rStyle w:val="IndexLink"/>
                <w:sz w:val="18"/>
                <w:szCs w:val="18"/>
                <w:lang w:val="en-US" w:eastAsia="en-US"/>
              </w:rPr>
              <w:t>5</w:t>
            </w:r>
          </w:hyperlink>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4.0</w:t>
          </w:r>
          <w:r>
            <w:rPr>
              <w:b w:val="false"/>
              <w:sz w:val="18"/>
              <w:szCs w:val="18"/>
              <w:lang w:val="en-US" w:eastAsia="en-US"/>
            </w:rPr>
            <w:tab/>
          </w:r>
          <w:r>
            <w:rPr>
              <w:color w:val="000000"/>
              <w:sz w:val="18"/>
              <w:szCs w:val="18"/>
              <w:u w:val="none"/>
              <w:lang w:val="en-US" w:eastAsia="en-US"/>
            </w:rPr>
            <w:t>Managed Network  Services (VOICE) Bundle Reports</w:t>
          </w:r>
          <w:r>
            <w:rPr>
              <w:sz w:val="18"/>
              <w:szCs w:val="18"/>
              <w:lang w:val="en-US" w:eastAsia="en-US"/>
            </w:rPr>
            <w:tab/>
          </w:r>
          <w:hyperlink w:anchor="__RefHeading___Toc106693856">
            <w:r>
              <w:rPr>
                <w:rStyle w:val="IndexLink"/>
                <w:sz w:val="18"/>
                <w:szCs w:val="18"/>
                <w:lang w:val="en-US" w:eastAsia="en-US"/>
              </w:rPr>
              <w:t>6</w:t>
            </w:r>
          </w:hyperlink>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5.0</w:t>
          </w:r>
          <w:r>
            <w:rPr>
              <w:b w:val="false"/>
              <w:sz w:val="18"/>
              <w:szCs w:val="18"/>
              <w:lang w:val="en-US" w:eastAsia="en-US"/>
            </w:rPr>
            <w:tab/>
          </w:r>
          <w:r>
            <w:rPr>
              <w:color w:val="000000"/>
              <w:sz w:val="18"/>
              <w:szCs w:val="18"/>
              <w:u w:val="none"/>
              <w:lang w:val="en-US" w:eastAsia="en-US"/>
            </w:rPr>
            <w:t>Managed Network  Services (LAN) Bundle Reports</w:t>
          </w:r>
          <w:r>
            <w:rPr>
              <w:sz w:val="18"/>
              <w:szCs w:val="18"/>
              <w:lang w:val="en-US" w:eastAsia="en-US"/>
            </w:rPr>
            <w:tab/>
          </w:r>
          <w:hyperlink w:anchor="__RefHeading___Toc106693857">
            <w:r>
              <w:rPr>
                <w:rStyle w:val="IndexLink"/>
                <w:sz w:val="18"/>
                <w:szCs w:val="18"/>
                <w:lang w:val="en-US" w:eastAsia="en-US"/>
              </w:rPr>
              <w:t>11</w:t>
            </w:r>
          </w:hyperlink>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6.0</w:t>
          </w:r>
          <w:r>
            <w:rPr>
              <w:b w:val="false"/>
              <w:sz w:val="18"/>
              <w:szCs w:val="18"/>
              <w:lang w:val="en-US" w:eastAsia="en-US"/>
            </w:rPr>
            <w:tab/>
          </w:r>
          <w:r>
            <w:rPr>
              <w:color w:val="000000"/>
              <w:sz w:val="18"/>
              <w:szCs w:val="18"/>
              <w:u w:val="none"/>
              <w:lang w:val="en-US" w:eastAsia="en-US"/>
            </w:rPr>
            <w:t>End User Computing (EUC) Services Bundle Reports</w:t>
          </w:r>
          <w:r>
            <w:rPr>
              <w:sz w:val="18"/>
              <w:szCs w:val="18"/>
              <w:lang w:val="en-US" w:eastAsia="en-US"/>
            </w:rPr>
            <w:tab/>
          </w:r>
          <w:hyperlink w:anchor="__RefHeading___Toc106693858">
            <w:r>
              <w:rPr>
                <w:rStyle w:val="IndexLink"/>
                <w:sz w:val="18"/>
                <w:szCs w:val="18"/>
                <w:lang w:val="en-US" w:eastAsia="en-US"/>
              </w:rPr>
              <w:t>14</w:t>
            </w:r>
          </w:hyperlink>
        </w:p>
        <w:p>
          <w:pPr>
            <w:pStyle w:val="TOC1"/>
            <w:tabs>
              <w:tab w:val="left" w:pos="720" w:leader="none"/>
              <w:tab w:val="right" w:pos="15112" w:leader="dot"/>
            </w:tabs>
            <w:rPr>
              <w:b w:val="false"/>
              <w:sz w:val="18"/>
              <w:szCs w:val="18"/>
              <w:lang w:val="en-US" w:eastAsia="en-US"/>
            </w:rPr>
          </w:pPr>
          <w:r>
            <w:rPr>
              <w:color w:val="000000"/>
              <w:sz w:val="18"/>
              <w:szCs w:val="18"/>
              <w:u w:val="none"/>
              <w:lang w:val="en-US" w:eastAsia="en-US"/>
            </w:rPr>
            <w:t>7.0</w:t>
          </w:r>
          <w:r>
            <w:rPr>
              <w:b w:val="false"/>
              <w:sz w:val="18"/>
              <w:szCs w:val="18"/>
              <w:lang w:val="en-US" w:eastAsia="en-US"/>
            </w:rPr>
            <w:tab/>
          </w:r>
          <w:r>
            <w:rPr>
              <w:color w:val="000000"/>
              <w:sz w:val="18"/>
              <w:szCs w:val="18"/>
              <w:u w:val="none"/>
              <w:lang w:val="en-US" w:eastAsia="en-US"/>
            </w:rPr>
            <w:t>Servicedesk Reports</w:t>
          </w:r>
          <w:r>
            <w:rPr>
              <w:sz w:val="18"/>
              <w:szCs w:val="18"/>
              <w:lang w:val="en-US" w:eastAsia="en-US"/>
            </w:rPr>
            <w:tab/>
          </w:r>
          <w:hyperlink w:anchor="__RefHeading___Toc106693859">
            <w:r>
              <w:rPr>
                <w:rStyle w:val="IndexLink"/>
                <w:sz w:val="18"/>
                <w:szCs w:val="18"/>
                <w:lang w:val="en-US" w:eastAsia="en-US"/>
              </w:rPr>
              <w:t>23</w:t>
            </w:r>
          </w:hyperlink>
        </w:p>
        <w:p>
          <w:pPr>
            <w:pStyle w:val="TOC1"/>
            <w:tabs>
              <w:tab w:val="left" w:pos="720" w:leader="none"/>
              <w:tab w:val="right" w:pos="15112" w:leader="dot"/>
            </w:tabs>
            <w:rPr>
              <w:sz w:val="18"/>
              <w:szCs w:val="18"/>
              <w:lang w:val="en-US" w:eastAsia="en-US"/>
            </w:rPr>
          </w:pPr>
          <w:r>
            <w:rPr>
              <w:b w:val="false"/>
              <w:color w:val="000000"/>
              <w:sz w:val="18"/>
              <w:szCs w:val="18"/>
              <w:u w:val="none"/>
              <w:lang w:val="en-US" w:eastAsia="en-US"/>
            </w:rPr>
            <w:t>8.0</w:t>
          </w:r>
          <w:r>
            <w:rPr>
              <w:b w:val="false"/>
              <w:sz w:val="18"/>
              <w:szCs w:val="18"/>
              <w:lang w:val="en-US" w:eastAsia="en-US"/>
            </w:rPr>
            <w:tab/>
          </w:r>
          <w:r>
            <w:rPr>
              <w:b w:val="false"/>
              <w:color w:val="000000"/>
              <w:sz w:val="18"/>
              <w:szCs w:val="18"/>
              <w:u w:val="none"/>
              <w:lang w:val="en-US" w:eastAsia="en-US"/>
            </w:rPr>
            <w:t>Financial Reports</w:t>
          </w:r>
          <w:r>
            <w:rPr>
              <w:b w:val="false"/>
              <w:sz w:val="18"/>
              <w:szCs w:val="18"/>
              <w:lang w:val="en-US" w:eastAsia="en-US"/>
            </w:rPr>
            <w:tab/>
          </w:r>
          <w:hyperlink w:anchor="__RefHeading___Toc106693861">
            <w:r>
              <w:rPr>
                <w:rStyle w:val="IndexLink"/>
                <w:b w:val="false"/>
                <w:sz w:val="18"/>
                <w:szCs w:val="18"/>
                <w:lang w:val="en-US" w:eastAsia="en-US"/>
              </w:rPr>
              <w:t>30</w:t>
            </w:r>
          </w:hyperlink>
          <w:r>
            <w:rPr>
              <w:rStyle w:val="IndexLink"/>
              <w:sz w:val="18"/>
              <w:b w:val="false"/>
              <w:szCs w:val="18"/>
              <w:lang w:val="en-US" w:eastAsia="en-US"/>
            </w:rPr>
            <w:fldChar w:fldCharType="end"/>
          </w:r>
        </w:p>
      </w:sdtContent>
    </w:sdt>
    <w:p>
      <w:pPr>
        <w:pStyle w:val="Normal"/>
        <w:rPr>
          <w:b/>
          <w:sz w:val="18"/>
          <w:szCs w:val="18"/>
          <w:lang w:val="en-US" w:eastAsia="en-US"/>
        </w:rPr>
      </w:pPr>
      <w:r>
        <w:rPr>
          <w:b/>
          <w:sz w:val="18"/>
          <w:szCs w:val="18"/>
          <w:lang w:val="en-US" w:eastAsia="en-US"/>
        </w:rPr>
      </w:r>
    </w:p>
    <w:p>
      <w:pPr>
        <w:pStyle w:val="Normal"/>
        <w:rPr>
          <w:sz w:val="18"/>
          <w:szCs w:val="18"/>
        </w:rPr>
      </w:pPr>
      <w:r>
        <w:rPr>
          <w:sz w:val="18"/>
          <w:szCs w:val="18"/>
        </w:rPr>
      </w:r>
    </w:p>
    <w:p>
      <w:pPr>
        <w:sectPr>
          <w:headerReference w:type="default" r:id="rId4"/>
          <w:headerReference w:type="first" r:id="rId5"/>
          <w:footerReference w:type="default" r:id="rId6"/>
          <w:footerReference w:type="first" r:id="rId7"/>
          <w:type w:val="nextPage"/>
          <w:pgSz w:orient="landscape" w:w="16838" w:h="11906"/>
          <w:pgMar w:left="720" w:right="992" w:gutter="0" w:header="720" w:top="1440" w:footer="720" w:bottom="1440"/>
          <w:pgNumType w:start="1" w:fmt="lowerRoman"/>
          <w:formProt w:val="false"/>
          <w:textDirection w:val="lrTb"/>
          <w:docGrid w:type="default" w:linePitch="360" w:charSpace="0"/>
        </w:sectPr>
        <w:pStyle w:val="Normal"/>
        <w:rPr>
          <w:sz w:val="18"/>
          <w:szCs w:val="18"/>
        </w:rPr>
      </w:pPr>
      <w:r>
        <w:rPr>
          <w:sz w:val="18"/>
          <w:szCs w:val="18"/>
        </w:rPr>
      </w:r>
    </w:p>
    <w:p>
      <w:pPr>
        <w:pStyle w:val="Heading1Numbered"/>
        <w:numPr>
          <w:ilvl w:val="0"/>
          <w:numId w:val="2"/>
        </w:numPr>
        <w:ind w:hanging="0" w:start="0"/>
        <w:rPr>
          <w:sz w:val="22"/>
          <w:szCs w:val="22"/>
        </w:rPr>
      </w:pPr>
      <w:bookmarkStart w:id="0" w:name="__RefHeading___Toc106693852"/>
      <w:bookmarkEnd w:id="0"/>
      <w:r>
        <w:rPr>
          <w:sz w:val="22"/>
          <w:szCs w:val="22"/>
        </w:rPr>
        <w:t>Introduction</w:t>
      </w:r>
    </w:p>
    <w:p>
      <w:pPr>
        <w:pStyle w:val="Normal"/>
        <w:autoSpaceDE w:val="false"/>
        <w:ind w:start="720" w:end="0"/>
        <w:rPr/>
      </w:pPr>
      <w:r>
        <w:rPr>
          <w:sz w:val="22"/>
          <w:szCs w:val="22"/>
        </w:rPr>
        <w:t xml:space="preserve">This Attachment contains a summary description of the format, content and frequency of key reports that were required by EuroBank at the moment of the RFP.  As stated in the RFP, this Attachment may not include all reports currently provided by the In Scope organization .  </w:t>
      </w:r>
    </w:p>
    <w:p>
      <w:pPr>
        <w:pStyle w:val="BodyText"/>
        <w:jc w:val="both"/>
        <w:rPr/>
      </w:pPr>
      <w:r>
        <w:rPr>
          <w:sz w:val="22"/>
          <w:szCs w:val="22"/>
        </w:rPr>
        <w:t xml:space="preserve">Besides that some reports might have become redundant. </w:t>
      </w:r>
      <w:r>
        <w:rPr>
          <w:sz w:val="22"/>
          <w:szCs w:val="22"/>
          <w:lang w:val="en-GB"/>
        </w:rPr>
        <w:t>However, the PST is required to provide any and all such existing (at Commencement Date) reports regardless of their inclusion in this Attachment.</w:t>
      </w:r>
    </w:p>
    <w:p>
      <w:pPr>
        <w:pStyle w:val="BodyText"/>
        <w:jc w:val="both"/>
        <w:rPr/>
      </w:pPr>
      <w:r>
        <w:rPr>
          <w:iCs/>
          <w:sz w:val="22"/>
          <w:szCs w:val="22"/>
        </w:rPr>
        <w:t>Note: Reports referenced in other exhibits and not mentioned in this Attachment are also included.</w:t>
      </w:r>
      <w:r>
        <w:br w:type="page"/>
      </w:r>
    </w:p>
    <w:p>
      <w:pPr>
        <w:pStyle w:val="Heading1Numbered"/>
        <w:numPr>
          <w:ilvl w:val="0"/>
          <w:numId w:val="2"/>
        </w:numPr>
        <w:ind w:hanging="0" w:start="0"/>
        <w:rPr>
          <w:sz w:val="22"/>
          <w:szCs w:val="22"/>
          <w:lang w:val="de-DE"/>
        </w:rPr>
      </w:pPr>
      <w:bookmarkStart w:id="1" w:name="__RefHeading___Toc106693853"/>
      <w:bookmarkEnd w:id="1"/>
      <w:r>
        <w:rPr>
          <w:sz w:val="22"/>
          <w:szCs w:val="22"/>
          <w:lang w:val="de-DE"/>
        </w:rPr>
        <w:t>2IM Services Bundle</w:t>
      </w:r>
      <w:r>
        <w:rPr/>
        <w:t xml:space="preserve"> Reports</w:t>
      </w:r>
    </w:p>
    <w:tbl>
      <w:tblPr>
        <w:tblW w:w="15231" w:type="dxa"/>
        <w:jc w:val="start"/>
        <w:tblInd w:w="-3" w:type="dxa"/>
        <w:tblLayout w:type="fixed"/>
        <w:tblCellMar>
          <w:top w:w="0" w:type="dxa"/>
          <w:start w:w="108" w:type="dxa"/>
          <w:bottom w:w="0" w:type="dxa"/>
          <w:end w:w="108" w:type="dxa"/>
        </w:tblCellMar>
      </w:tblPr>
      <w:tblGrid>
        <w:gridCol w:w="651"/>
        <w:gridCol w:w="900"/>
        <w:gridCol w:w="1980"/>
        <w:gridCol w:w="3600"/>
        <w:gridCol w:w="1620"/>
        <w:gridCol w:w="2520"/>
        <w:gridCol w:w="1080"/>
        <w:gridCol w:w="1260"/>
        <w:gridCol w:w="1620"/>
      </w:tblGrid>
      <w:tr>
        <w:trPr>
          <w:tblHeader w:val="true"/>
        </w:trPr>
        <w:tc>
          <w:tcPr>
            <w:tcW w:w="651"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19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36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6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25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10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126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6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process for end to end Service Delivery with the other vendors will be measured using the Operating Level Agreement deliverables as measures.</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2</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pPr>
            <w:r>
              <w:rPr>
                <w:sz w:val="18"/>
                <w:szCs w:val="18"/>
              </w:rPr>
              <w:t xml:space="preserve">The 2IM will manage the delivery of standards and architecture using parameters such as return on investment and variance from those standards </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3</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pPr>
            <w:r>
              <w:rPr>
                <w:sz w:val="18"/>
                <w:szCs w:val="18"/>
              </w:rPr>
              <w:t>Where the 2IM is responsible for the management role measures for program and project delivery will be applied through metrics such as compliance with timeline and actual cost versus planned costs.</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4</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pPr>
            <w:r>
              <w:rPr>
                <w:sz w:val="18"/>
                <w:szCs w:val="18"/>
              </w:rPr>
              <w:t>The 2IM will ensure that the inventory of all in-service IT components (hardware and software) is up-to-date, complete, and accurate, measured by random tests on the data versus equipment in the field.</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5</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Monitor the budget usage of the current year (day to day) and deliver a forecast for the next 36 months of change and operational budget measured on planned versus actual.</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6</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Supply all relevant reporting, as per the reports exhibit, within the agreed timescales and quality.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7</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Represent the outsourced services as a single point of contact to the end user organization measured through the accurate and timely management of queries and any subsequent actions.</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8</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pPr>
            <w:r>
              <w:rPr>
                <w:sz w:val="18"/>
                <w:szCs w:val="18"/>
              </w:rPr>
              <w:t>Summary of above mentioned reports 1 to 7</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Help Desk Calls Report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Number of calls, Average Time to Answer, Number of Abandoned Calls.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Problem Management Report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Problem and requests tracking. Including a top 5 of problems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Incident Management Report</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Incident and requests tracking</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Change Management</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and description of scheduled changes for the next 60 days.</w:t>
            </w:r>
          </w:p>
          <w:p>
            <w:pPr>
              <w:pStyle w:val="Normal"/>
              <w:rPr>
                <w:sz w:val="18"/>
                <w:szCs w:val="18"/>
              </w:rPr>
            </w:pPr>
            <w:r>
              <w:rPr>
                <w:sz w:val="18"/>
                <w:szCs w:val="18"/>
              </w:rPr>
              <w:t>Priority of changes.</w:t>
            </w:r>
          </w:p>
          <w:p>
            <w:pPr>
              <w:pStyle w:val="Normal"/>
              <w:rPr>
                <w:sz w:val="18"/>
                <w:szCs w:val="18"/>
              </w:rPr>
            </w:pPr>
            <w:r>
              <w:rPr>
                <w:sz w:val="18"/>
                <w:szCs w:val="18"/>
              </w:rPr>
              <w:t>Initiator and approver of changes.</w:t>
            </w:r>
          </w:p>
          <w:p>
            <w:pPr>
              <w:pStyle w:val="TableText"/>
              <w:rPr>
                <w:sz w:val="18"/>
                <w:szCs w:val="18"/>
              </w:rPr>
            </w:pPr>
            <w:r>
              <w:rPr>
                <w:sz w:val="18"/>
                <w:szCs w:val="18"/>
              </w:rPr>
              <w:t>Planned vs. emergency identifier.</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Change management</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Change calendar</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Release Management</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and description of scheduled Releases for the next 60 days.</w:t>
            </w:r>
          </w:p>
          <w:p>
            <w:pPr>
              <w:pStyle w:val="TableText"/>
              <w:rPr>
                <w:sz w:val="18"/>
                <w:szCs w:val="18"/>
              </w:rPr>
            </w:pPr>
            <w:r>
              <w:rPr>
                <w:sz w:val="18"/>
                <w:szCs w:val="18"/>
              </w:rPr>
              <w:t>Planned vs. emergency identifier.</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Release Management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Release calendar</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Configuration management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concerning the completeness and accuracy of the CMDB</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IMAC Report </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on scheduled IMACs, IMACs performed, issues.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Applicable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Root Cause Analysis Report </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Details the results of each Root Cause Analysis (RCA) performed by EuroBank or Supplier.</w:t>
            </w:r>
          </w:p>
          <w:p>
            <w:pPr>
              <w:pStyle w:val="Normal"/>
              <w:rPr>
                <w:sz w:val="18"/>
                <w:szCs w:val="18"/>
              </w:rPr>
            </w:pPr>
            <w:r>
              <w:rPr>
                <w:sz w:val="18"/>
                <w:szCs w:val="18"/>
              </w:rPr>
              <w:t>Includes the nature of the incident and plans to prevent or avoid future incidents.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Within 14 days of the associated problem and Monthly summary of outstanding RCAs</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Applicable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2.19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Customer Satisfaction Survey Results</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Summaries and findings of customer satisfaction surveys.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 EuroBank Contract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Security and Virus Incidents</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Report logical security violations to security administration. Document the nature of such incidents and the plan and status of such incidents.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1. Weekly</w:t>
            </w:r>
          </w:p>
          <w:p>
            <w:pPr>
              <w:pStyle w:val="TableText"/>
              <w:rPr>
                <w:sz w:val="18"/>
                <w:szCs w:val="18"/>
              </w:rPr>
            </w:pPr>
            <w:r>
              <w:rPr>
                <w:sz w:val="18"/>
                <w:szCs w:val="18"/>
              </w:rPr>
              <w:t>2. Daily during major outbreaks</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Applicable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Project Status Report</w:t>
            </w:r>
          </w:p>
        </w:tc>
        <w:tc>
          <w:tcPr>
            <w:tcW w:w="360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Report on the status of all open projects greater than 50 hours or one month elapsed time, including actuals vs. planned for schedule, cost, risk, and change of scope.</w:t>
            </w:r>
          </w:p>
          <w:p>
            <w:pPr>
              <w:pStyle w:val="TableText"/>
              <w:rPr>
                <w:sz w:val="18"/>
                <w:szCs w:val="18"/>
              </w:rPr>
            </w:pPr>
            <w:r>
              <w:rPr>
                <w:sz w:val="18"/>
                <w:szCs w:val="18"/>
              </w:rPr>
              <w:t>Report the status of each project to the requestor on a periodic basis as agree with the requester.</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Applicable EuroBank Service Managers.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Issues Management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Status of major pending issues, Status of Improvement Action Plans, Report changes to the environment impacting costs or utilization.</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 EuroBank Contract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Service Level Report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Comparison of actual results vs. Service Level requirements.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 EuroBank Contract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Service Management Report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Summary of accomplishments, work in progress, planned work).</w:t>
            </w:r>
          </w:p>
          <w:p>
            <w:pPr>
              <w:pStyle w:val="TableText"/>
              <w:rPr>
                <w:sz w:val="18"/>
                <w:szCs w:val="18"/>
              </w:rPr>
            </w:pPr>
            <w:r>
              <w:rPr>
                <w:sz w:val="18"/>
                <w:szCs w:val="18"/>
              </w:rPr>
              <w:t>Review of resource allocation for past year and progress as compared to road map (goals and objectives).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 EuroBank Contract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Change Report</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Number of calls, Average Time to Answer, Number of Abandoned Calls.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Customer complaint report</w:t>
            </w:r>
          </w:p>
        </w:tc>
        <w:tc>
          <w:tcPr>
            <w:tcW w:w="36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of complaints on behalf of corresponding bundles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5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Service Managers, EuroBank Contract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level reportage 1st batch</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±100 different reports in two versions for business units or independent departments or especially environments. The other bundle delivers passive information by logging their actions in central systems (databases). These reports give an overview over events sort by ITIL processes. For example incidents, problems, changes, service request and so on.</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At the beginning of the month over the past month.</w:t>
            </w:r>
          </w:p>
        </w:tc>
        <w:tc>
          <w:tcPr>
            <w:tcW w:w="25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“Short” version to the EuroBank internal client.</w:t>
            </w:r>
            <w:r>
              <w:rPr>
                <w:sz w:val="18"/>
                <w:szCs w:val="18"/>
              </w:rPr>
            </w:r>
          </w:p>
          <w:p>
            <w:pPr>
              <w:pStyle w:val="Normal"/>
              <w:rPr>
                <w:sz w:val="18"/>
                <w:szCs w:val="18"/>
              </w:rPr>
            </w:pPr>
            <w:r>
              <w:rPr>
                <w:sz w:val="18"/>
                <w:szCs w:val="18"/>
              </w:rPr>
              <w:t>“</w:t>
            </w:r>
            <w:r>
              <w:rPr>
                <w:sz w:val="18"/>
                <w:szCs w:val="18"/>
              </w:rPr>
              <w:t>Long” version to the responsible service level manager from IT Infrastructure.</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1"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2.28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level reportage 2nd batch</w:t>
            </w:r>
          </w:p>
        </w:tc>
        <w:tc>
          <w:tcPr>
            <w:tcW w:w="36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±75 different reports in two versions for business units or independent departments or especially environments. The other bundle delivers passive information by logging their actions in central systems (databases). These reports give an overview over events sort by ITIL processes. For example incidents, problems, changes, service request and so on. Enlarged with additional information from different bundle such as Quota management, availability, performance, utilisation, capacity usage, monitoring logs from batch work and so on.</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 the second half of the month over the past month.</w:t>
            </w:r>
          </w:p>
        </w:tc>
        <w:tc>
          <w:tcPr>
            <w:tcW w:w="25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“Short” version to the EuroBank internal client.</w:t>
            </w:r>
            <w:r>
              <w:rPr>
                <w:sz w:val="18"/>
                <w:szCs w:val="18"/>
              </w:rPr>
            </w:r>
          </w:p>
          <w:p>
            <w:pPr>
              <w:pStyle w:val="Normal"/>
              <w:rPr>
                <w:sz w:val="18"/>
                <w:szCs w:val="18"/>
              </w:rPr>
            </w:pPr>
            <w:r>
              <w:rPr>
                <w:sz w:val="18"/>
                <w:szCs w:val="18"/>
              </w:rPr>
              <w:t>“</w:t>
            </w:r>
            <w:r>
              <w:rPr>
                <w:sz w:val="18"/>
                <w:szCs w:val="18"/>
              </w:rPr>
              <w:t>Long” version to the responsible service level manager from IT Infrastructure.</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Heading1Numbered"/>
        <w:numPr>
          <w:ilvl w:val="0"/>
          <w:numId w:val="0"/>
        </w:numPr>
        <w:ind w:hanging="0" w:start="0"/>
        <w:rPr/>
      </w:pPr>
      <w:r>
        <w:rPr/>
      </w:r>
      <w:r>
        <w:br w:type="page"/>
      </w:r>
    </w:p>
    <w:p>
      <w:pPr>
        <w:pStyle w:val="Heading1Numbered"/>
        <w:numPr>
          <w:ilvl w:val="0"/>
          <w:numId w:val="2"/>
        </w:numPr>
        <w:ind w:hanging="0" w:start="0"/>
        <w:rPr>
          <w:sz w:val="22"/>
          <w:szCs w:val="22"/>
          <w:lang w:val="de-DE"/>
        </w:rPr>
      </w:pPr>
      <w:bookmarkStart w:id="2" w:name="__RefHeading___Toc106693854"/>
      <w:bookmarkEnd w:id="2"/>
      <w:r>
        <w:rPr>
          <w:sz w:val="22"/>
          <w:szCs w:val="22"/>
          <w:lang w:val="de-DE"/>
        </w:rPr>
        <w:t>Server Management Services Bundle Reports</w:t>
      </w:r>
    </w:p>
    <w:p>
      <w:pPr>
        <w:pStyle w:val="Heading1Numbered"/>
        <w:numPr>
          <w:ilvl w:val="0"/>
          <w:numId w:val="0"/>
        </w:numPr>
        <w:spacing w:before="120" w:after="120"/>
        <w:ind w:hanging="0" w:start="900" w:end="0"/>
        <w:jc w:val="both"/>
        <w:rPr/>
      </w:pPr>
      <w:r>
        <w:rPr>
          <w:rFonts w:cs="Times New Roman" w:ascii="Times New Roman" w:hAnsi="Times New Roman"/>
          <w:b w:val="false"/>
          <w:caps w:val="false"/>
          <w:smallCaps w:val="false"/>
          <w:sz w:val="22"/>
          <w:szCs w:val="22"/>
        </w:rPr>
        <w:t xml:space="preserve">The following reports are to </w:t>
      </w:r>
      <w:r>
        <w:rPr/>
        <w:t>be delivered both for the Servers themselves as for the Services of the bundle. These services are: Mail, Collaboration, File, Print, Directory, Browse, Software distribution, WINS/DNS/DHCP</w:t>
      </w:r>
    </w:p>
    <w:tbl>
      <w:tblPr>
        <w:tblW w:w="14957" w:type="dxa"/>
        <w:jc w:val="center"/>
        <w:tblInd w:w="0" w:type="dxa"/>
        <w:tblLayout w:type="fixed"/>
        <w:tblCellMar>
          <w:top w:w="0" w:type="dxa"/>
          <w:start w:w="108" w:type="dxa"/>
          <w:bottom w:w="0" w:type="dxa"/>
          <w:end w:w="108" w:type="dxa"/>
        </w:tblCellMar>
      </w:tblPr>
      <w:tblGrid>
        <w:gridCol w:w="638"/>
        <w:gridCol w:w="1080"/>
        <w:gridCol w:w="2340"/>
        <w:gridCol w:w="4680"/>
        <w:gridCol w:w="1260"/>
        <w:gridCol w:w="2160"/>
        <w:gridCol w:w="720"/>
        <w:gridCol w:w="900"/>
        <w:gridCol w:w="1179"/>
      </w:tblGrid>
      <w:tr>
        <w:trPr>
          <w:tblHeader w:val="true"/>
        </w:trPr>
        <w:tc>
          <w:tcPr>
            <w:tcW w:w="638"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w:t>
            </w:r>
          </w:p>
        </w:tc>
        <w:tc>
          <w:tcPr>
            <w:tcW w:w="10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34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46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26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216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7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179"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provision of IMACs to server management services will be measured by availability, speed of delivery and quality of the solution measured against the initial request, and effective use of the standards in place of the server based services to authorized users and provision of those services.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2</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fix of server related hardware and software and other issues, in support of the above services, will be measured against response to an authorized incident ticket and resolution of the problem or query</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3</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delivery of specific server related hardware and software will be measured against response time to an authorized request and delivery and installation time of the items.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4</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Summary of above mentioned reports 1 to 4</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111 HDW/SW Installation Report.</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Hardware and Software installation details.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Server Service Manager.</w:t>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112 Server Performance Report.</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System performance, utilization, and capacity.</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Server Service Manager.</w:t>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113 Enterprise Server Rights and Privileges Audit.</w:t>
            </w:r>
          </w:p>
        </w:tc>
        <w:tc>
          <w:tcPr>
            <w:tcW w:w="46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Quarterly</w:t>
            </w:r>
          </w:p>
        </w:tc>
        <w:tc>
          <w:tcPr>
            <w:tcW w:w="21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Server Service Manager.</w:t>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114 Monthly Storage Report.</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Storage performance and utilization report for servers.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Server Service Manager.</w:t>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Availability</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Availability of the Service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3.10</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Capacity</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Capacity report and forecast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3.11</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Performance </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Relevant performance indicators of the Service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3.12</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Incidents</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Incident reporting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3.13</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Problems</w:t>
            </w:r>
          </w:p>
        </w:tc>
        <w:tc>
          <w:tcPr>
            <w:tcW w:w="468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Problem reporting</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3.14</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Change report</w:t>
            </w:r>
          </w:p>
        </w:tc>
        <w:tc>
          <w:tcPr>
            <w:tcW w:w="468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Reporting on any changes and going change programs</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3.15</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Inventory and configuration</w:t>
            </w:r>
          </w:p>
        </w:tc>
        <w:tc>
          <w:tcPr>
            <w:tcW w:w="468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Asset inventory and configuration reporting</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3.16</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Security</w:t>
            </w:r>
          </w:p>
        </w:tc>
        <w:tc>
          <w:tcPr>
            <w:tcW w:w="468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Report about Security and security auditing</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3.17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SLA to business</w:t>
            </w:r>
          </w:p>
        </w:tc>
        <w:tc>
          <w:tcPr>
            <w:tcW w:w="468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Reporting of the SLAs to our internal clients</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3.18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Server Mgt</w:t>
            </w:r>
          </w:p>
        </w:tc>
        <w:tc>
          <w:tcPr>
            <w:tcW w:w="234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SLA to Management</w:t>
            </w:r>
          </w:p>
        </w:tc>
        <w:tc>
          <w:tcPr>
            <w:tcW w:w="4680" w:type="dxa"/>
            <w:tcBorders>
              <w:top w:val="single" w:sz="4" w:space="0" w:color="000000"/>
              <w:start w:val="single" w:sz="4" w:space="0" w:color="000000"/>
              <w:bottom w:val="single" w:sz="4" w:space="0" w:color="000000"/>
              <w:end w:val="single" w:sz="4" w:space="0" w:color="000000"/>
            </w:tcBorders>
            <w:vAlign w:val="bottom"/>
          </w:tcPr>
          <w:p>
            <w:pPr>
              <w:pStyle w:val="Normal"/>
              <w:rPr>
                <w:sz w:val="18"/>
                <w:szCs w:val="18"/>
              </w:rPr>
            </w:pPr>
            <w:r>
              <w:rPr>
                <w:sz w:val="18"/>
                <w:szCs w:val="18"/>
              </w:rPr>
              <w:t>Reporting of the SLA’s to the IT infra management</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21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7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bl>
    <w:p>
      <w:pPr>
        <w:pStyle w:val="Heading1Numbered"/>
        <w:numPr>
          <w:ilvl w:val="0"/>
          <w:numId w:val="2"/>
        </w:numPr>
        <w:ind w:hanging="0" w:start="0"/>
        <w:rPr>
          <w:sz w:val="22"/>
          <w:szCs w:val="22"/>
          <w:lang w:val="de-DE"/>
        </w:rPr>
      </w:pPr>
      <w:r>
        <w:br w:type="page"/>
      </w:r>
      <w:bookmarkStart w:id="3" w:name="__RefHeading___Toc106693856"/>
      <w:bookmarkEnd w:id="3"/>
      <w:r>
        <w:rPr>
          <w:sz w:val="22"/>
          <w:szCs w:val="22"/>
          <w:lang w:val="de-DE"/>
        </w:rPr>
        <w:t>Managed Network  Services (VOICE) Bundle</w:t>
      </w:r>
      <w:r>
        <w:rPr/>
        <w:t xml:space="preserve"> Reports</w:t>
      </w:r>
    </w:p>
    <w:tbl>
      <w:tblPr>
        <w:tblW w:w="14957" w:type="dxa"/>
        <w:jc w:val="center"/>
        <w:tblInd w:w="0" w:type="dxa"/>
        <w:tblLayout w:type="fixed"/>
        <w:tblCellMar>
          <w:top w:w="0" w:type="dxa"/>
          <w:start w:w="108" w:type="dxa"/>
          <w:bottom w:w="0" w:type="dxa"/>
          <w:end w:w="108" w:type="dxa"/>
        </w:tblCellMar>
      </w:tblPr>
      <w:tblGrid>
        <w:gridCol w:w="638"/>
        <w:gridCol w:w="1080"/>
        <w:gridCol w:w="1980"/>
        <w:gridCol w:w="4680"/>
        <w:gridCol w:w="1080"/>
        <w:gridCol w:w="1800"/>
        <w:gridCol w:w="1080"/>
        <w:gridCol w:w="1260"/>
        <w:gridCol w:w="1359"/>
      </w:tblGrid>
      <w:tr>
        <w:trPr>
          <w:tblHeader w:val="true"/>
        </w:trPr>
        <w:tc>
          <w:tcPr>
            <w:tcW w:w="638"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w:t>
            </w:r>
          </w:p>
        </w:tc>
        <w:tc>
          <w:tcPr>
            <w:tcW w:w="10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19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46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0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8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10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126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359"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provision of normal telephony services will be measured by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2</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provision of ACD (automatic call distribution) telephony services will be measured by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3</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Where existing, the provision of voice mail telephony services will be measured by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4</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provision of mobile telephony services will be measured by the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5</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provision of specific voice related services for call centers and dealing rooms will be measured against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6</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provision of pager based telephony services will be measured by the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7</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Provision of audio and video conferencing services will be measured against availability of the services and provision of the service within the agreed service window.</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8</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Managing access to the video conferencing services provided will be measured against response to an authorized request and establishing access.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9</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fix of voice related hardware and software and other relevant faults or issues, in support of the above services, will be measured against response to an authorized incident ticket and resolution of the problem or query within the agreed severity level and time parameters.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10</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delivery of specific voice hardware, software and other relevant items will be measured against response time to an authorized request (within the IMAC process) and delivery and installation time of the items.</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11</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Summary of above mentioned reports 1-10</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8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402 Calling Card Usage Report.</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 </w:t>
            </w:r>
          </w:p>
        </w:tc>
        <w:tc>
          <w:tcPr>
            <w:tcW w:w="10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402 Toll Fraud Report.</w:t>
            </w:r>
          </w:p>
        </w:tc>
        <w:tc>
          <w:tcPr>
            <w:tcW w:w="46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List of any suspected toll fraud or abuses, status of and information regarding the investigation, actions taken, and recommended actions.</w:t>
            </w:r>
          </w:p>
        </w:tc>
        <w:tc>
          <w:tcPr>
            <w:tcW w:w="10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Per Incident</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401 PBX Performance and Utilization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System performance, utilization, and capacity.</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402 Attendant statistics overall</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Workload on attendants per site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Facilities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403 Attendant statistics detail</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Workload on individual attendants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Facilities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404 Site call profile</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Summary of call volume &amp; call cost  per site and per type of call (both incoming, outgoing and tandem calls)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405 Call detail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of calls to or from a specific phone or set of phones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Inspection &amp; compliance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4.19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406 GSM &amp; blackberry inventory</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List of employees using a GSM or blackberry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HR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407 GSM call cost </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of total call cost per employee against max. allowed</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HR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408 Call center report template</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Define customized call center reports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409 Off-net value of on-net calls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Would-be toll cost of calls transported between 2 sites on EuroBank’s private network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410 Alarms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Pro-active trouble shooting</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411 Trunk load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load of the trunks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412 Erlang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load of ISDN-30</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413 Error/events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Pro-active trouble shooting</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414 VDN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Accessibility commercial numbers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415 CTI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Report on load of CTI link</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4.29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416 Events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Files/loggings have to be clear out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417 Events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Logging of errors on vectors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418 Hacking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 violations detailed</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419 Hacking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 violations summary</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420 Pabx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CPU load</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421 Blocking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Port networks group load</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422 Blocking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Networks group load</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423 General load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Necessary for support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424 Occupancy and Call traffic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Load processor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425 Trunk analyze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Load public telephone infra</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4.39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426 Measure hunt-groups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Load of the skills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427 Measure tone receiver</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Load of the tones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 xml:space="preserve">428 Capacity mgt reports </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Port usage, spare ports &amp; licenses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429 Availability mgt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Check load of trunks, processor load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430 Grolsch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Results/performance ACD</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431 Customer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Measure performance telephonist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432 Incident mngt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Report about incidents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433 Supplier reports TelCo</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getting insight of the service of TelCo</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434 Supplier reports Avaya</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getting insight of the service of Avaya</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435 Total ports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Making up the bill for using ports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4.49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436 Total ports SCH</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Making up the bill for using ports but also phones, headsets etc.</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437 Octel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Reporting concerning Octel RVS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438 display alarms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Accessibility PABX</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439 alternative reports </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Making up the bill for made transactions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440 Situation report concerning Telephony</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To see if there are some free numbers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441 History-rvs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History of last week</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442 History-sch</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History of last week</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443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 policy EuroBank</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444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Backup policy</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445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of incoming calls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4.59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446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Detect faults on recording system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447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Detect faults Wallboard system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448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of Daily reports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449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to our customers and part of SLA</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450 Checklist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Calculation</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451 Meridian MAX Daily</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Evaluation of agent performance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452 Meridian MAX Weekly</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Evaluation of CDN/Queue/agent performance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453 Meridian MAX Monthly</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Evaluation of CDN/Queue performance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454 Abuse-All outgoing calls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 to detect abnormal dialling patterns/abuse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455 Abuse-dialling international</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 to detect abnormal dialling patterns/abuse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4.69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456 MAT traffic CPU Load</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Capacity/availability Management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457 MAT traffic Attendant Amsterdam Px</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Evaluation of attendant/listed directory numbers performance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458 MAT traffic Trunks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Capacity/availability Management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Monthly/Quarterly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459 Avaya CPU load</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Capacity/availability Management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 hoc</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460 Avaya Trunk load</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Capacity/availability Management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Monthly/Quarterly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461 GA CMS Supervisor </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Evaluation of VDN/skill/agent performance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462 Calacsy\Florin\Ringmaster Customer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Evaluation of basic telephony performance (number of calls, average speed of answer)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 hoc</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463 Incident report  for SupportDesk</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Internal control</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 / Adhoc</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464 Incident report  for Support Desk</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Information about Service requests: open/received/solved/within SLA-standard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 / Adhoc</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465 Charge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Information about # of changes; #of delivered peripherals; # of hours of expertise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 / Adhoc</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4.79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466 Licences overview</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Information about total/used/free licenses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Adhoc</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467 Mobile Hardware expenses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Delivery amount of hardware and on-charged expenses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468 Mobile Telephony Spend</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of calling costs per month sorted on type of call (extracted from UMIS)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469 Product counter for Mobile Telephony subscriptions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Amount of active Mobile Telephony subscriptions per cost center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470 Product counter for BlackBerry subscriptions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Amount of active BlackBerry subscriptions per cost center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471 Product counter for Mobile Data subscriptions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Amount of active Mobile Data subscriptions per cost center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472 Product counter for  mobile hardware</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Delivered hardware and accessories (incl. prices) sorted per cost center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4.86</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473 Mobile client costs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Costs overview per cost center per phone (incl. costs over the last twelve months)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4.87</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474 Mobile ad-hoc Client costs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Costs overview per cost center per phone (incl. costs over the last twelve months)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4.88</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475 Mobile phone overview</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Phone subscription overview per cost center (incl. names, personal numbers and  settings of functions/services)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4.89</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476 Mobile Call Detail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On request call detail reports by CAS or the subscription user themselves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4.90</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477 Mobile Quarterly Reports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delivery numbers, amount and type of mutations and other operational details.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Quarterly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4.91</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478 Mobile Vision Elite export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Extraction of 06 number, discount, subscription, call, other and total costs.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4.92</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479 </w:t>
            </w:r>
          </w:p>
          <w:p>
            <w:pPr>
              <w:pStyle w:val="Normal"/>
              <w:rPr>
                <w:sz w:val="18"/>
                <w:szCs w:val="18"/>
              </w:rPr>
            </w:pPr>
            <w:r>
              <w:rPr>
                <w:sz w:val="18"/>
                <w:szCs w:val="18"/>
              </w:rPr>
              <w:t>Mobile Program Status Report</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This report will contain the status of all current operational questions, problems, projects, innovations and activities with our preferred supplier.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4.93</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480</w:t>
            </w:r>
          </w:p>
          <w:p>
            <w:pPr>
              <w:pStyle w:val="Normal"/>
              <w:rPr>
                <w:sz w:val="18"/>
                <w:szCs w:val="18"/>
              </w:rPr>
            </w:pPr>
            <w:r>
              <w:rPr>
                <w:sz w:val="18"/>
                <w:szCs w:val="18"/>
              </w:rPr>
              <w:t>Dealing room availability</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Survey of availability and performance of dealing room voice infrastructure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4.94</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481</w:t>
            </w:r>
          </w:p>
          <w:p>
            <w:pPr>
              <w:pStyle w:val="Normal"/>
              <w:rPr>
                <w:sz w:val="18"/>
                <w:szCs w:val="18"/>
              </w:rPr>
            </w:pPr>
            <w:r>
              <w:rPr>
                <w:sz w:val="18"/>
                <w:szCs w:val="18"/>
              </w:rPr>
              <w:t>Dealing room</w:t>
            </w:r>
          </w:p>
          <w:p>
            <w:pPr>
              <w:pStyle w:val="Normal"/>
              <w:rPr>
                <w:sz w:val="18"/>
                <w:szCs w:val="18"/>
              </w:rPr>
            </w:pPr>
            <w:r>
              <w:rPr>
                <w:sz w:val="18"/>
                <w:szCs w:val="18"/>
              </w:rPr>
              <w:t>Survey of requests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Survey of request and support and the undertaken actions (based upon logged info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4.95</w:t>
            </w:r>
          </w:p>
        </w:tc>
        <w:tc>
          <w:tcPr>
            <w:tcW w:w="108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VOICE</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482</w:t>
            </w:r>
          </w:p>
          <w:p>
            <w:pPr>
              <w:pStyle w:val="Normal"/>
              <w:rPr>
                <w:sz w:val="18"/>
                <w:szCs w:val="18"/>
              </w:rPr>
            </w:pPr>
            <w:r>
              <w:rPr>
                <w:sz w:val="18"/>
                <w:szCs w:val="18"/>
              </w:rPr>
              <w:t>Dealing room</w:t>
            </w:r>
          </w:p>
          <w:p>
            <w:pPr>
              <w:pStyle w:val="Normal"/>
              <w:rPr>
                <w:sz w:val="18"/>
                <w:szCs w:val="18"/>
              </w:rPr>
            </w:pPr>
            <w:r>
              <w:rPr>
                <w:sz w:val="18"/>
                <w:szCs w:val="18"/>
              </w:rPr>
              <w:t>Survey of exec. changes</w:t>
            </w:r>
          </w:p>
        </w:tc>
        <w:tc>
          <w:tcPr>
            <w:tcW w:w="46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Survey of executed changes (including a brief description of the consequences of the change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8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108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35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Normal"/>
        <w:rPr/>
      </w:pPr>
      <w:r>
        <w:rPr/>
      </w:r>
      <w:r>
        <w:br w:type="page"/>
      </w:r>
    </w:p>
    <w:p>
      <w:pPr>
        <w:pStyle w:val="Heading1Numbered"/>
        <w:numPr>
          <w:ilvl w:val="0"/>
          <w:numId w:val="2"/>
        </w:numPr>
        <w:ind w:hanging="0" w:start="0"/>
        <w:rPr>
          <w:sz w:val="22"/>
          <w:szCs w:val="22"/>
        </w:rPr>
      </w:pPr>
      <w:bookmarkStart w:id="4" w:name="__RefHeading___Toc106693857"/>
      <w:r>
        <w:rPr/>
        <w:t>Managed Network Services (LAN) Bundle Reports</w:t>
      </w:r>
      <w:bookmarkEnd w:id="4"/>
      <w:r>
        <w:rPr/>
        <w:t xml:space="preserve"> </w:t>
      </w:r>
    </w:p>
    <w:tbl>
      <w:tblPr>
        <w:tblW w:w="14957" w:type="dxa"/>
        <w:jc w:val="center"/>
        <w:tblInd w:w="0" w:type="dxa"/>
        <w:tblLayout w:type="fixed"/>
        <w:tblCellMar>
          <w:top w:w="0" w:type="dxa"/>
          <w:start w:w="108" w:type="dxa"/>
          <w:bottom w:w="0" w:type="dxa"/>
          <w:end w:w="108" w:type="dxa"/>
        </w:tblCellMar>
      </w:tblPr>
      <w:tblGrid>
        <w:gridCol w:w="638"/>
        <w:gridCol w:w="900"/>
        <w:gridCol w:w="2340"/>
        <w:gridCol w:w="5220"/>
        <w:gridCol w:w="1620"/>
        <w:gridCol w:w="1260"/>
        <w:gridCol w:w="900"/>
        <w:gridCol w:w="900"/>
        <w:gridCol w:w="1179"/>
      </w:tblGrid>
      <w:tr>
        <w:trPr>
          <w:tblHeader w:val="true"/>
        </w:trPr>
        <w:tc>
          <w:tcPr>
            <w:tcW w:w="638"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34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52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6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26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179"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Provision of the LAN based services will be measured against availability of the services and provision of the service within the agreed service window.</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2</w:t>
            </w:r>
          </w:p>
        </w:tc>
        <w:tc>
          <w:tcPr>
            <w:tcW w:w="52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Provision of LAN based trace services to assist incident resolution will be measured in response time to incident ticket and quality of service provided</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3</w:t>
            </w:r>
          </w:p>
        </w:tc>
        <w:tc>
          <w:tcPr>
            <w:tcW w:w="522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Provision of LAN based application performance testing to assist in the rollout planning of new business applications or significant changes to business applications will be measured in response time to authorized request and quality of service provided.</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4</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fix of LAN based hardware and software and other relevant faults or issues, in support of the above services, will be measured against response to an authorized incident ticket and resolution of the problem or query within the agreed severity level and time parameters.</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5</w:t>
            </w:r>
          </w:p>
        </w:tc>
        <w:tc>
          <w:tcPr>
            <w:tcW w:w="52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The delivery of specific of LAN based hardware, software and other items will be measured against response time to an authorized request (within the IMAC process) and delivery and installation time of the items</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6</w:t>
            </w:r>
          </w:p>
        </w:tc>
        <w:tc>
          <w:tcPr>
            <w:tcW w:w="52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Summary of above mentioned reports 1-5</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411 Network Capacity, Statistics and Trends Report.</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Quarterly</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412 Network Performance and Utilization Report.</w:t>
            </w:r>
          </w:p>
        </w:tc>
        <w:tc>
          <w:tcPr>
            <w:tcW w:w="52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Network performance, utilization, Daily averages, peak volumes.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413 Network Equipment and Software Installation Report.</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414 Service Modifications Due to Regulatory Changes Report.</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As Needed</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Incident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Number of calls, Resolution times, Number of Returned Calls, Priority overview, Cause group, Incidents caused by changes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Problem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Problem and requests tracking; Number of calls, Priority overview, Cause group, Related incidents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Change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status and description of scheduled changes for the next 60 days.</w:t>
              <w:br/>
              <w:t>Priority of changes.</w:t>
              <w:br/>
              <w:t>Initiator and approver of changes.</w:t>
              <w:br/>
              <w:t>Planned vs. Emergency identifier.</w:t>
              <w:br/>
              <w:t>Number of successful changes.</w:t>
              <w:br/>
              <w:t>Issues during/after changes.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Capacity Availability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Network performance, availability, utilization, Daily averages, peak volumes.</w:t>
              <w:br/>
              <w:t>Available ports, trends, etc.</w:t>
              <w:br/>
              <w:t>Recommendations for specific issues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Release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Status and description of current software levels in use per component type.</w:t>
              <w:br/>
              <w:t>Overview of scheduled changes to meet target levels.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Configuration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status and description of installed base.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Contract Management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Status and description of current contracts, including negotiation status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External Connections</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List, Status and description of installed base. Changes, External audits to be performed, Follow up on audit points </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5.19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Change mail</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Update and results IMACs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Per IMAC</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Incident mail</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Status and updates about incidents</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Per incident</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Eurometro</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Specific Service Level  and Capacity &amp; Availability Report on C3B infrastructure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IFSA Reportages</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Specific Service Level and Capacity &amp; Availability Report on IFSA-Bus infrastructure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EuroBank Branch Offices Report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Specific Service Level and Capacity &amp; Availability Report on EuroBank Branch Offices infrastructure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NS2</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Internal Performance report in Incident Management</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Review</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Internal Performance report on Review process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Tactisch beheer</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Status of major pending issues, Status of Improvement Action Plans, Report changes to the environment impacting costs or utilization. Reports on port utilisation, trending, growth, power.</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TRM</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List, status and description of TelCo, BT connection orders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Teller</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Report network connections in use per business unit for internal charges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5.29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Finance</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Internal performance report on financial status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DNS</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DNS performance, utilization, Daily averages, peak volumes, Number of IP addresses (contract related), Recommendations on specific issues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Concord</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Concord performance, utilization, Daily averages, peak volumes, Number monitored elements (contract related), Recommendations on specific issues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Prio 1 Incident Reports</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All priority 1 incidents must have a RCA</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Per prio 1 incident</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Problem Analysis</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Analysis on all incidents to relate them to a specific problem</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Customer Satisfaction</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Quarterly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Vulnerability reports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As Needed</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Event notifications</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real time</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Root Cause Analysis Report </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real time</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Duplex Mismatch reports</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real time</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5.39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discrepancy report</w:t>
            </w:r>
          </w:p>
        </w:tc>
        <w:tc>
          <w:tcPr>
            <w:tcW w:w="52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real time</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Switch Ports utilization</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Most Utilized switch ports, Switch ports IN/OUT utilization, IN peak/OUT peak, Errors, base line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Real time, Daily, Weekly, Monthly</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Switch Ports utilization Forecast</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days before a threshold</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 Weekly, Monthly</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Routers interface Utilization</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Most Utilized interfaces,  IN/OUT utilization, IN peak/OUT peak, Errors, base line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Real time, Daily, Weekly, Monthly</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Data source Health</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CPU, Memory Usage average/Peak/baseline</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Daily, Weekly, Monthly</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Interface detailed listing</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Device name, IP Address, type, speed, Description,…</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depends on changes on network</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5.45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LAN</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Software, Hardware reports</w:t>
            </w:r>
          </w:p>
        </w:tc>
        <w:tc>
          <w:tcPr>
            <w:tcW w:w="52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Device type, location, Software IOS release, description, config file, …</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depends on changes on network</w:t>
            </w:r>
          </w:p>
        </w:tc>
        <w:tc>
          <w:tcPr>
            <w:tcW w:w="126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Heading1Numbered"/>
        <w:numPr>
          <w:ilvl w:val="0"/>
          <w:numId w:val="2"/>
        </w:numPr>
        <w:ind w:hanging="0" w:start="0"/>
        <w:rPr>
          <w:sz w:val="22"/>
          <w:szCs w:val="22"/>
        </w:rPr>
      </w:pPr>
      <w:r>
        <w:br w:type="page"/>
      </w:r>
      <w:bookmarkStart w:id="5" w:name="__RefHeading___Toc106693858"/>
      <w:bookmarkEnd w:id="5"/>
      <w:r>
        <w:rPr>
          <w:sz w:val="22"/>
          <w:szCs w:val="22"/>
        </w:rPr>
        <w:t>End User Computing (EUC) Services Bundle</w:t>
      </w:r>
      <w:r>
        <w:rPr/>
        <w:t xml:space="preserve"> Reports</w:t>
      </w:r>
    </w:p>
    <w:tbl>
      <w:tblPr>
        <w:tblW w:w="14957" w:type="dxa"/>
        <w:jc w:val="center"/>
        <w:tblInd w:w="0" w:type="dxa"/>
        <w:tblLayout w:type="fixed"/>
        <w:tblCellMar>
          <w:top w:w="0" w:type="dxa"/>
          <w:start w:w="108" w:type="dxa"/>
          <w:bottom w:w="0" w:type="dxa"/>
          <w:end w:w="108" w:type="dxa"/>
        </w:tblCellMar>
      </w:tblPr>
      <w:tblGrid>
        <w:gridCol w:w="638"/>
        <w:gridCol w:w="900"/>
        <w:gridCol w:w="2562"/>
        <w:gridCol w:w="4998"/>
        <w:gridCol w:w="1260"/>
        <w:gridCol w:w="1620"/>
        <w:gridCol w:w="900"/>
        <w:gridCol w:w="900"/>
        <w:gridCol w:w="1179"/>
      </w:tblGrid>
      <w:tr>
        <w:trPr>
          <w:tblHeader w:val="true"/>
        </w:trPr>
        <w:tc>
          <w:tcPr>
            <w:tcW w:w="638"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562"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4998"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26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62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179"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 UAS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 creating new user accounts performance will be measured by speed of delivery and the quality of profile ( measured against the authorized request ) such as access to the necessary platforms, shared areas, printing services and applications. The maximum duration is 24 hours within a service window 7:00 – 18:00 hours 5 day¹s a week.</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2 UAS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In changing user accounts performance will be measured by speed of delivery and the quality of profile (measured against the authorized request ) such as access to the necessary platforms, shared areas, printing services and applications. The maximum duration is 8 hours within a service window 7:00 – 18:00 hours 5 day¹s a week.</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3 UAS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 blocking and terminating accounts, performance will be measuread by time and adherence to the blocking and termination process including special requirements such as immediate dismissal. The maximum duration is 8 hours within a service window 7:00 – 18:00 hours 5 day¹s a week.</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4 UAS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Resolution of incidents will be measured against time to respond and time to fix within the service level of ticket.</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highlight w:val="green"/>
              </w:rPr>
            </w:pPr>
            <w:r>
              <w:rPr>
                <w:sz w:val="18"/>
                <w:szCs w:val="18"/>
              </w:rPr>
              <w:t>Report 5 UIS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Performance of local on-site support (including maintenance on request) for hardware, operation systems and desktop applications will be measured against speed to respond to the ticket, fix time and quality of solution provided within the service window. </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6 UIS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Execution of EUC (user infra and local support) IMACs  will be measured by speed of delivery and quality of the solution measured against the initial request, and effective use of the standards in place</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7 D&amp;S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performance of the provision of authorized antvirus software updates will be measured against the time lag between the official release of an antivirus update (software and update files) and their distribution across servers and network connected workstations (desktop and laptops).</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8 D&amp;S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performance of the provision of authorized security fixes will be measured against the timelag between the request and official release and distribution of the fix across servers and workstations</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9 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Performance of application services (including maintenance on request) for OSL, CSL, and BSL applications will be measured against speed to respond to the ticket, fix time and quality of solution provided within the service window.</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10 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Distribute a certified release / package (in less than 24 hours) will be measured by speed of delivery and quality of the solution measured against the initial request, and effective use of the standards in place.</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11 AS</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Certify a CSL, OSL or BSL (in less than 6 weeks) will be measured by speed of delivery and quality of the solution measured against the initial request, and effective use of the standards in place.</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12</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Summary of above mentioned reports 1-11</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201 On-Site Dispatch Summary</w:t>
            </w:r>
          </w:p>
        </w:tc>
        <w:tc>
          <w:tcPr>
            <w:tcW w:w="499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Summary of problems or issues requiring on-site technician to resolve the problem or issue; steps to reduce requirements for on-site dispatch.</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EUC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202 Remote Support Summary</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Summary of problems or issues from remote users (mobile users, dial-up); steps taken to reduce problems with remote users.</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Movement report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Number of movements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EUC Facility manager /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CEDS 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of users using CEDS Europe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EUC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WPS Projects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of WPS Projects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EUC Project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LCM management Report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LCM per Element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EUC Product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Quality management report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of elements with no problem</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EUC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SSAR rapportage dagoverzichten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Shows for a specified day on product level:</w:t>
            </w:r>
          </w:p>
          <w:p>
            <w:pPr>
              <w:pStyle w:val="TableText"/>
              <w:rPr>
                <w:sz w:val="18"/>
                <w:szCs w:val="18"/>
              </w:rPr>
            </w:pPr>
            <w:r>
              <w:rPr>
                <w:sz w:val="18"/>
                <w:szCs w:val="18"/>
              </w:rPr>
              <w:t xml:space="preserve">- how many service requests a team had in stock </w:t>
            </w:r>
          </w:p>
          <w:p>
            <w:pPr>
              <w:pStyle w:val="TableText"/>
              <w:rPr>
                <w:sz w:val="18"/>
                <w:szCs w:val="18"/>
              </w:rPr>
            </w:pPr>
            <w:r>
              <w:rPr>
                <w:sz w:val="18"/>
                <w:szCs w:val="18"/>
              </w:rPr>
              <w:t xml:space="preserve">- how many service requests a team received that day </w:t>
            </w:r>
          </w:p>
          <w:p>
            <w:pPr>
              <w:pStyle w:val="TableText"/>
              <w:rPr>
                <w:sz w:val="18"/>
                <w:szCs w:val="18"/>
              </w:rPr>
            </w:pPr>
            <w:r>
              <w:rPr>
                <w:sz w:val="18"/>
                <w:szCs w:val="18"/>
              </w:rPr>
              <w:t>- how many service requests a team handled that day.</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ICT Service desk</w:t>
            </w:r>
          </w:p>
          <w:p>
            <w:pPr>
              <w:pStyle w:val="TableText"/>
              <w:rPr>
                <w:sz w:val="18"/>
                <w:szCs w:val="18"/>
              </w:rPr>
            </w:pPr>
            <w:r>
              <w:rPr>
                <w:sz w:val="18"/>
                <w:szCs w:val="18"/>
              </w:rPr>
              <w:t>UAS Managers</w:t>
            </w:r>
          </w:p>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SSAR rapportage weekoverzichten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Shows for a specified week on product level: </w:t>
            </w:r>
          </w:p>
          <w:p>
            <w:pPr>
              <w:pStyle w:val="TableText"/>
              <w:rPr>
                <w:sz w:val="18"/>
                <w:szCs w:val="18"/>
              </w:rPr>
            </w:pPr>
            <w:r>
              <w:rPr>
                <w:sz w:val="18"/>
                <w:szCs w:val="18"/>
              </w:rPr>
              <w:t xml:space="preserve">- how many service requests a team had in stock </w:t>
            </w:r>
          </w:p>
          <w:p>
            <w:pPr>
              <w:pStyle w:val="TableText"/>
              <w:rPr>
                <w:sz w:val="18"/>
                <w:szCs w:val="18"/>
              </w:rPr>
            </w:pPr>
            <w:r>
              <w:rPr>
                <w:sz w:val="18"/>
                <w:szCs w:val="18"/>
              </w:rPr>
              <w:t xml:space="preserve">- how many service requests a team received that week </w:t>
            </w:r>
          </w:p>
          <w:p>
            <w:pPr>
              <w:pStyle w:val="TableText"/>
              <w:rPr>
                <w:sz w:val="18"/>
                <w:szCs w:val="18"/>
              </w:rPr>
            </w:pPr>
            <w:r>
              <w:rPr>
                <w:sz w:val="18"/>
                <w:szCs w:val="18"/>
              </w:rPr>
              <w:t>- how many service requests a team handled that week.</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ICT Servicedesk</w:t>
            </w:r>
          </w:p>
          <w:p>
            <w:pPr>
              <w:pStyle w:val="TableText"/>
              <w:rPr>
                <w:sz w:val="18"/>
                <w:szCs w:val="18"/>
              </w:rPr>
            </w:pPr>
            <w:r>
              <w:rPr>
                <w:sz w:val="18"/>
                <w:szCs w:val="18"/>
              </w:rPr>
              <w:t>UAS Managers</w:t>
            </w:r>
          </w:p>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UAS Maandrapportage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Shows for a period of a month: </w:t>
            </w:r>
          </w:p>
          <w:p>
            <w:pPr>
              <w:pStyle w:val="TableText"/>
              <w:rPr>
                <w:sz w:val="18"/>
                <w:szCs w:val="18"/>
              </w:rPr>
            </w:pPr>
            <w:r>
              <w:rPr>
                <w:sz w:val="18"/>
                <w:szCs w:val="18"/>
              </w:rPr>
              <w:t xml:space="preserve">- how many service requests and incidents a team received </w:t>
            </w:r>
          </w:p>
          <w:p>
            <w:pPr>
              <w:pStyle w:val="TableText"/>
              <w:rPr>
                <w:sz w:val="18"/>
                <w:szCs w:val="18"/>
              </w:rPr>
            </w:pPr>
            <w:r>
              <w:rPr>
                <w:sz w:val="18"/>
                <w:szCs w:val="18"/>
              </w:rPr>
              <w:t>- how many FTE a team had that month</w:t>
            </w:r>
          </w:p>
          <w:p>
            <w:pPr>
              <w:pStyle w:val="TableText"/>
              <w:rPr>
                <w:sz w:val="18"/>
                <w:szCs w:val="18"/>
              </w:rPr>
            </w:pPr>
            <w:r>
              <w:rPr>
                <w:sz w:val="18"/>
                <w:szCs w:val="18"/>
              </w:rPr>
              <w:t xml:space="preserve">- how many FTE was allocated for projects </w:t>
            </w:r>
          </w:p>
          <w:p>
            <w:pPr>
              <w:pStyle w:val="TableText"/>
              <w:rPr>
                <w:sz w:val="18"/>
                <w:szCs w:val="18"/>
              </w:rPr>
            </w:pPr>
            <w:r>
              <w:rPr>
                <w:sz w:val="18"/>
                <w:szCs w:val="18"/>
              </w:rPr>
              <w:t>- how many FTE that team needed to handle the workload.</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UAS Managers</w:t>
            </w:r>
          </w:p>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SSAR Rapportage Workload overzichten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Shows for a specified period on product level how many service requests a team received and handled.</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SSAR Rapportage Verwerkingstijden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shows on a Monthly basis how many service requests a team received, handled and what was left unhandled by the end of the month.</w:t>
            </w:r>
          </w:p>
          <w:p>
            <w:pPr>
              <w:pStyle w:val="TableText"/>
              <w:rPr>
                <w:sz w:val="18"/>
                <w:szCs w:val="18"/>
              </w:rPr>
            </w:pPr>
            <w:r>
              <w:rPr>
                <w:sz w:val="18"/>
                <w:szCs w:val="18"/>
              </w:rPr>
              <w:t>- shows for a specified period how many service requests was received, how many days the service requests were open before they were handled and what the average handle time was.</w:t>
            </w:r>
          </w:p>
          <w:p>
            <w:pPr>
              <w:pStyle w:val="TableText"/>
              <w:rPr>
                <w:sz w:val="18"/>
                <w:szCs w:val="18"/>
              </w:rPr>
            </w:pPr>
            <w:r>
              <w:rPr>
                <w:sz w:val="18"/>
                <w:szCs w:val="18"/>
              </w:rPr>
              <w:t>- shows how many service requests are still left unhandled, how many days they are open and what the expected average handle time is.</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UAS Managers</w:t>
            </w:r>
          </w:p>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Joiners, leavers, transfers list from HR (SIS)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Extra control-list for terminating accounts on all platforms and systems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 verification list for the functional owner (SIS)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GSO send an account verification list to the functional owner of a system to verify the accounts and their rights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half a year</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Platform account reverification list from SMRC (SIS)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Extra control-list for verifying accounts on platforms and systems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half a year</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ITIM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Account entry check, monitoring password abuse, monitoring actions security administrators, check reconciliation hosts, check suspensions, check account adds and removals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6.29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ITIM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check inactive user id's, monitoring privileges, check created orphans by MSO</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ITIM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Check accounts with conflicting roles, reconciliation CDS vs. ITIM, check accounts with false authorisations, check necessity of test and quest accounts, check special privileges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Quarterly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ITIM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Check role content, check validity of fiat roles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Annually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RACF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Check user violations, password resets, job initiation TSO, use emergency users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RACF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Check user id's connected to &gt;10 groups, revoke date on user id's, not default users, not default group names, changes in RACF profiles by DGBB</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RACF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 id's inactive for 120/180 days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2 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RACF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HLQ's without alias and datasets, groups without users, check classes, NPA accounts inactive for 60 days, RACF profiles without lists, audited profiles, check high rights, CICS transactions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RACF Controles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Check dataset profiles, $NETVFTP class, SURROGAT class, JESSPOOL class, AESx classes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Quarterly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Incident Follow up (Belgium)</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Monitoring the lifecycle of urgent and critical incidents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Incident and Request report (Belgium)</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 report with only basis information about the incidents and request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6.39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Request and incident report on product level (Belgium)</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Request and incident report on product level</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KPI reports per BU (Belgium)</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KPI reports per BU</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NetIQ (Belgium)</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Monitoring and reporting all activities on CEDS domain controllers</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62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TTE analysis (Lean)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Total Team Effectiveness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Stock reports (Lean)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about the service requests and incidents in stock.</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Head of UAS teams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Employee status (Interadvies)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Gives per department a view of all network accounts that have not been used for more than 3 months, which have been locked or which are nearing its end date.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PSA (PKI)</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Shows all GRAS accounts so that they can be invoiced.</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OPS&amp;IT Invoicing</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Maandrapportage yyyy-mm.doc (OBV)</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 report for OBV</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Management WPS/UAS, ORM</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x yyyy-mm Servicelevelrapportage.doc</w:t>
              <w:br/>
              <w:br/>
              <w:t>x: ADC of SC (OBV)</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Service level report per ADC or 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 or SC, 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Overzicht Noodenveloppen Openstaand.xls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Shows all outstanding emergency envelopes.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6.49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statusoverzicht_aanvragen.html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Shows the status of all service requests for the last 30 days.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Customers ex-OBV</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BC-changes 2005.xls</w:t>
              <w:br/>
              <w:t>CC-changes 2005.xls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Shows all changes that WPS/UAS also needs to approve.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DB2-AHOST / BHOST SMF RAPPORTAGE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of the DBA-activities DB2-subsystems A-host and B-host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 (DBA’s)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SMF RAPPORTAGE NON PERSONAL ACCOUNTS (NPA) AHOST / BHOST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of all Non Personal Accounts activities A-host and B-host.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OIRM/GMRB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SMF RAPPORTAGE RESOURCE-BEHEER AHOST/BHOST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of all Resource management activities on the A-host and B-host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OIRM/GMRB</w:t>
            </w:r>
          </w:p>
          <w:p>
            <w:pPr>
              <w:pStyle w:val="TableText"/>
              <w:rPr>
                <w:sz w:val="18"/>
                <w:szCs w:val="18"/>
              </w:rPr>
            </w:pPr>
            <w:r>
              <w:rPr>
                <w:sz w:val="18"/>
                <w:szCs w:val="18"/>
              </w:rPr>
              <w:t>ADCAMD (Resourcemngt)</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SMF RAPPORTAGE NON PERSONAL ACCOUNTS (NPA) EHOST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of all Non Personal Accounts activities E-host.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OIRM/GMRB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OKGB734.CHANGES.XXXX.INFOSYS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 changes on information systems on the A- /B- /E- (ETAS) -host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IG91.CHANGES.EGTO.INFOSYS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 changes on information systems on the E-host/EGTO</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OKGB734.MATRIX.XXXX.INFOSYS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Various matrices of the information systems on the A- /B- /E- (ETAS) -host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IG91.MATRIX.EGTO.INFOSYS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Various matrices of the information systems on the E-host/EGTO</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6.59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OKGB734.MATRIX.XXXX.CICS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Various matrices on the CICS security on the A- /B- /E- (ETAS) -host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IG91.MATRIX.EGTO.CICS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Various matrices on the CICS security on the E-host/EGTO</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OKGB734.MATRIX.XXXX.DB2</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Various matrices on the CICS security on the A- /B- /E- (ETAS) -host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IG91. MATRIX.EGTO.DB2</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Various matrices on the CICS security on the E-host/EGTO</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ADCMRB_LJDATE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SCDS_LJDATE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SCDS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SCEPC_LJDATE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SCTP_LJDATE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FPC_LJDATE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C&amp;SLM</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ORM_LJDATE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OIRM/GMRB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6.69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P&amp;O_LJDATE</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60-180 days checklist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HRN</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ADCMRB_USERS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SCDS_USERS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SCDS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SCEPC_USERS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SCTP_USERS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FPC_USERS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C&amp;SLM</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ORM_USERS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OIRM/GMRB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P&amp;O_USERS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HRN</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ADCMRB_USERS_TOTAAL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including all connect authorisation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SCDS_USERS_TOTAAL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Mainframe userid’s, including all connect authorisation per ADC/SC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SCDS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6.79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SCEPC_USERS_TOTAAL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including all connect authorisation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SCTP_USERS_TOTAAL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including all connect authorisation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FPC_USERS_TOTAAL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including all connect authorisation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C&amp;SLM</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ORM_USERS_TOTAAL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including all connect authorisation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OIRM/GMRB</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P&amp;O_USERS_TOTAAL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Mainframe userid’s, including all connect authorisation per ADC/SC</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HRN</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FATGA00</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Matrix functional authorisation groups TGA</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Retail FRM Applicatiemngt</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&lt;groepsnaam&gt;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Several  matrices functional authorisation groups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ADCAMD</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DSNTOOL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DSNTOOL, removal of unused dataset profiles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Mutatiebestand</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Generate Mutation file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OK1</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Overview O-, P- en  F-groups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6.89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OK2.2</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Userid’s without authorisation</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OK2.4</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Userid’s connected to more then 1 O-group</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OK2.5</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Userid’s with different definitions per host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OK2.6</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Userid’s not used for 2 months or longer (60 days)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OK2.7</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Revoke-date on userid’s of external employees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OK2.8</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Revoke date on connects to groups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OK2.9</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Users with possible more userid’s (PersNr)</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OK2.10</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Users met with possible more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OK2.14</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 of Emergencyuserid’s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OK2.15</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Management of Emergencyuserid’s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6.99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OK2.17</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Groups without authorisations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OK2.18</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Groups without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OK2.21</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Changes RACF-profiles by DGBB</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OK2.23</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Changes RACF-profiles by System special</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OK2</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Userid’s not logged on &gt; 180 days from home location</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OK3</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 xml:space="preserve">Userid’s connected to more the 1 organisational group </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OK4.3b</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RACF-profiles without access list</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OK4.3c</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RACF-profiles in member class without members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OK4.4</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Audited profiles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OK4.5</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Profiles with generic  access (UACC of ID(*))</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6.109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OK4</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Userid’s not present on home location</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OK5</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Userid’s name difference across systems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OK6.1</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Job initiation, TSO logon/logoff overview</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OK6.2a</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DGBB Users violations overview</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OK6.2b</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DGBB Users violations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OK6.2c</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DGBB Resources violations overview</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OK6.2d</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DGBB Resources violations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OK6.8a</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Command failures per DGBB</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OK6.8b</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Command failures per resource DGBB</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OK6</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Authorisations on userid basis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6.119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OK7</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Not default userid’s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OK8</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Not default group names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Resource matrices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Resource matrices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RES_E001</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RES#E001, resume of Emergency users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RES_NOOD</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RES#NOOD, resume of Emergency users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RES_READ</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RES#READ, resume of batch readers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Rapportage SMF_rapporten</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Generate SMF reports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Report User_to_groupmatrices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User-to-group matrices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on violations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on Safeguard Management Violations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RSO authorisations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6.129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on temporary authorisations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lang w:val="fr-FR"/>
              </w:rPr>
            </w:pPr>
            <w:r>
              <w:rPr>
                <w:sz w:val="18"/>
                <w:szCs w:val="18"/>
                <w:lang w:val="fr-FR"/>
              </w:rPr>
              <w:t>Check discrepancies Matrix en Systeem</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Licensed programs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remote passwords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on user details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on subv without ACL</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user id’s unused for &gt; 180 days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High Risk Utils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ChecklistThawed Users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Check use of functional user id’s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6.139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user profiles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On Request</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objectprofiles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On Request</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compares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On Request</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ADCEPC</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Use emergency keys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&gt; max number logon attempts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Security violations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Revoked user-ids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User-ids &gt; 90 days unused</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Employees from service</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User-id's external employees without end date</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6.149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Other authorisations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Presence authorization matrices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Not default user-id's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Substantive appraisal</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Safe check emergency envelopes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Authorisations against OSG's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Meet acceptance criteria</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Open i, p en c</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Temporary authorisations</w:t>
            </w:r>
          </w:p>
          <w:p>
            <w:pPr>
              <w:pStyle w:val="Normal"/>
              <w:rPr>
                <w:sz w:val="18"/>
                <w:szCs w:val="18"/>
              </w:rPr>
            </w:pPr>
            <w:r>
              <w:rPr>
                <w:sz w:val="18"/>
                <w:szCs w:val="18"/>
              </w:rPr>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See report name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WPS/UAS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301 Application Resource Pool Utilization Report.</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detailing each FTP’s work efforts with sufficient detail to identify the hours and activities directly associated with  XYZwork efforts.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ADM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6.159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302 Application Development Project/Enhancement Cost &amp; Status Tracking.</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pPr>
            <w:r>
              <w:rPr>
                <w:sz w:val="18"/>
                <w:szCs w:val="18"/>
              </w:rPr>
              <w:t>Report on the status of all open projects greater than 50 hours or one-month elapsed time, including actual vs. planned for schedule, cost, risk, and change of scope.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ADM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6.160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303 Disaster Recovery ADM Test Results.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of the most current results of the DRP test and any action items to be addressed with a plan to resolve.</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As Required</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ADM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6.161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304 Root Cause Analyses.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Details the results of each Root Cause Analysis (RCA) performed by Company or Supplier.</w:t>
            </w:r>
          </w:p>
          <w:p>
            <w:pPr>
              <w:pStyle w:val="TableText"/>
              <w:rPr>
                <w:sz w:val="18"/>
                <w:szCs w:val="18"/>
              </w:rPr>
            </w:pPr>
            <w:r>
              <w:rPr>
                <w:sz w:val="18"/>
                <w:szCs w:val="18"/>
              </w:rPr>
              <w:t>Includes the nature of the incident and plans to prevent or avoid future incidents.</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1. Within 30 days of the associated problem.</w:t>
            </w:r>
          </w:p>
          <w:p>
            <w:pPr>
              <w:pStyle w:val="TableText"/>
              <w:rPr>
                <w:sz w:val="18"/>
                <w:szCs w:val="18"/>
              </w:rPr>
            </w:pPr>
            <w:r>
              <w:rPr>
                <w:sz w:val="18"/>
                <w:szCs w:val="18"/>
              </w:rPr>
              <w:t>2. Monthly summary of outstanding RCAs.</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ADM 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6.162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Anti virus</w:t>
            </w:r>
          </w:p>
        </w:tc>
        <w:tc>
          <w:tcPr>
            <w:tcW w:w="499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Reports on antivirus updates and deployments(EPO)</w:t>
            </w:r>
          </w:p>
        </w:tc>
        <w:tc>
          <w:tcPr>
            <w:tcW w:w="126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As Required</w:t>
            </w:r>
          </w:p>
        </w:tc>
        <w:tc>
          <w:tcPr>
            <w:tcW w:w="162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manager</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r>
    </w:tbl>
    <w:p>
      <w:pPr>
        <w:pStyle w:val="Heading1Numbered"/>
        <w:numPr>
          <w:ilvl w:val="0"/>
          <w:numId w:val="0"/>
        </w:numPr>
        <w:ind w:hanging="720" w:start="900" w:end="0"/>
        <w:rPr>
          <w:sz w:val="22"/>
          <w:szCs w:val="22"/>
        </w:rPr>
      </w:pPr>
      <w:r>
        <w:rPr>
          <w:sz w:val="22"/>
          <w:szCs w:val="22"/>
        </w:rPr>
      </w:r>
      <w:r>
        <w:br w:type="page"/>
      </w:r>
    </w:p>
    <w:p>
      <w:pPr>
        <w:pStyle w:val="Heading1Numbered"/>
        <w:numPr>
          <w:ilvl w:val="0"/>
          <w:numId w:val="2"/>
        </w:numPr>
        <w:ind w:hanging="0" w:start="0"/>
        <w:rPr>
          <w:sz w:val="22"/>
          <w:szCs w:val="22"/>
        </w:rPr>
      </w:pPr>
      <w:bookmarkStart w:id="6" w:name="__RefHeading___Toc106693859"/>
      <w:r>
        <w:rPr>
          <w:sz w:val="22"/>
          <w:szCs w:val="22"/>
        </w:rPr>
        <w:t>Service desk</w:t>
      </w:r>
      <w:bookmarkEnd w:id="6"/>
      <w:r>
        <w:rPr>
          <w:sz w:val="22"/>
          <w:szCs w:val="22"/>
        </w:rPr>
        <w:t xml:space="preserve"> Reports</w:t>
      </w:r>
    </w:p>
    <w:tbl>
      <w:tblPr>
        <w:tblW w:w="15345" w:type="dxa"/>
        <w:jc w:val="center"/>
        <w:tblInd w:w="0" w:type="dxa"/>
        <w:tblLayout w:type="fixed"/>
        <w:tblCellMar>
          <w:top w:w="0" w:type="dxa"/>
          <w:start w:w="108" w:type="dxa"/>
          <w:bottom w:w="0" w:type="dxa"/>
          <w:end w:w="108" w:type="dxa"/>
        </w:tblCellMar>
      </w:tblPr>
      <w:tblGrid>
        <w:gridCol w:w="652"/>
        <w:gridCol w:w="900"/>
        <w:gridCol w:w="2340"/>
        <w:gridCol w:w="5940"/>
        <w:gridCol w:w="1440"/>
        <w:gridCol w:w="1260"/>
        <w:gridCol w:w="900"/>
        <w:gridCol w:w="900"/>
        <w:gridCol w:w="1013"/>
      </w:tblGrid>
      <w:tr>
        <w:trPr>
          <w:tblHeader w:val="true"/>
        </w:trPr>
        <w:tc>
          <w:tcPr>
            <w:tcW w:w="652"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jc w:val="center"/>
              <w:rPr>
                <w:b/>
                <w:bCs/>
                <w:sz w:val="18"/>
                <w:szCs w:val="18"/>
              </w:rPr>
            </w:pPr>
            <w:r>
              <w:rPr>
                <w:b/>
                <w:bCs/>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3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59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4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26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013"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1</w:t>
            </w:r>
          </w:p>
        </w:tc>
        <w:tc>
          <w:tcPr>
            <w:tcW w:w="59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The average pickup time.</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2</w:t>
            </w:r>
          </w:p>
        </w:tc>
        <w:tc>
          <w:tcPr>
            <w:tcW w:w="59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The speed and accuracy of the creation of an ticket. </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3</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sz w:val="18"/>
                <w:szCs w:val="18"/>
              </w:rPr>
              <w:t>The percentage of all call’s direct solved without dispatching (1</w:t>
            </w:r>
            <w:r>
              <w:rPr>
                <w:sz w:val="18"/>
                <w:szCs w:val="18"/>
                <w:vertAlign w:val="superscript"/>
              </w:rPr>
              <w:t>st</w:t>
            </w:r>
            <w:r>
              <w:rPr>
                <w:sz w:val="18"/>
                <w:szCs w:val="18"/>
              </w:rPr>
              <w:t xml:space="preserve"> Line Support)</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color w:val="000000"/>
                <w:sz w:val="18"/>
                <w:szCs w:val="18"/>
              </w:rPr>
            </w:pPr>
            <w:r>
              <w:rPr>
                <w:color w:val="000000"/>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4</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sz w:val="18"/>
                <w:szCs w:val="18"/>
              </w:rPr>
              <w:t>Give an alert to the party who fill-in the 2IM bundle by any call just before it reaches the maximum call to fix time if it isen¹t solved.</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color w:val="000000"/>
                <w:sz w:val="18"/>
                <w:szCs w:val="18"/>
              </w:rPr>
            </w:pPr>
            <w:r>
              <w:rPr>
                <w:color w:val="000000"/>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5</w:t>
            </w:r>
          </w:p>
        </w:tc>
        <w:tc>
          <w:tcPr>
            <w:tcW w:w="59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Provision of 1st Line Support shall be calculated as the number of First Call Resolvable Calls that are actually resolved in a month during an Authorized User’s first call to the Service Desk, divided by the total of all First Call Resolvable Calls during that month during, with the result expressed as a percentage. For purposes of clarification, a call shall be “actually resolved” during the Authorized User’s first call to the Service Desk, as used in the previous sentence, only if the person who first answers the phone call resolves the problem, not if the first person who answers the phone call passes off the caller to another party who resolves the problem.</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6</w:t>
            </w:r>
          </w:p>
        </w:tc>
        <w:tc>
          <w:tcPr>
            <w:tcW w:w="59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Authorized communication Abandon Rate shall be calculated as the percentage of all Calls by an Authorized User in the queue to be answered by a Service Desk representative or Automated Resolution Process that are terminated prior to such answer. Calls in which the Authorized User selects to leave a voice mail message initially instead of waiting for a Service Desk representative shall be excluded from the measurement.</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7</w:t>
            </w:r>
          </w:p>
        </w:tc>
        <w:tc>
          <w:tcPr>
            <w:tcW w:w="5940" w:type="dxa"/>
            <w:tcBorders>
              <w:top w:val="single" w:sz="4" w:space="0" w:color="000000"/>
              <w:start w:val="single" w:sz="4" w:space="0" w:color="000000"/>
              <w:bottom w:val="single" w:sz="4" w:space="0" w:color="000000"/>
              <w:end w:val="single" w:sz="4" w:space="0" w:color="000000"/>
            </w:tcBorders>
          </w:tcPr>
          <w:p>
            <w:pPr>
              <w:pStyle w:val="Normal"/>
              <w:rPr/>
            </w:pPr>
            <w:r>
              <w:rPr>
                <w:sz w:val="18"/>
                <w:szCs w:val="18"/>
              </w:rPr>
              <w:t>Provision of request services will be measured against speed and accuracy of the creation of an IMAC ticket. The Supplier’s responsiveness to Authorized User calls (including all authorized media such as voice, and structured e-mail) to the Service Desk and the efficiency and effectiveness of Supplier’s IMAC resolution processes are essential.</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8</w:t>
            </w:r>
          </w:p>
        </w:tc>
        <w:tc>
          <w:tcPr>
            <w:tcW w:w="59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Desk accuracy of incident and IMAC ticket routing shall be calculated as the number of Problems during the month for which trouble tickets were reopened at the Service Desk or are solved by an Automated Resolution Process, divided by the total number of Calls during the month for which trouble tickets were opened at the Service Desk or are solved by an Automated Resolution Process, with the result expressed as a percentage.</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Report 9</w:t>
            </w:r>
          </w:p>
        </w:tc>
        <w:tc>
          <w:tcPr>
            <w:tcW w:w="59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Summary of above mentioned reports 1-8</w:t>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Telephone</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Offered, answered, queued, target, average queue time, abandoned, target, average abandoned time, response rate 30 sec</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Logged ARS calls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Total new, incidents, forms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Resolved</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SD, OS, CL, CFS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Processed</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Closed SD, assigned, total</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Solving Rate</w:t>
            </w:r>
          </w:p>
        </w:tc>
        <w:tc>
          <w:tcPr>
            <w:tcW w:w="594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18"/>
                <w:szCs w:val="18"/>
              </w:rPr>
              <w:t>1st line rate incidents, target, 1</w:t>
            </w:r>
            <w:r>
              <w:rPr>
                <w:color w:val="000000"/>
                <w:sz w:val="18"/>
                <w:szCs w:val="18"/>
                <w:vertAlign w:val="superscript"/>
              </w:rPr>
              <w:t>st</w:t>
            </w:r>
            <w:r>
              <w:rPr>
                <w:color w:val="000000"/>
                <w:sz w:val="18"/>
                <w:szCs w:val="18"/>
              </w:rPr>
              <w:t xml:space="preserve"> line rate telephone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SDE BSC Figures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Total nr. of worked hours by agents, total number of incidents, % solved, Cum. No. of open incidents, coming soon, % abandoned calls, Response rate within 30 sec. Percentage raised by phone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Total</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Received, forms closed, forms open, performance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Workstations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Received, forms closed, performance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Laptops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Received, forms closed, performance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7.19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Mobile phone and access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Received, forms closed, performance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Standard part</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Received, forms closed, performance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Non Standard</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Received, forms closed, performance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Hardware request forms including mobile phones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Workstation, laptop, mobile phone, Standard part, Non-standard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KPI Forms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Forms processed, forms closed, average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52"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 xml:space="preserve">Request forms </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Disk Space, User ID, Backup/Restore, Request duplicates, Other</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13"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Heading1Numbered"/>
        <w:numPr>
          <w:ilvl w:val="0"/>
          <w:numId w:val="0"/>
        </w:numPr>
        <w:ind w:hanging="0" w:start="0"/>
        <w:rPr>
          <w:rFonts w:ascii="Times New Roman" w:hAnsi="Times New Roman" w:cs="Times New Roman"/>
          <w:sz w:val="20"/>
        </w:rPr>
      </w:pPr>
      <w:r>
        <w:rPr>
          <w:rFonts w:cs="Times New Roman" w:ascii="Times New Roman" w:hAnsi="Times New Roman"/>
          <w:sz w:val="20"/>
        </w:rPr>
      </w:r>
    </w:p>
    <w:tbl>
      <w:tblPr>
        <w:tblW w:w="15334" w:type="dxa"/>
        <w:jc w:val="center"/>
        <w:tblInd w:w="0" w:type="dxa"/>
        <w:tblLayout w:type="fixed"/>
        <w:tblCellMar>
          <w:top w:w="0" w:type="dxa"/>
          <w:start w:w="108" w:type="dxa"/>
          <w:bottom w:w="0" w:type="dxa"/>
          <w:end w:w="108" w:type="dxa"/>
        </w:tblCellMar>
      </w:tblPr>
      <w:tblGrid>
        <w:gridCol w:w="646"/>
        <w:gridCol w:w="900"/>
        <w:gridCol w:w="2340"/>
        <w:gridCol w:w="5940"/>
        <w:gridCol w:w="1440"/>
        <w:gridCol w:w="1260"/>
        <w:gridCol w:w="900"/>
        <w:gridCol w:w="900"/>
        <w:gridCol w:w="1008"/>
      </w:tblGrid>
      <w:tr>
        <w:trPr>
          <w:tblHeader w:val="true"/>
        </w:trPr>
        <w:tc>
          <w:tcPr>
            <w:tcW w:w="646"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jc w:val="center"/>
              <w:rPr>
                <w:b/>
                <w:bCs/>
                <w:sz w:val="18"/>
                <w:szCs w:val="18"/>
              </w:rPr>
            </w:pPr>
            <w:r>
              <w:rPr>
                <w:b/>
                <w:bCs/>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3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59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4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26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008"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General service level indicators (gsli) isabel</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Contraste Staff Availability during Service Hours (minimum) - percentage relative to the total Working Units to be executed by Contraste staff in the reference semester, Contraste Number of Staff Available during Service Hours (minimum) - Target Days, Contraste Staff Turnover (maximum). Calls recording in CRM tool. Operators Customer Care attitude (min.)</w:t>
            </w:r>
          </w:p>
          <w:p>
            <w:pPr>
              <w:pStyle w:val="Normal"/>
              <w:rPr>
                <w:color w:val="000000"/>
                <w:sz w:val="18"/>
                <w:szCs w:val="18"/>
              </w:rPr>
            </w:pPr>
            <w:r>
              <w:rPr>
                <w:color w:val="000000"/>
                <w:sz w:val="18"/>
                <w:szCs w:val="18"/>
              </w:rPr>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Homebank</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Contraste Number of Staff Available during Service Hours (minimum) – Saturdays. Contraste Staff Turnover (maximum). Special Service Activity (maximum). Operators Customer Care attitude (min.)</w:t>
            </w:r>
          </w:p>
          <w:p>
            <w:pPr>
              <w:pStyle w:val="Normal"/>
              <w:rPr>
                <w:color w:val="000000"/>
                <w:sz w:val="18"/>
                <w:szCs w:val="18"/>
              </w:rPr>
            </w:pPr>
            <w:r>
              <w:rPr>
                <w:color w:val="000000"/>
                <w:sz w:val="18"/>
                <w:szCs w:val="18"/>
              </w:rPr>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Key service level indicators (ksli) - impact coding convention</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Waiting for Peregrine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Isabel support service level 1 (sl1)</w:t>
            </w:r>
          </w:p>
        </w:tc>
        <w:tc>
          <w:tcPr>
            <w:tcW w:w="594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18"/>
                <w:szCs w:val="18"/>
              </w:rPr>
              <w:t>First contact resolution rate (1st level support). Inbound Calls handling. Incidents service desk resolution rate (2nd level support). Number of calls. Average Queue Time. Average Speed of Answer. Abandoned Calls. Average 7.20Time Call IN Incidents Handling. Afte7.21r Call Work IN Call. Outbound Calls for7.22 Incidents handling. Average Time Call OUT for Incidents handling</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7.29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caps/>
                <w:sz w:val="18"/>
                <w:szCs w:val="18"/>
              </w:rPr>
            </w:pPr>
            <w:r>
              <w:rPr>
                <w:color w:val="000000"/>
                <w:sz w:val="18"/>
                <w:szCs w:val="18"/>
              </w:rPr>
              <w:t>Homebank support service level 2 (sl2)</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Incidents Solved by Service Desk without escalation to other levels of support. Incidents / Requests. Incidents handled by Service Desk 2nd level. Number of incidents. Incidents / Requests received by other channels than Peregrine Incidents  - Exceptional Service Channel (maximum). Outbound Calls and Work for Incidents handling. Average Time Call OUT for Incidents handling. Average work time to solve each Incident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EuroBank pad service level 3 (sl3)</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Warning notice concerning planned changes to PAD concepts and tools. Usage of the correct support request channel. Acknowledgement of support requests reception</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EuroBank cc sw development service level 4 (sl4)</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Warning notice concerning planned changes to CC-developed SW and tools. Usage of the correct support request channel. Acknowledgement of support requests reception</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EuroBank it service level 5 (sl5)</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Warning notice concerning planned changes to ITS infrastructure. ITS infrastructure service breaks (maximum % of Monthly service hours). ITS infrastructure Degraded Service Mode (maximum % of Monthly service hours)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EuroBank isa admin &amp; support service level 6 (sl6)</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Currently no measured SLs.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EuroBank channel management service level 8 (sl8)</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Acknowledgement of support requests reception</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Flits/flib general service level indicators (gsli)</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Contraste Staff Availability during Service Hours (minimum) - percentage relative to the total Working Units to be executed by Contraste staff in the reference semester. Contraste Number of Staff Available during Service Hours (minimum) - Saturdays and Target days. Contraste Number of Staff Available during Service Hours (minimum) - Sundays and Bank Holidays. Personnel rotation in 12 months (max.). Contraste Staff Turnover (maximum). Exceptional Service Requests (maximum). Operators Customer Care attitude (min.)</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Flits/flib (sla 2/ alarms and selfs)</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Calls handling rate at 1st level support (minimum). TPA Alerts and Messages per month. Average Speed of Handling when not Escalated, except missing cash alarms (maximum). Average Handling Work Time. Average Incidents Escalation delay to 2nd level, other than for EuroBank Technics (Peregrine escalated/handled)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Flits/flib (sla 3/ help-desk)</w:t>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First contact resolution rate (1st level support), for the first 3 months of service. First contact resolution rate (1st level support), after the first 3 months of service. Calls and Incidents per month. Number of documented complaints related to lack of Calls recording in CRM tool. Average Queue Time -&gt; Average Speed of Answer. Maximum Queue Time (longest delay) of 180 sec. Average Speed of Answer -&gt; Average Ring Time. Maximum Speed of Answer (longest delay) of 60 sec. Average Abandoned Calls, for the first 3 months of service. Average Abandoned Calls, after the first 3 months of service. Average Time Call IN for Incidents Handling -&gt; Average Talk Time. Average After Call Work</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Flits/flid general service level indicators (gsli)</w:t>
            </w:r>
          </w:p>
        </w:tc>
        <w:tc>
          <w:tcPr>
            <w:tcW w:w="5940" w:type="dxa"/>
            <w:tcBorders>
              <w:top w:val="single" w:sz="4" w:space="0" w:color="000000"/>
              <w:start w:val="single" w:sz="4" w:space="0" w:color="000000"/>
              <w:bottom w:val="single" w:sz="4" w:space="0" w:color="000000"/>
              <w:end w:val="single" w:sz="4" w:space="0" w:color="000000"/>
            </w:tcBorders>
          </w:tcPr>
          <w:p>
            <w:pPr>
              <w:pStyle w:val="Normal"/>
              <w:rPr/>
            </w:pPr>
            <w:r>
              <w:rPr>
                <w:color w:val="000000"/>
                <w:sz w:val="18"/>
                <w:szCs w:val="18"/>
              </w:rPr>
              <w:t>Contraste Staff Availability during Service Hours (minimum) - percentage relative to the total Working Units to be executed by Contraste staff in the reference semester. Personnel rotation 7.30in 12 months (max.). Contraste Staff Turnover (maximum). Exceptional Service Requests (maximum). Operators Customer Care attitude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46"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7.39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color w:val="000000"/>
                <w:sz w:val="18"/>
                <w:szCs w:val="18"/>
              </w:rPr>
            </w:pPr>
            <w:r>
              <w:rPr>
                <w:color w:val="000000"/>
                <w:sz w:val="18"/>
                <w:szCs w:val="18"/>
              </w:rPr>
              <w:t>Flits/flid (sla 1/ help-desk)</w:t>
            </w:r>
          </w:p>
          <w:p>
            <w:pPr>
              <w:pStyle w:val="TableText"/>
              <w:rPr>
                <w:color w:val="000000"/>
                <w:sz w:val="18"/>
                <w:szCs w:val="18"/>
              </w:rPr>
            </w:pPr>
            <w:r>
              <w:rPr>
                <w:color w:val="000000"/>
                <w:sz w:val="18"/>
                <w:szCs w:val="18"/>
              </w:rPr>
            </w:r>
          </w:p>
        </w:tc>
        <w:tc>
          <w:tcPr>
            <w:tcW w:w="594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Calls handling rate at 1st level support (minimum). First contact resolution rate (1st level support), for the first 3 months of service. First contact resolution rate (1st level support), after the first 3 months of service. Calls and Incidents per month. Number of documented complaints related to lack of Calls recording in CRM tool. Average Queue Time-&gt; Average Speed of Answer. Maximum Queue Time (longest delay) of 180 sec. Average Speed of Answer-&gt; Average Ring Time. Maximum Speed of Answer (longest delay) of 60 sec. Average Abandoned Calls, for the first 3 months of service. Average Abandoned Calls, after the first 3 months of service. Average Time Call IN for Incidents Handling -&gt; Average Talk Time. Average After Call Work</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08"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Heading1Numbered"/>
        <w:numPr>
          <w:ilvl w:val="0"/>
          <w:numId w:val="0"/>
        </w:numPr>
        <w:ind w:hanging="0" w:start="0"/>
        <w:rPr>
          <w:rFonts w:ascii="Times New Roman" w:hAnsi="Times New Roman" w:cs="Times New Roman"/>
          <w:sz w:val="20"/>
        </w:rPr>
      </w:pPr>
      <w:r>
        <w:rPr>
          <w:rFonts w:cs="Times New Roman" w:ascii="Times New Roman" w:hAnsi="Times New Roman"/>
          <w:sz w:val="20"/>
        </w:rPr>
      </w:r>
    </w:p>
    <w:tbl>
      <w:tblPr>
        <w:tblW w:w="15355" w:type="dxa"/>
        <w:jc w:val="center"/>
        <w:tblInd w:w="0" w:type="dxa"/>
        <w:tblLayout w:type="fixed"/>
        <w:tblCellMar>
          <w:top w:w="0" w:type="dxa"/>
          <w:start w:w="108" w:type="dxa"/>
          <w:bottom w:w="0" w:type="dxa"/>
          <w:end w:w="108" w:type="dxa"/>
        </w:tblCellMar>
      </w:tblPr>
      <w:tblGrid>
        <w:gridCol w:w="585"/>
        <w:gridCol w:w="900"/>
        <w:gridCol w:w="2340"/>
        <w:gridCol w:w="5950"/>
        <w:gridCol w:w="1440"/>
        <w:gridCol w:w="1260"/>
        <w:gridCol w:w="900"/>
        <w:gridCol w:w="900"/>
        <w:gridCol w:w="1080"/>
      </w:tblGrid>
      <w:tr>
        <w:trPr>
          <w:tblHeader w:val="true"/>
        </w:trPr>
        <w:tc>
          <w:tcPr>
            <w:tcW w:w="585" w:type="dxa"/>
            <w:tcBorders>
              <w:top w:val="single" w:sz="4" w:space="0" w:color="000000"/>
              <w:start w:val="single" w:sz="4" w:space="0" w:color="000000"/>
              <w:bottom w:val="single" w:sz="4" w:space="0" w:color="000000"/>
              <w:end w:val="single" w:sz="4" w:space="0" w:color="000000"/>
            </w:tcBorders>
            <w:shd w:fill="C0C0C0" w:val="clear"/>
            <w:vAlign w:val="center"/>
          </w:tcPr>
          <w:p>
            <w:pPr>
              <w:pStyle w:val="Normal"/>
              <w:jc w:val="center"/>
              <w:rPr>
                <w:b/>
                <w:bCs/>
                <w:sz w:val="18"/>
                <w:szCs w:val="18"/>
              </w:rPr>
            </w:pPr>
            <w:r>
              <w:rPr>
                <w:b/>
                <w:bCs/>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3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595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44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26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080" w:type="dxa"/>
            <w:tcBorders>
              <w:top w:val="single" w:sz="4" w:space="0" w:color="000000"/>
              <w:start w:val="single" w:sz="4" w:space="0" w:color="000000"/>
              <w:bottom w:val="single" w:sz="4" w:space="0" w:color="000000"/>
              <w:end w:val="single" w:sz="4" w:space="0" w:color="000000"/>
            </w:tcBorders>
            <w:shd w:fill="C0C0C0"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Conference call report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for the previous day:- how many offered telephone calls</w:t>
            </w:r>
          </w:p>
          <w:p>
            <w:pPr>
              <w:pStyle w:val="Normal"/>
              <w:rPr>
                <w:color w:val="000000"/>
                <w:sz w:val="18"/>
                <w:szCs w:val="18"/>
              </w:rPr>
            </w:pPr>
            <w:r>
              <w:rPr>
                <w:color w:val="000000"/>
                <w:sz w:val="18"/>
                <w:szCs w:val="18"/>
              </w:rPr>
              <w:t>- how many answered telephone calls</w:t>
            </w:r>
          </w:p>
          <w:p>
            <w:pPr>
              <w:pStyle w:val="Normal"/>
              <w:rPr>
                <w:color w:val="000000"/>
                <w:sz w:val="18"/>
                <w:szCs w:val="18"/>
              </w:rPr>
            </w:pPr>
            <w:r>
              <w:rPr>
                <w:color w:val="000000"/>
                <w:sz w:val="18"/>
                <w:szCs w:val="18"/>
              </w:rPr>
              <w:t>- how many abandoned telephone calls</w:t>
            </w:r>
          </w:p>
          <w:p>
            <w:pPr>
              <w:pStyle w:val="Normal"/>
              <w:rPr>
                <w:color w:val="000000"/>
                <w:sz w:val="18"/>
                <w:szCs w:val="18"/>
              </w:rPr>
            </w:pPr>
            <w:r>
              <w:rPr>
                <w:color w:val="000000"/>
                <w:sz w:val="18"/>
                <w:szCs w:val="18"/>
              </w:rPr>
              <w:t>- how many Resolved calls</w:t>
            </w:r>
          </w:p>
          <w:p>
            <w:pPr>
              <w:pStyle w:val="Normal"/>
              <w:rPr>
                <w:color w:val="000000"/>
                <w:sz w:val="18"/>
                <w:szCs w:val="18"/>
              </w:rPr>
            </w:pPr>
            <w:r>
              <w:rPr>
                <w:color w:val="000000"/>
                <w:sz w:val="18"/>
                <w:szCs w:val="18"/>
              </w:rPr>
              <w:t>- how many calls assigned to back office</w:t>
            </w:r>
          </w:p>
          <w:p>
            <w:pPr>
              <w:pStyle w:val="Normal"/>
              <w:rPr>
                <w:color w:val="000000"/>
                <w:sz w:val="18"/>
                <w:szCs w:val="18"/>
              </w:rPr>
            </w:pPr>
            <w:r>
              <w:rPr>
                <w:color w:val="000000"/>
                <w:sz w:val="18"/>
                <w:szCs w:val="18"/>
              </w:rPr>
              <w:t>- how many Wait On Reaction Client calls (WORC)</w:t>
            </w:r>
          </w:p>
          <w:p>
            <w:pPr>
              <w:pStyle w:val="Normal"/>
              <w:rPr>
                <w:color w:val="000000"/>
                <w:sz w:val="18"/>
                <w:szCs w:val="18"/>
              </w:rPr>
            </w:pPr>
            <w:r>
              <w:rPr>
                <w:color w:val="000000"/>
                <w:sz w:val="18"/>
                <w:szCs w:val="18"/>
              </w:rPr>
              <w:t>- how many calls in back office queue</w:t>
            </w:r>
          </w:p>
          <w:p>
            <w:pPr>
              <w:pStyle w:val="Normal"/>
              <w:rPr>
                <w:color w:val="000000"/>
                <w:sz w:val="18"/>
                <w:szCs w:val="18"/>
              </w:rPr>
            </w:pPr>
            <w:r>
              <w:rPr>
                <w:color w:val="000000"/>
                <w:sz w:val="18"/>
                <w:szCs w:val="18"/>
              </w:rPr>
              <w:t>- how many calls in LSO queue</w:t>
            </w:r>
          </w:p>
          <w:p>
            <w:pPr>
              <w:pStyle w:val="Normal"/>
              <w:rPr>
                <w:color w:val="000000"/>
                <w:sz w:val="18"/>
                <w:szCs w:val="18"/>
              </w:rPr>
            </w:pPr>
            <w:r>
              <w:rPr>
                <w:color w:val="000000"/>
                <w:sz w:val="18"/>
                <w:szCs w:val="18"/>
              </w:rPr>
              <w:t>- number of ill agents</w:t>
            </w:r>
          </w:p>
          <w:p>
            <w:pPr>
              <w:pStyle w:val="Normal"/>
              <w:rPr>
                <w:color w:val="000000"/>
                <w:sz w:val="18"/>
                <w:szCs w:val="18"/>
              </w:rPr>
            </w:pPr>
            <w:r>
              <w:rPr>
                <w:color w:val="000000"/>
                <w:sz w:val="18"/>
                <w:szCs w:val="18"/>
              </w:rPr>
              <w:t>- how many open incidents</w:t>
            </w:r>
          </w:p>
          <w:p>
            <w:pPr>
              <w:pStyle w:val="Normal"/>
              <w:rPr>
                <w:color w:val="000000"/>
                <w:sz w:val="18"/>
                <w:szCs w:val="18"/>
              </w:rPr>
            </w:pPr>
            <w:r>
              <w:rPr>
                <w:color w:val="000000"/>
                <w:sz w:val="18"/>
                <w:szCs w:val="18"/>
              </w:rPr>
              <w:t>- how many incidents exceeding time limit</w:t>
            </w:r>
          </w:p>
          <w:p>
            <w:pPr>
              <w:pStyle w:val="Normal"/>
              <w:rPr>
                <w:color w:val="000000"/>
                <w:sz w:val="18"/>
                <w:szCs w:val="18"/>
              </w:rPr>
            </w:pPr>
            <w:r>
              <w:rPr>
                <w:color w:val="000000"/>
                <w:sz w:val="18"/>
                <w:szCs w:val="18"/>
              </w:rPr>
              <w:t>- how many escalated incidents</w:t>
            </w:r>
          </w:p>
          <w:p>
            <w:pPr>
              <w:pStyle w:val="Normal"/>
              <w:rPr>
                <w:color w:val="000000"/>
                <w:sz w:val="18"/>
                <w:szCs w:val="18"/>
              </w:rPr>
            </w:pPr>
            <w:r>
              <w:rPr>
                <w:color w:val="000000"/>
                <w:sz w:val="18"/>
                <w:szCs w:val="18"/>
              </w:rPr>
              <w:t>- how many Emails waiting for registration</w:t>
            </w:r>
          </w:p>
          <w:p>
            <w:pPr>
              <w:pStyle w:val="Normal"/>
              <w:rPr>
                <w:color w:val="000000"/>
                <w:sz w:val="18"/>
                <w:szCs w:val="18"/>
              </w:rPr>
            </w:pPr>
            <w:r>
              <w:rPr>
                <w:color w:val="000000"/>
                <w:sz w:val="18"/>
                <w:szCs w:val="18"/>
              </w:rPr>
              <w:t>- how many Forms waiting for registration</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Front Office report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for the previous week:</w:t>
            </w:r>
          </w:p>
          <w:p>
            <w:pPr>
              <w:pStyle w:val="Normal"/>
              <w:rPr>
                <w:color w:val="000000"/>
                <w:sz w:val="18"/>
                <w:szCs w:val="18"/>
              </w:rPr>
            </w:pPr>
            <w:r>
              <w:rPr>
                <w:color w:val="000000"/>
                <w:sz w:val="18"/>
                <w:szCs w:val="18"/>
              </w:rPr>
              <w:t>- how many offered telephone calls</w:t>
            </w:r>
          </w:p>
          <w:p>
            <w:pPr>
              <w:pStyle w:val="Normal"/>
              <w:rPr>
                <w:color w:val="000000"/>
                <w:sz w:val="18"/>
                <w:szCs w:val="18"/>
              </w:rPr>
            </w:pPr>
            <w:r>
              <w:rPr>
                <w:color w:val="000000"/>
                <w:sz w:val="18"/>
                <w:szCs w:val="18"/>
              </w:rPr>
              <w:t>- how many answered telephone calls</w:t>
            </w:r>
          </w:p>
          <w:p>
            <w:pPr>
              <w:pStyle w:val="Normal"/>
              <w:rPr>
                <w:color w:val="000000"/>
                <w:sz w:val="18"/>
                <w:szCs w:val="18"/>
              </w:rPr>
            </w:pPr>
            <w:r>
              <w:rPr>
                <w:color w:val="000000"/>
                <w:sz w:val="18"/>
                <w:szCs w:val="18"/>
              </w:rPr>
              <w:t>- Service Level</w:t>
            </w:r>
          </w:p>
          <w:p>
            <w:pPr>
              <w:pStyle w:val="Normal"/>
              <w:rPr>
                <w:color w:val="000000"/>
                <w:sz w:val="18"/>
                <w:szCs w:val="18"/>
              </w:rPr>
            </w:pPr>
            <w:r>
              <w:rPr>
                <w:color w:val="000000"/>
                <w:sz w:val="18"/>
                <w:szCs w:val="18"/>
              </w:rPr>
              <w:t>- how many of telephone calls answered within 60 seconds</w:t>
            </w:r>
          </w:p>
          <w:p>
            <w:pPr>
              <w:pStyle w:val="Normal"/>
              <w:rPr>
                <w:color w:val="000000"/>
                <w:sz w:val="18"/>
                <w:szCs w:val="18"/>
              </w:rPr>
            </w:pPr>
            <w:r>
              <w:rPr>
                <w:color w:val="000000"/>
                <w:sz w:val="18"/>
                <w:szCs w:val="18"/>
              </w:rPr>
              <w:t>- how many working hours (needed/ available and average)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Agent performance report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per agent:</w:t>
            </w:r>
          </w:p>
          <w:p>
            <w:pPr>
              <w:pStyle w:val="Normal"/>
              <w:rPr>
                <w:color w:val="000000"/>
                <w:sz w:val="18"/>
                <w:szCs w:val="18"/>
              </w:rPr>
            </w:pPr>
            <w:r>
              <w:rPr>
                <w:color w:val="000000"/>
                <w:sz w:val="18"/>
                <w:szCs w:val="18"/>
              </w:rPr>
              <w:t>- Handling time</w:t>
            </w:r>
          </w:p>
          <w:p>
            <w:pPr>
              <w:pStyle w:val="Normal"/>
              <w:rPr>
                <w:color w:val="000000"/>
                <w:sz w:val="18"/>
                <w:szCs w:val="18"/>
              </w:rPr>
            </w:pPr>
            <w:r>
              <w:rPr>
                <w:color w:val="000000"/>
                <w:sz w:val="18"/>
                <w:szCs w:val="18"/>
              </w:rPr>
              <w:t>- Percentage Not Ready</w:t>
            </w:r>
          </w:p>
          <w:p>
            <w:pPr>
              <w:pStyle w:val="Normal"/>
              <w:rPr>
                <w:color w:val="000000"/>
                <w:sz w:val="18"/>
                <w:szCs w:val="18"/>
              </w:rPr>
            </w:pPr>
            <w:r>
              <w:rPr>
                <w:color w:val="000000"/>
                <w:sz w:val="18"/>
                <w:szCs w:val="18"/>
              </w:rPr>
              <w:t>- number of Ring No Answer (RNA)</w:t>
            </w:r>
          </w:p>
          <w:p>
            <w:pPr>
              <w:pStyle w:val="BodyText2"/>
              <w:rPr>
                <w:sz w:val="18"/>
                <w:szCs w:val="18"/>
              </w:rPr>
            </w:pPr>
            <w:r>
              <w:rPr>
                <w:sz w:val="18"/>
                <w:szCs w:val="18"/>
              </w:rPr>
              <w:t>- Registration percentage (number of registrations / number of answered telephone calls)</w:t>
            </w:r>
          </w:p>
          <w:p>
            <w:pPr>
              <w:pStyle w:val="Normal"/>
              <w:rPr>
                <w:color w:val="000000"/>
                <w:sz w:val="18"/>
                <w:szCs w:val="18"/>
              </w:rPr>
            </w:pPr>
            <w:r>
              <w:rPr>
                <w:color w:val="000000"/>
                <w:sz w:val="18"/>
                <w:szCs w:val="18"/>
              </w:rPr>
              <w:t>- Feedback calls reported over agent</w:t>
            </w:r>
          </w:p>
          <w:p>
            <w:pPr>
              <w:pStyle w:val="Normal"/>
              <w:rPr>
                <w:color w:val="000000"/>
                <w:sz w:val="18"/>
                <w:szCs w:val="18"/>
              </w:rPr>
            </w:pPr>
            <w:r>
              <w:rPr>
                <w:color w:val="000000"/>
                <w:sz w:val="18"/>
                <w:szCs w:val="18"/>
              </w:rPr>
              <w:t>- Quality of registrations by agent</w:t>
            </w:r>
          </w:p>
          <w:p>
            <w:pPr>
              <w:pStyle w:val="Normal"/>
              <w:rPr>
                <w:color w:val="000000"/>
                <w:sz w:val="18"/>
                <w:szCs w:val="18"/>
              </w:rPr>
            </w:pPr>
            <w:r>
              <w:rPr>
                <w:color w:val="000000"/>
                <w:sz w:val="18"/>
                <w:szCs w:val="18"/>
              </w:rPr>
              <w:t>- Attitude score</w:t>
            </w:r>
          </w:p>
          <w:p>
            <w:pPr>
              <w:pStyle w:val="Normal"/>
              <w:rPr>
                <w:color w:val="000000"/>
                <w:sz w:val="18"/>
                <w:szCs w:val="18"/>
              </w:rPr>
            </w:pPr>
            <w:r>
              <w:rPr>
                <w:color w:val="000000"/>
                <w:sz w:val="18"/>
                <w:szCs w:val="18"/>
              </w:rPr>
              <w:t>- number of absent days due to sickness</w:t>
            </w:r>
          </w:p>
          <w:p>
            <w:pPr>
              <w:pStyle w:val="Normal"/>
              <w:rPr>
                <w:color w:val="000000"/>
                <w:sz w:val="18"/>
                <w:szCs w:val="18"/>
              </w:rPr>
            </w:pPr>
            <w:r>
              <w:rPr>
                <w:color w:val="000000"/>
                <w:sz w:val="18"/>
                <w:szCs w:val="18"/>
              </w:rPr>
              <w:t>- number of late arrivals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Agent quality tool</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per agent the quality of call taking and handling</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Feedback registration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Number of reported feedback calls per agent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Biweekly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Scheduling tool</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Complement of staffing by team</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color w:val="000000"/>
                <w:sz w:val="18"/>
                <w:szCs w:val="18"/>
              </w:rPr>
              <w:t>Service Desk report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Department performance previous month (KPI, projects etc.)</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 xml:space="preserve">Bereikbaarheid Service Desk” </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sz w:val="18"/>
                <w:szCs w:val="18"/>
              </w:rPr>
              <w:t>Average waiting time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Gemiddelde wachttijd van 60 sec. of minder”</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xml:space="preserve">Percentage of answered calls within 60 seconds </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7.49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Aantal geregistreerde incidenten afgelopen maand”</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xml:space="preserve">Total of registered incidents </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Initial Logging Time (ILT)”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Call taking time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Oplossend vermogen eerste lijn”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Incidents closed in the 1</w:t>
            </w:r>
            <w:r>
              <w:rPr>
                <w:color w:val="000000"/>
                <w:sz w:val="18"/>
                <w:szCs w:val="18"/>
                <w:vertAlign w:val="superscript"/>
              </w:rPr>
              <w:t>st</w:t>
            </w:r>
            <w:r>
              <w:rPr>
                <w:color w:val="000000"/>
                <w:sz w:val="18"/>
                <w:szCs w:val="18"/>
              </w:rPr>
              <w:t xml:space="preserve"> line </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Percentage incidenten binnen 1 werkdag (11 uur) opgelost”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of incidents closed within 1 working day (11 hours)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Gewogen gemiddelde routeringsindex alle prioriteiten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Average of assignment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Prioriteit 1 incidenten binnen de norm opgelost”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Priority 1 incidents closed within standard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7.55</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Prioriteit 2 incidenten binnen de norm opgelost”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Priority 2 incidents closed within standard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7.56</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Prioriteit 3 incidenten binnen de norm opgelost”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Priority 3 incidents closed within standard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7.57</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Prioriteit 4 incidenten binnen de norm opgelost”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Priority 4 incidents closed within standard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7.58</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Gewogen gemiddelde alle prioriteiten binnen de norm opgelost”</w:t>
            </w:r>
          </w:p>
        </w:tc>
        <w:tc>
          <w:tcPr>
            <w:tcW w:w="5950" w:type="dxa"/>
            <w:tcBorders>
              <w:top w:val="single" w:sz="4" w:space="0" w:color="000000"/>
              <w:start w:val="single" w:sz="4" w:space="0" w:color="000000"/>
              <w:bottom w:val="single" w:sz="4" w:space="0" w:color="000000"/>
              <w:end w:val="single" w:sz="4" w:space="0" w:color="000000"/>
            </w:tcBorders>
          </w:tcPr>
          <w:p>
            <w:pPr>
              <w:pStyle w:val="Normal"/>
              <w:snapToGrid w:val="false"/>
              <w:rPr>
                <w:color w:val="000000"/>
                <w:sz w:val="18"/>
                <w:szCs w:val="18"/>
              </w:rPr>
            </w:pPr>
            <w:r>
              <w:rPr>
                <w:color w:val="000000"/>
                <w:sz w:val="18"/>
                <w:szCs w:val="18"/>
              </w:rPr>
            </w:r>
          </w:p>
        </w:tc>
        <w:tc>
          <w:tcPr>
            <w:tcW w:w="1440" w:type="dxa"/>
            <w:tcBorders>
              <w:top w:val="single" w:sz="4" w:space="0" w:color="000000"/>
              <w:start w:val="single" w:sz="4" w:space="0" w:color="000000"/>
              <w:bottom w:val="single" w:sz="4" w:space="0" w:color="000000"/>
              <w:end w:val="single" w:sz="4" w:space="0" w:color="000000"/>
            </w:tcBorders>
          </w:tcPr>
          <w:p>
            <w:pPr>
              <w:pStyle w:val="TableText"/>
              <w:snapToGrid w:val="false"/>
              <w:rPr>
                <w:color w:val="000000"/>
                <w:sz w:val="18"/>
                <w:szCs w:val="18"/>
              </w:rPr>
            </w:pPr>
            <w:r>
              <w:rPr>
                <w:color w:val="000000"/>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7.59</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Proces output: gesloten incidenten geassocieerd met een Configuration Item (CI)”</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Closed incident with CI</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7.60</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Proces output: gesloten incidenten met ingevuld Item (3de niveau v/d SCIM)”</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Closed incidents with Item</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Werk onder handen”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All incidents except solved.</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t>
            </w:r>
            <w:r>
              <w:rPr>
                <w:sz w:val="18"/>
                <w:szCs w:val="18"/>
              </w:rPr>
              <w:t>Leeftijd werk onder handen: percentage incidenten ouder dan 10 werkdagen”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of incidents older than 10 working days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7.63</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TOC4"/>
              <w:ind w:start="0" w:end="0"/>
              <w:rPr>
                <w:sz w:val="18"/>
                <w:szCs w:val="18"/>
              </w:rPr>
            </w:pPr>
            <w:r>
              <w:rPr>
                <w:sz w:val="18"/>
                <w:szCs w:val="18"/>
              </w:rPr>
              <w:t>“</w:t>
            </w:r>
            <w:r>
              <w:rPr>
                <w:sz w:val="18"/>
                <w:szCs w:val="18"/>
              </w:rPr>
              <w:t>Registratiegraad”</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of registered incidents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7.64</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Footer"/>
              <w:rPr>
                <w:sz w:val="18"/>
                <w:szCs w:val="18"/>
              </w:rPr>
            </w:pPr>
            <w:r>
              <w:rPr>
                <w:sz w:val="18"/>
                <w:szCs w:val="18"/>
              </w:rPr>
              <w:t>“</w:t>
            </w:r>
            <w:r>
              <w:rPr>
                <w:sz w:val="18"/>
                <w:szCs w:val="18"/>
              </w:rPr>
              <w:t>First Contact Closure”</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 of incidents closed at first contact</w:t>
            </w:r>
          </w:p>
        </w:tc>
        <w:tc>
          <w:tcPr>
            <w:tcW w:w="14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Caption"/>
              <w:snapToGrid w:val="false"/>
              <w:rPr>
                <w:b w:val="false"/>
                <w:sz w:val="18"/>
                <w:szCs w:val="18"/>
              </w:rPr>
            </w:pPr>
            <w:r>
              <w:rPr>
                <w:b w:val="false"/>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Caption"/>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Caption"/>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7.65</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lang w:val="nl-NL"/>
              </w:rPr>
            </w:pPr>
            <w:r>
              <w:rPr>
                <w:b w:val="false"/>
                <w:sz w:val="18"/>
                <w:szCs w:val="18"/>
                <w:lang w:val="nl-NL"/>
              </w:rPr>
              <w:t>“</w:t>
            </w:r>
            <w:r>
              <w:rPr>
                <w:b w:val="false"/>
                <w:sz w:val="18"/>
                <w:szCs w:val="18"/>
                <w:lang w:val="nl-NL"/>
              </w:rPr>
              <w:t>Aantal aangemaakte incidenten door CADS Service Desks”</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Registered incidents by CADS SD</w:t>
            </w:r>
          </w:p>
        </w:tc>
        <w:tc>
          <w:tcPr>
            <w:tcW w:w="14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Caption"/>
              <w:snapToGrid w:val="false"/>
              <w:rPr>
                <w:b w:val="false"/>
                <w:sz w:val="18"/>
                <w:szCs w:val="18"/>
              </w:rPr>
            </w:pPr>
            <w:r>
              <w:rPr>
                <w:b w:val="false"/>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Caption"/>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Caption"/>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7.66</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lang w:val="nl-NL"/>
              </w:rPr>
            </w:pPr>
            <w:r>
              <w:rPr>
                <w:b w:val="false"/>
                <w:sz w:val="18"/>
                <w:szCs w:val="18"/>
                <w:lang w:val="nl-NL"/>
              </w:rPr>
              <w:t>“</w:t>
            </w:r>
            <w:r>
              <w:rPr>
                <w:b w:val="false"/>
                <w:sz w:val="18"/>
                <w:szCs w:val="18"/>
                <w:lang w:val="nl-NL"/>
              </w:rPr>
              <w:t>Aantal aangemaakte incidenten niet door SD (Operations en vakgroepen)”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Number of incidents registered by Operations and support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7.67</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w:t>
            </w:r>
            <w:r>
              <w:rPr>
                <w:b w:val="false"/>
                <w:sz w:val="18"/>
                <w:szCs w:val="18"/>
              </w:rPr>
              <w:t>Totaal aantal aangemaakte incidenten”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Total of registered incidents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7.68</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lang w:val="nl-NL"/>
              </w:rPr>
            </w:pPr>
            <w:r>
              <w:rPr>
                <w:b w:val="false"/>
                <w:sz w:val="18"/>
                <w:szCs w:val="18"/>
                <w:lang w:val="nl-NL"/>
              </w:rPr>
              <w:t>“</w:t>
            </w:r>
            <w:r>
              <w:rPr>
                <w:b w:val="false"/>
                <w:sz w:val="18"/>
                <w:szCs w:val="18"/>
                <w:lang w:val="nl-NL"/>
              </w:rPr>
              <w:t>Aantal aangemaakte incidenten per dag (aantal werkdagen / aangemaakt p/dag)”</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Registered incidents by day</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7.69</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lang w:val="nl-NL"/>
              </w:rPr>
            </w:pPr>
            <w:r>
              <w:rPr>
                <w:b w:val="false"/>
                <w:sz w:val="18"/>
                <w:szCs w:val="18"/>
                <w:lang w:val="nl-NL"/>
              </w:rPr>
              <w:t>“</w:t>
            </w:r>
            <w:r>
              <w:rPr>
                <w:b w:val="false"/>
                <w:sz w:val="18"/>
                <w:szCs w:val="18"/>
                <w:lang w:val="nl-NL"/>
              </w:rPr>
              <w:t>Aantal gesloten incidenten per dag (aantal werkdagen / aangemaakt p/dag)”</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Closed incidents by day</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Daily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7.70</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w:t>
            </w:r>
            <w:r>
              <w:rPr>
                <w:b w:val="false"/>
                <w:sz w:val="18"/>
                <w:szCs w:val="18"/>
              </w:rPr>
              <w:t>Incidenten voorraad (Open inc. + Solved inc.)”</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Number of open and solved incidents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7.71</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t>
            </w:r>
            <w:r>
              <w:rPr>
                <w:sz w:val="18"/>
                <w:szCs w:val="18"/>
              </w:rPr>
              <w:t>Routeringsindex ”</w:t>
            </w:r>
          </w:p>
          <w:p>
            <w:pPr>
              <w:pStyle w:val="Caption"/>
              <w:rPr>
                <w:b w:val="false"/>
                <w:sz w:val="18"/>
                <w:szCs w:val="18"/>
              </w:rPr>
            </w:pPr>
            <w:r>
              <w:rPr>
                <w:b w:val="false"/>
                <w:sz w:val="18"/>
                <w:szCs w:val="18"/>
              </w:rPr>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Average of assignment (assigned / registered incidents)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7.72</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SCIM</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SCIM</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7.73</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lang w:val="nl-NL"/>
              </w:rPr>
            </w:pPr>
            <w:r>
              <w:rPr>
                <w:b w:val="false"/>
                <w:sz w:val="18"/>
                <w:szCs w:val="18"/>
                <w:lang w:val="nl-NL"/>
              </w:rPr>
              <w:t>“</w:t>
            </w:r>
            <w:r>
              <w:rPr>
                <w:b w:val="false"/>
                <w:sz w:val="18"/>
                <w:szCs w:val="18"/>
                <w:lang w:val="nl-NL"/>
              </w:rPr>
              <w:t>Top 5 vakgroepen die onvolledig registreren”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sz w:val="18"/>
                <w:szCs w:val="18"/>
              </w:rPr>
              <w:t xml:space="preserve">Top 5 of supports units with incomplete registrations </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7.74</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w:t>
            </w:r>
            <w:r>
              <w:rPr>
                <w:b w:val="false"/>
                <w:sz w:val="18"/>
                <w:szCs w:val="18"/>
              </w:rPr>
              <w:t>Component  niveau”</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Incidents sorted by component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7.75</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lang w:val="nl-NL"/>
              </w:rPr>
            </w:pPr>
            <w:r>
              <w:rPr>
                <w:b w:val="false"/>
                <w:sz w:val="18"/>
                <w:szCs w:val="18"/>
                <w:lang w:val="nl-NL"/>
              </w:rPr>
              <w:t>“</w:t>
            </w:r>
            <w:r>
              <w:rPr>
                <w:b w:val="false"/>
                <w:sz w:val="18"/>
                <w:szCs w:val="18"/>
                <w:lang w:val="nl-NL"/>
              </w:rPr>
              <w:t>Aantal gesloten incidenten met Cause”</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Incidents closed with a cause code</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7.76</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w:t>
            </w:r>
            <w:r>
              <w:rPr>
                <w:b w:val="false"/>
                <w:sz w:val="18"/>
                <w:szCs w:val="18"/>
              </w:rPr>
              <w:t>Uitsplitsing naar klant”</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the top 10 of customers this month</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7.77</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w:t>
            </w:r>
            <w:r>
              <w:rPr>
                <w:b w:val="false"/>
                <w:sz w:val="18"/>
                <w:szCs w:val="18"/>
              </w:rPr>
              <w:t>Incidenten stroom per afdeling”</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Incidents by department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7.78</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Heading1"/>
              <w:spacing w:before="240" w:after="240"/>
              <w:ind w:hanging="0" w:start="0"/>
              <w:rPr>
                <w:rFonts w:ascii="Times New Roman" w:hAnsi="Times New Roman" w:cs="Times New Roman"/>
                <w:b w:val="false"/>
                <w:sz w:val="18"/>
                <w:szCs w:val="18"/>
              </w:rPr>
            </w:pPr>
            <w:r>
              <w:rPr>
                <w:rFonts w:cs="Times New Roman" w:ascii="Times New Roman" w:hAnsi="Times New Roman"/>
                <w:b w:val="false"/>
                <w:caps w:val="false"/>
                <w:smallCaps w:val="false"/>
                <w:sz w:val="18"/>
                <w:szCs w:val="18"/>
              </w:rPr>
              <w:t>“</w:t>
            </w:r>
            <w:r>
              <w:rPr>
                <w:rFonts w:cs="Times New Roman" w:ascii="Times New Roman" w:hAnsi="Times New Roman"/>
                <w:b w:val="false"/>
                <w:caps w:val="false"/>
                <w:smallCaps w:val="false"/>
                <w:sz w:val="18"/>
                <w:szCs w:val="18"/>
              </w:rPr>
              <w:t>Incidenten stroom per vakgroep”</w:t>
            </w:r>
          </w:p>
          <w:p>
            <w:pPr>
              <w:pStyle w:val="Caption"/>
              <w:rPr>
                <w:rFonts w:ascii="Times New Roman" w:hAnsi="Times New Roman" w:cs="Times New Roman"/>
                <w:b w:val="false"/>
                <w:sz w:val="18"/>
                <w:szCs w:val="18"/>
              </w:rPr>
            </w:pPr>
            <w:r>
              <w:rPr>
                <w:rFonts w:cs="Times New Roman"/>
                <w:b w:val="false"/>
                <w:sz w:val="18"/>
                <w:szCs w:val="18"/>
              </w:rPr>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Incidents by support</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p>
            <w:pPr>
              <w:pStyle w:val="TableText"/>
              <w:rPr>
                <w:sz w:val="18"/>
                <w:szCs w:val="18"/>
              </w:rPr>
            </w:pPr>
            <w:r>
              <w:rPr>
                <w:sz w:val="18"/>
                <w:szCs w:val="18"/>
              </w:rPr>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7.79</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b w:val="false"/>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b w:val="false"/>
                <w:sz w:val="18"/>
                <w:szCs w:val="18"/>
              </w:rPr>
            </w:pPr>
            <w:r>
              <w:rPr>
                <w:b w:val="false"/>
                <w:sz w:val="18"/>
                <w:szCs w:val="18"/>
              </w:rPr>
              <w:t>“</w:t>
            </w:r>
            <w:r>
              <w:rPr>
                <w:b w:val="false"/>
                <w:sz w:val="18"/>
                <w:szCs w:val="18"/>
              </w:rPr>
              <w:t>Top 5 incidenten per week”</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the top 5 of incidents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585" w:type="dxa"/>
            <w:tcBorders>
              <w:top w:val="single" w:sz="4" w:space="0" w:color="000000"/>
              <w:start w:val="single" w:sz="4" w:space="0" w:color="000000"/>
              <w:bottom w:val="single" w:sz="4" w:space="0" w:color="000000"/>
              <w:end w:val="single" w:sz="4" w:space="0" w:color="000000"/>
            </w:tcBorders>
          </w:tcPr>
          <w:p>
            <w:pPr>
              <w:pStyle w:val="Normal"/>
              <w:jc w:val="center"/>
              <w:rPr/>
            </w:pPr>
            <w:r>
              <w:rPr>
                <w:sz w:val="18"/>
                <w:szCs w:val="18"/>
              </w:rPr>
              <w:t>7.80</w:t>
            </w:r>
          </w:p>
        </w:tc>
        <w:tc>
          <w:tcPr>
            <w:tcW w:w="900" w:type="dxa"/>
            <w:tcBorders>
              <w:top w:val="single" w:sz="4" w:space="0" w:color="000000"/>
              <w:start w:val="single" w:sz="4" w:space="0" w:color="000000"/>
              <w:bottom w:val="single" w:sz="4" w:space="0" w:color="000000"/>
              <w:end w:val="single" w:sz="4" w:space="0" w:color="000000"/>
            </w:tcBorders>
          </w:tcPr>
          <w:p>
            <w:pPr>
              <w:pStyle w:val="Caption"/>
              <w:jc w:val="center"/>
              <w:rPr>
                <w:sz w:val="18"/>
                <w:szCs w:val="18"/>
              </w:rPr>
            </w:pPr>
            <w:r>
              <w:rPr>
                <w:b w:val="false"/>
                <w:sz w:val="18"/>
                <w:szCs w:val="18"/>
              </w:rPr>
              <w:t>SD</w:t>
            </w:r>
          </w:p>
        </w:tc>
        <w:tc>
          <w:tcPr>
            <w:tcW w:w="2340" w:type="dxa"/>
            <w:tcBorders>
              <w:top w:val="single" w:sz="4" w:space="0" w:color="000000"/>
              <w:start w:val="single" w:sz="4" w:space="0" w:color="000000"/>
              <w:bottom w:val="single" w:sz="4" w:space="0" w:color="000000"/>
              <w:end w:val="single" w:sz="4" w:space="0" w:color="000000"/>
            </w:tcBorders>
          </w:tcPr>
          <w:p>
            <w:pPr>
              <w:pStyle w:val="Caption"/>
              <w:rPr>
                <w:sz w:val="18"/>
                <w:szCs w:val="18"/>
              </w:rPr>
            </w:pPr>
            <w:r>
              <w:rPr>
                <w:b w:val="false"/>
                <w:sz w:val="18"/>
                <w:szCs w:val="18"/>
              </w:rPr>
              <w:t>“</w:t>
            </w:r>
            <w:r>
              <w:rPr>
                <w:b w:val="false"/>
                <w:sz w:val="18"/>
                <w:szCs w:val="18"/>
              </w:rPr>
              <w:t>Top 5 ORM incidenten”</w:t>
            </w:r>
          </w:p>
        </w:tc>
        <w:tc>
          <w:tcPr>
            <w:tcW w:w="5950" w:type="dxa"/>
            <w:tcBorders>
              <w:top w:val="single" w:sz="4" w:space="0" w:color="000000"/>
              <w:start w:val="single" w:sz="4" w:space="0" w:color="000000"/>
              <w:bottom w:val="single" w:sz="4" w:space="0" w:color="000000"/>
              <w:end w:val="single" w:sz="4" w:space="0" w:color="000000"/>
            </w:tcBorders>
          </w:tcPr>
          <w:p>
            <w:pPr>
              <w:pStyle w:val="Normal"/>
              <w:rPr>
                <w:color w:val="000000"/>
                <w:sz w:val="18"/>
                <w:szCs w:val="18"/>
              </w:rPr>
            </w:pPr>
            <w:r>
              <w:rPr>
                <w:color w:val="000000"/>
                <w:sz w:val="18"/>
                <w:szCs w:val="18"/>
              </w:rPr>
              <w:t>Shows the top 5 of ORM incidents</w:t>
            </w:r>
          </w:p>
        </w:tc>
        <w:tc>
          <w:tcPr>
            <w:tcW w:w="144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Weekly</w:t>
            </w:r>
          </w:p>
        </w:tc>
        <w:tc>
          <w:tcPr>
            <w:tcW w:w="126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08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Normal"/>
        <w:rPr>
          <w:sz w:val="20"/>
        </w:rPr>
      </w:pPr>
      <w:r>
        <w:rPr>
          <w:sz w:val="20"/>
        </w:rPr>
      </w:r>
    </w:p>
    <w:p>
      <w:pPr>
        <w:pStyle w:val="Normal"/>
        <w:rPr>
          <w:sz w:val="20"/>
        </w:rPr>
      </w:pPr>
      <w:r>
        <w:rPr>
          <w:sz w:val="20"/>
        </w:rPr>
      </w:r>
      <w:r>
        <w:br w:type="page"/>
      </w:r>
    </w:p>
    <w:p>
      <w:pPr>
        <w:pStyle w:val="Heading1Numbered"/>
        <w:numPr>
          <w:ilvl w:val="0"/>
          <w:numId w:val="2"/>
        </w:numPr>
        <w:ind w:hanging="0" w:start="0"/>
        <w:rPr>
          <w:sz w:val="22"/>
          <w:szCs w:val="22"/>
        </w:rPr>
      </w:pPr>
      <w:bookmarkStart w:id="7" w:name="__RefHeading___Toc106693861"/>
      <w:bookmarkEnd w:id="7"/>
      <w:r>
        <w:rPr>
          <w:sz w:val="22"/>
          <w:szCs w:val="22"/>
        </w:rPr>
        <w:t>Financial Reports</w:t>
      </w:r>
    </w:p>
    <w:p>
      <w:pPr>
        <w:pStyle w:val="Normal"/>
        <w:rPr/>
      </w:pPr>
      <w:r>
        <w:rPr/>
        <w:t>* reports are NL except where Belgium is mentioned</w:t>
      </w:r>
    </w:p>
    <w:tbl>
      <w:tblPr>
        <w:tblW w:w="14957" w:type="dxa"/>
        <w:jc w:val="center"/>
        <w:tblInd w:w="0" w:type="dxa"/>
        <w:tblLayout w:type="fixed"/>
        <w:tblCellMar>
          <w:top w:w="0" w:type="dxa"/>
          <w:start w:w="108" w:type="dxa"/>
          <w:bottom w:w="0" w:type="dxa"/>
          <w:end w:w="108" w:type="dxa"/>
        </w:tblCellMar>
      </w:tblPr>
      <w:tblGrid>
        <w:gridCol w:w="638"/>
        <w:gridCol w:w="900"/>
        <w:gridCol w:w="2562"/>
        <w:gridCol w:w="4818"/>
        <w:gridCol w:w="1080"/>
        <w:gridCol w:w="1980"/>
        <w:gridCol w:w="900"/>
        <w:gridCol w:w="900"/>
        <w:gridCol w:w="1179"/>
      </w:tblGrid>
      <w:tr>
        <w:trPr>
          <w:tblHeader w:val="true"/>
        </w:trPr>
        <w:tc>
          <w:tcPr>
            <w:tcW w:w="638" w:type="dxa"/>
            <w:tcBorders>
              <w:top w:val="single" w:sz="4" w:space="0" w:color="000000"/>
              <w:start w:val="single" w:sz="4" w:space="0" w:color="000000"/>
              <w:bottom w:val="single" w:sz="4" w:space="0" w:color="000000"/>
              <w:end w:val="single" w:sz="4" w:space="0" w:color="000000"/>
            </w:tcBorders>
            <w:shd w:fill="CCCCCC" w:val="clear"/>
            <w:vAlign w:val="center"/>
          </w:tcPr>
          <w:p>
            <w:pPr>
              <w:pStyle w:val="Normal"/>
              <w:jc w:val="center"/>
              <w:rPr>
                <w:b/>
                <w:bCs/>
                <w:sz w:val="18"/>
                <w:szCs w:val="18"/>
              </w:rPr>
            </w:pPr>
            <w:r>
              <w:rPr>
                <w:b/>
                <w:bCs/>
                <w:sz w:val="18"/>
                <w:szCs w:val="18"/>
              </w:rPr>
              <w: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Bundle</w:t>
            </w:r>
          </w:p>
        </w:tc>
        <w:tc>
          <w:tcPr>
            <w:tcW w:w="2562"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4818"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Description</w:t>
            </w:r>
          </w:p>
        </w:tc>
        <w:tc>
          <w:tcPr>
            <w:tcW w:w="10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Frequency</w:t>
            </w:r>
          </w:p>
        </w:tc>
        <w:tc>
          <w:tcPr>
            <w:tcW w:w="198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Recipient</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Media</w:t>
            </w:r>
          </w:p>
        </w:tc>
        <w:tc>
          <w:tcPr>
            <w:tcW w:w="900"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Name</w:t>
            </w:r>
          </w:p>
        </w:tc>
        <w:tc>
          <w:tcPr>
            <w:tcW w:w="1179" w:type="dxa"/>
            <w:tcBorders>
              <w:top w:val="single" w:sz="4" w:space="0" w:color="000000"/>
              <w:start w:val="single" w:sz="4" w:space="0" w:color="000000"/>
              <w:bottom w:val="single" w:sz="4" w:space="0" w:color="000000"/>
              <w:end w:val="single" w:sz="4" w:space="0" w:color="000000"/>
            </w:tcBorders>
            <w:shd w:fill="CCCCCC" w:val="clear"/>
            <w:vAlign w:val="center"/>
          </w:tcPr>
          <w:p>
            <w:pPr>
              <w:pStyle w:val="HeadingTable"/>
              <w:rPr>
                <w:rFonts w:ascii="Times New Roman" w:hAnsi="Times New Roman" w:cs="Times New Roman"/>
                <w:sz w:val="18"/>
                <w:szCs w:val="18"/>
              </w:rPr>
            </w:pPr>
            <w:r>
              <w:rPr>
                <w:rFonts w:cs="Times New Roman" w:ascii="Times New Roman" w:hAnsi="Times New Roman"/>
                <w:sz w:val="18"/>
                <w:szCs w:val="18"/>
              </w:rPr>
              <w:t>Report Location or Link to Document</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Cost management report</w:t>
            </w:r>
          </w:p>
        </w:tc>
        <w:tc>
          <w:tcPr>
            <w:tcW w:w="481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Budget utilization</w:t>
            </w:r>
          </w:p>
          <w:p>
            <w:pPr>
              <w:pStyle w:val="Normal"/>
              <w:rPr>
                <w:sz w:val="18"/>
                <w:szCs w:val="18"/>
              </w:rPr>
            </w:pPr>
            <w:r>
              <w:rPr>
                <w:sz w:val="18"/>
                <w:szCs w:val="18"/>
              </w:rPr>
              <w:t>% of Budget utilization</w:t>
            </w:r>
          </w:p>
        </w:tc>
        <w:tc>
          <w:tcPr>
            <w:tcW w:w="10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Cost managers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w:t>
            </w:r>
          </w:p>
        </w:tc>
        <w:tc>
          <w:tcPr>
            <w:tcW w:w="900" w:type="dxa"/>
            <w:tcBorders>
              <w:top w:val="single" w:sz="4" w:space="0" w:color="000000"/>
              <w:start w:val="single" w:sz="4" w:space="0" w:color="000000"/>
              <w:bottom w:val="single" w:sz="4" w:space="0" w:color="000000"/>
              <w:end w:val="single" w:sz="4" w:space="0" w:color="000000"/>
            </w:tcBorders>
          </w:tcPr>
          <w:p>
            <w:pPr>
              <w:pStyle w:val="TableText"/>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Cost management  report</w:t>
            </w:r>
          </w:p>
        </w:tc>
        <w:tc>
          <w:tcPr>
            <w:tcW w:w="4818"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Budget utilization YTD</w:t>
            </w:r>
          </w:p>
          <w:p>
            <w:pPr>
              <w:pStyle w:val="TableText"/>
              <w:rPr>
                <w:sz w:val="18"/>
                <w:szCs w:val="18"/>
              </w:rPr>
            </w:pPr>
            <w:r>
              <w:rPr>
                <w:sz w:val="18"/>
                <w:szCs w:val="18"/>
              </w:rPr>
              <w:t>% of Budget utilization</w:t>
            </w:r>
          </w:p>
        </w:tc>
        <w:tc>
          <w:tcPr>
            <w:tcW w:w="10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TableText"/>
              <w:rPr>
                <w:sz w:val="18"/>
                <w:szCs w:val="18"/>
              </w:rPr>
            </w:pPr>
            <w:r>
              <w:rPr>
                <w:sz w:val="18"/>
                <w:szCs w:val="18"/>
              </w:rPr>
              <w:t>All EuroBank Cost managers</w:t>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TableText"/>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report total IT infra</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Budget/actuals charges per service per division (revenues OPS&amp;IT infra) + cost price x volume per service + client projects + mainframe applications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report Intermediary</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Budget/actuals charges per service per division (revenues OPS&amp;IT infra) + cost price x volume per service + client projects + mainframe applications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8.6</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report Retail</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Budget/actuals charges per service per division (revenues OPS&amp;IT infra) + cost price x volume per service + client projects + mainframe applications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8.7</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report Wholesale</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Budget/actuals charges per service per division (revenues OPS&amp;IT infra) + cost price x volume per service + client projects + mainframe applications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BSD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8.8</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PIT reports (44x)</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Activity registration system - hours per department, per ITIL process, per service, per project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8.9</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Product catalogue</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Description of products and service per platform and functional domain</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Divisions/clients and OPS&amp;IT IT-infra SLM department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8.10</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Tariff book</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Tariff per service per charge unit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Divisions/clients and OPS&amp;IT IT-infra SLM department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8.11</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MTP/bedrijfsplan WPS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WPS fte's, year budget per activity  per cost type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8.12</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OPO report (106x)</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levels per itil process per client/division</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8.13</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Level Report (106x)</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Incidents, problems per client per service agreement</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 client/divisions</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8.14</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OPIF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Ytd hours and costs external staff</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financial back office departments</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8.15</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Project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Personnel and automation costs per project (status, funding, sponsoring)</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Permanent</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project members, sponsors</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color w:val="0000FF"/>
                <w:sz w:val="18"/>
                <w:szCs w:val="18"/>
                <w:u w:val="single"/>
              </w:rPr>
            </w:pPr>
            <w:r>
              <w:rPr>
                <w:color w:val="0000FF"/>
                <w:sz w:val="18"/>
                <w:szCs w:val="18"/>
                <w:u w:val="single"/>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8.16</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2B4U - Customer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Counters &amp; amounts per service per client/division per period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Ad hoc</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financial back office departments</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8.17</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Invoice (80x)</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Charges per service per client/division</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Quarterly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client/divisions</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8.18</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Service report CEDS RSP NL</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CEDS service report per ITIL process + current costs per client versus world best norm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8.19</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Transitoria jaarafsluiting</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Closure of all costs in current year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financial back office department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8.20</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Accountability report BSD </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8.21</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MTP/bedrijfsplan BSD</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DCO fte's, year budget per activity  per cost type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1st,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8.22</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Orders investment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of orders and investments last week</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8.23</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Orders purchased</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of orders and investments last week</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Weekly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8.24</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Externals oversight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Overview cumulative costs and hours externals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Bi-weekly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8.25</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Externals prediction</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prediction of fte's per month</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Bi-weekly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8.26</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Internals oversight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powerplay application with internal hours, costs and fte's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Bi-weekly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8.27</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Internals prediction</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prediction fte's coming months current year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Bi-weekly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8.28</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Prognosis Costs WPS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Predicting costs per month current year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8.29</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Milestone planning</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Planning for savings per month current year</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8.30</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Contracts booked in Grand Ledger</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maintenance hardware/software, licences costs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8.31</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PSA counters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Amounts per month per service per client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8.32</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BDK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Staff costs per month per department divided to client projects, discretionary project and baseline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8.33</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Projects WPS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client and discretionary projects within WPS domain</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Quarterly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8.34</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Dashboard IT infra (under construction)</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Numbers of services, applications,  platforms, users, fte's etc. within the IT infra value chain</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Quarterly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1st,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8.35</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CHM</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Cost en Headcount Matrix Belgium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8.36</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Budget Follow-up </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MTP, reforecast, actuals Belgium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8.37</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MIS (kostprijs analyse en doorbelasting)</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Costprice analysis and invoicing Belgium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8.38</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CTR (het OPS&amp;IT cost type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Cost type reports Belgium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8.39</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2IM</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Project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Status of projects Belgium</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8.40</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 user infra support department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8.41</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 design en support department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8.42</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 user access services department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8.43</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EUC</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 application services department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8.44</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Hardware (desktop)</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Plangroep report</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Budget/actuals/forecast hardware/software costs IT infra</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8.45</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LAN</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Expert Center Infrastructure (ECI) backbone engineering</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8.46</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LAN</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MTP/bedrijfsplan ECI backbone services/NSI</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WPS fte's, year budget per activity  per cost type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1st,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8.47</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DCO</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8.48</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DCO Generic &amp; Backbone services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8.49</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DCO Platform operations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8.50</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DCO Change Implementation &amp; Tooling</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8.51</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Server Mgt</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MTP/bedrijfsplan DCO</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DCO fte's, year budget per activity  per cost type</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Yearly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1st, 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8.52</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Service Desk</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 service desk</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8.53</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Voice</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WPS / W&amp;CI SP&amp;SV</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8.54</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Voice</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Accountability report BSD retail / W&amp;CI SP&amp;SW</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Top sheet budget/actuals + financial analysis Staff/EDP/General </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 </w:t>
            </w:r>
          </w:p>
        </w:tc>
        <w:tc>
          <w:tcPr>
            <w:tcW w:w="1179"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 xml:space="preserve">   </w:t>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8.55</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Voice</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Third party Contracts</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contracts telephony</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Monthly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r>
        <w:trPr/>
        <w:tc>
          <w:tcPr>
            <w:tcW w:w="638"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8.56</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sz w:val="18"/>
                <w:szCs w:val="18"/>
              </w:rPr>
            </w:pPr>
            <w:r>
              <w:rPr>
                <w:sz w:val="18"/>
                <w:szCs w:val="18"/>
              </w:rPr>
              <w:t>Voice</w:t>
            </w:r>
          </w:p>
        </w:tc>
        <w:tc>
          <w:tcPr>
            <w:tcW w:w="2562"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Depreciation costs voice</w:t>
            </w:r>
          </w:p>
        </w:tc>
        <w:tc>
          <w:tcPr>
            <w:tcW w:w="4818"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Overview depreciation costs</w:t>
            </w:r>
          </w:p>
        </w:tc>
        <w:tc>
          <w:tcPr>
            <w:tcW w:w="10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Quarterly</w:t>
            </w:r>
          </w:p>
        </w:tc>
        <w:tc>
          <w:tcPr>
            <w:tcW w:w="1980" w:type="dxa"/>
            <w:tcBorders>
              <w:top w:val="single" w:sz="4" w:space="0" w:color="000000"/>
              <w:start w:val="single" w:sz="4" w:space="0" w:color="000000"/>
              <w:bottom w:val="single" w:sz="4" w:space="0" w:color="000000"/>
              <w:end w:val="single" w:sz="4" w:space="0" w:color="000000"/>
            </w:tcBorders>
          </w:tcPr>
          <w:p>
            <w:pPr>
              <w:pStyle w:val="Normal"/>
              <w:rPr>
                <w:sz w:val="18"/>
                <w:szCs w:val="18"/>
              </w:rPr>
            </w:pPr>
            <w:r>
              <w:rPr>
                <w:sz w:val="18"/>
                <w:szCs w:val="18"/>
              </w:rPr>
              <w:t>2nd, 3rd, 4th level IT infra mgt</w:t>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900"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rPr>
                <w:sz w:val="18"/>
                <w:szCs w:val="18"/>
              </w:rPr>
            </w:pPr>
            <w:r>
              <w:rPr>
                <w:sz w:val="18"/>
                <w:szCs w:val="18"/>
              </w:rPr>
            </w:r>
          </w:p>
        </w:tc>
      </w:tr>
    </w:tbl>
    <w:p>
      <w:pPr>
        <w:pStyle w:val="Heading1Numbered"/>
        <w:numPr>
          <w:ilvl w:val="0"/>
          <w:numId w:val="0"/>
        </w:numPr>
        <w:spacing w:before="240" w:after="240"/>
        <w:ind w:hanging="0" w:start="0"/>
        <w:rPr>
          <w:rFonts w:ascii="Times New Roman" w:hAnsi="Times New Roman" w:cs="Times New Roman"/>
          <w:sz w:val="20"/>
          <w:szCs w:val="20"/>
        </w:rPr>
      </w:pPr>
      <w:r>
        <w:rPr>
          <w:rFonts w:cs="Times New Roman" w:ascii="Times New Roman" w:hAnsi="Times New Roman"/>
          <w:sz w:val="20"/>
          <w:szCs w:val="20"/>
        </w:rPr>
      </w:r>
    </w:p>
    <w:sectPr>
      <w:headerReference w:type="default" r:id="rId8"/>
      <w:headerReference w:type="first" r:id="rId9"/>
      <w:footerReference w:type="default" r:id="rId10"/>
      <w:footerReference w:type="first" r:id="rId11"/>
      <w:type w:val="nextPage"/>
      <w:pgSz w:orient="landscape" w:w="16838" w:h="11906"/>
      <w:pgMar w:left="720" w:right="992" w:gutter="0" w:header="72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7560" w:leader="none"/>
        <w:tab w:val="right" w:pos="15120" w:leader="none"/>
      </w:tabs>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920" w:leader="none"/>
        <w:tab w:val="right" w:pos="15120" w:leader="none"/>
      </w:tabs>
      <w:rPr/>
    </w:pPr>
    <w:r>
      <w:rPr>
        <w:sz w:val="16"/>
        <w:szCs w:val="16"/>
      </w:rPr>
      <w:t>Ops &amp;IT Banking Confidential</w:t>
      <w:tab/>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920" w:leader="none"/>
        <w:tab w:val="right" w:pos="15120" w:leader="none"/>
      </w:tabs>
      <w:rPr/>
    </w:pPr>
    <w:r>
      <w:rPr>
        <w:sz w:val="16"/>
        <w:szCs w:val="16"/>
      </w:rPr>
      <w:t>Ops &amp;IT Banking Confidential</w:t>
      <w:tab/>
      <w:tab/>
    </w:r>
    <w:r>
      <w:rPr>
        <w:rStyle w:val="PageNumber"/>
      </w:rPr>
      <w:fldChar w:fldCharType="begin"/>
    </w:r>
    <w:r>
      <w:rPr>
        <w:rStyle w:val="PageNumber"/>
      </w:rPr>
      <w:instrText xml:space="preserve"> PAGE </w:instrText>
    </w:r>
    <w:r>
      <w:rPr>
        <w:rStyle w:val="PageNumber"/>
      </w:rPr>
      <w:fldChar w:fldCharType="separate"/>
    </w:r>
    <w:r>
      <w:rPr>
        <w:rStyle w:val="PageNumber"/>
      </w:rPr>
      <w:t>35</w:t>
    </w:r>
    <w:r>
      <w:rPr>
        <w:rStyle w:val="PageNumber"/>
      </w:rPr>
      <w:fldChar w:fldCharType="end"/>
    </w:r>
    <w:r>
      <w:rPr>
        <w:sz w:val="16"/>
        <w:szCs w:val="16"/>
      </w:rPr>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14940" w:leader="none"/>
      </w:tabs>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13-A (Description of Reports) Final v1.6.doc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14940" w:leader="none"/>
      </w:tabs>
      <w:rPr/>
    </w:pPr>
    <w:r>
      <w:rPr>
        <w:sz w:val="20"/>
      </w:rPr>
      <w:drawing>
        <wp:inline distT="0" distB="0" distL="0" distR="0">
          <wp:extent cx="965200" cy="28448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13-A (Description of Reports) Final v1.6.doc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14940" w:leader="none"/>
      </w:tabs>
      <w:rPr/>
    </w:pPr>
    <w:r>
      <w:rPr>
        <w:sz w:val="20"/>
      </w:rPr>
      <w:drawing>
        <wp:inline distT="0" distB="0" distL="0" distR="0">
          <wp:extent cx="965200" cy="284480"/>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13-A (Description of Reports) Final v1.6.doc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0"/>
      <w:lvlJc w:val="start"/>
      <w:pPr>
        <w:tabs>
          <w:tab w:val="num" w:pos="900"/>
        </w:tabs>
        <w:ind w:start="90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Bold;Times New Roman" w:hAnsi="Times New Roman Bold;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PageNumber">
    <w:name w:val="page number"/>
    <w:basedOn w:val="DefaultParagraphFont"/>
    <w:rPr/>
  </w:style>
  <w:style w:type="character" w:styleId="IndexLink">
    <w:name w:val="Index Link"/>
    <w:qFormat/>
    <w:rPr/>
  </w:style>
  <w:style w:type="paragraph" w:styleId="Heading">
    <w:name w:val="Heading"/>
    <w:basedOn w:val="Normal"/>
    <w:next w:val="BodyText"/>
    <w:qFormat/>
    <w:pPr>
      <w:spacing w:before="240" w:after="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next w:val="Normal"/>
    <w:qFormat/>
    <w:pPr>
      <w:spacing w:lineRule="atLeast" w:line="280"/>
    </w:pPr>
    <w:rPr>
      <w:b/>
      <w:sz w:val="24"/>
      <w:lang w:val="en-GB"/>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7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numPr>
        <w:ilvl w:val="0"/>
        <w:numId w:val="6"/>
      </w:numPr>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5"/>
      </w:numPr>
      <w:spacing w:before="240" w:after="240"/>
    </w:pPr>
    <w:rPr/>
  </w:style>
  <w:style w:type="paragraph" w:styleId="BodyLevel2Numbered">
    <w:name w:val="Body Level 2 Numbered"/>
    <w:basedOn w:val="Normal"/>
    <w:qFormat/>
    <w:pPr>
      <w:numPr>
        <w:ilvl w:val="0"/>
        <w:numId w:val="5"/>
      </w:numPr>
      <w:spacing w:before="240" w:after="240"/>
    </w:pPr>
    <w:rPr/>
  </w:style>
  <w:style w:type="paragraph" w:styleId="BodyLevel3Numbered">
    <w:name w:val="Body Level 3 Numbered"/>
    <w:basedOn w:val="Normal"/>
    <w:qFormat/>
    <w:pPr>
      <w:numPr>
        <w:ilvl w:val="0"/>
        <w:numId w:val="5"/>
      </w:numPr>
      <w:spacing w:before="240" w:after="240"/>
    </w:pPr>
    <w:rPr/>
  </w:style>
  <w:style w:type="paragraph" w:styleId="BodyLevel4Numbered">
    <w:name w:val="Body Level 4 Numbered"/>
    <w:basedOn w:val="Normal"/>
    <w:qFormat/>
    <w:pPr>
      <w:numPr>
        <w:ilvl w:val="0"/>
        <w:numId w:val="5"/>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numPr>
        <w:ilvl w:val="0"/>
        <w:numId w:val="4"/>
      </w:numPr>
    </w:pPr>
    <w:rPr/>
  </w:style>
  <w:style w:type="paragraph" w:styleId="Level1Numbered">
    <w:name w:val="Level 1 Numbered"/>
    <w:basedOn w:val="Normal"/>
    <w:qFormat/>
    <w:pPr>
      <w:numPr>
        <w:ilvl w:val="0"/>
        <w:numId w:val="6"/>
      </w:numPr>
    </w:pPr>
    <w:rPr>
      <w:bCs/>
    </w:rPr>
  </w:style>
  <w:style w:type="paragraph" w:styleId="BalloonText">
    <w:name w:val="Balloon Text"/>
    <w:basedOn w:val="Normal"/>
    <w:qFormat/>
    <w:pPr/>
    <w:rPr>
      <w:rFonts w:ascii="Tahoma" w:hAnsi="Tahoma" w:cs="Tahoma"/>
      <w:sz w:val="16"/>
      <w:szCs w:val="16"/>
    </w:rPr>
  </w:style>
  <w:style w:type="paragraph" w:styleId="BodyText2">
    <w:name w:val="Body Text 2"/>
    <w:basedOn w:val="Normal"/>
    <w:qFormat/>
    <w:pPr>
      <w:spacing w:lineRule="auto" w:line="4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2006-11-30T19:28:00Z</dcterms:created>
  <dc:creator>Stuart Johnson</dc:creator>
  <dc:description/>
  <cp:keywords/>
  <dc:language>en-US</dc:language>
  <cp:lastModifiedBy>Stuart Johnson</cp:lastModifiedBy>
  <cp:lastPrinted>2005-07-04T11:09:00Z</cp:lastPrinted>
  <dcterms:modified xsi:type="dcterms:W3CDTF">2006-11-30T19:33:00Z</dcterms:modified>
  <cp:revision>4</cp:revision>
  <dc:subject/>
  <dc:title> </dc:title>
</cp:coreProperties>
</file>