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Attachment 17-A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Data Security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29" w:right="1729" w:gutter="0" w:header="720" w:top="776" w:footer="720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Title"/>
        <w:rPr/>
      </w:pPr>
      <w:r>
        <w:rPr/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44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fldChar w:fldCharType="begin"/>
          </w:r>
          <w:r>
            <w:rPr>
              <w:sz w:val="18"/>
              <w:szCs w:val="18"/>
              <w:lang w:val="en-GB" w:eastAsia="en-US"/>
            </w:rPr>
            <w:instrText xml:space="preserve"> TOC \t "Heading 1 Numbered,1,Heading 2 Numbered,2" </w:instrText>
          </w:r>
          <w:r>
            <w:rPr>
              <w:sz w:val="18"/>
              <w:szCs w:val="18"/>
              <w:lang w:val="en-GB" w:eastAsia="en-US"/>
            </w:rPr>
            <w:fldChar w:fldCharType="separate"/>
          </w:r>
          <w:r>
            <w:rPr>
              <w:sz w:val="18"/>
              <w:szCs w:val="18"/>
              <w:lang w:val="en-GB" w:eastAsia="en-US"/>
            </w:rPr>
            <w:t>1.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Introduction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55716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GB" w:eastAsia="en-US"/>
            </w:rPr>
            <w:t>2.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GB" w:eastAsia="en-US"/>
            </w:rPr>
            <w:t>ING GROUP Information Security Policy Requirements</w:t>
          </w:r>
          <w:r>
            <w:rPr>
              <w:sz w:val="18"/>
              <w:szCs w:val="18"/>
              <w:lang w:val="en-US" w:eastAsia="en-US"/>
            </w:rPr>
            <w:tab/>
          </w:r>
          <w:hyperlink w:anchor="__RefHeading___Toc150655717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2.1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Strategic Level</w:t>
            <w:tab/>
          </w:r>
          <w:hyperlink w:anchor="__RefHeading___Toc150655718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2.2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Operational Level</w:t>
            <w:tab/>
          </w:r>
          <w:hyperlink w:anchor="__RefHeading___Toc150655719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b w:val="false"/>
              <w:sz w:val="18"/>
              <w:szCs w:val="18"/>
              <w:lang w:val="en-US" w:eastAsia="en-US"/>
            </w:rPr>
          </w:pPr>
          <w:r>
            <w:rPr>
              <w:sz w:val="18"/>
              <w:szCs w:val="18"/>
              <w:lang w:val="en-US" w:eastAsia="en-US"/>
            </w:rPr>
            <w:t>2.3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sz w:val="18"/>
              <w:szCs w:val="18"/>
              <w:lang w:val="en-US" w:eastAsia="en-US"/>
            </w:rPr>
            <w:t>Operational Security Guidelines</w:t>
            <w:tab/>
          </w:r>
          <w:hyperlink w:anchor="__RefHeading___Toc150655720">
            <w:r>
              <w:rPr>
                <w:rStyle w:val="IndexLink"/>
                <w:sz w:val="18"/>
                <w:szCs w:val="18"/>
                <w:lang w:val="en-US" w:eastAsia="en-US"/>
              </w:rPr>
              <w:t>1</w:t>
            </w:r>
          </w:hyperlink>
        </w:p>
        <w:p>
          <w:pPr>
            <w:pStyle w:val="TOC2"/>
            <w:tabs>
              <w:tab w:val="clear" w:pos="720"/>
              <w:tab w:val="left" w:pos="880" w:leader="none"/>
              <w:tab w:val="right" w:pos="8441" w:leader="dot"/>
            </w:tabs>
            <w:rPr>
              <w:sz w:val="18"/>
              <w:szCs w:val="18"/>
              <w:lang w:val="en-US" w:eastAsia="en-US"/>
            </w:rPr>
          </w:pPr>
          <w:r>
            <w:rPr>
              <w:b w:val="false"/>
              <w:sz w:val="18"/>
              <w:szCs w:val="18"/>
              <w:lang w:val="en-GB" w:eastAsia="en-US"/>
            </w:rPr>
            <w:t>2.4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r>
            <w:rPr>
              <w:b w:val="false"/>
              <w:sz w:val="18"/>
              <w:szCs w:val="18"/>
              <w:lang w:val="en-GB" w:eastAsia="en-US"/>
            </w:rPr>
            <w:t>Computer Incident Response Team (CIRT)</w:t>
          </w:r>
          <w:r>
            <w:rPr>
              <w:b w:val="false"/>
              <w:sz w:val="18"/>
              <w:szCs w:val="18"/>
              <w:lang w:val="en-US" w:eastAsia="en-US"/>
            </w:rPr>
            <w:tab/>
          </w:r>
          <w:hyperlink w:anchor="__RefHeading___Toc150655721">
            <w:r>
              <w:rPr>
                <w:rStyle w:val="IndexLink"/>
                <w:b w:val="false"/>
                <w:sz w:val="18"/>
                <w:szCs w:val="18"/>
                <w:lang w:val="en-US" w:eastAsia="en-US"/>
              </w:rPr>
              <w:t>3</w:t>
            </w:r>
          </w:hyperlink>
          <w:r>
            <w:rPr>
              <w:rStyle w:val="IndexLink"/>
              <w:sz w:val="18"/>
              <w:b w:val="false"/>
              <w:szCs w:val="18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caps/>
          <w:sz w:val="18"/>
          <w:szCs w:val="18"/>
          <w:lang w:val="en-GB" w:eastAsia="en-US"/>
        </w:rPr>
      </w:pPr>
      <w:r>
        <w:rPr>
          <w:b/>
          <w:caps/>
          <w:sz w:val="18"/>
          <w:szCs w:val="18"/>
          <w:lang w:val="en-GB" w:eastAsia="en-US"/>
        </w:rPr>
      </w:r>
    </w:p>
    <w:p>
      <w:pPr>
        <w:pStyle w:val="Normal"/>
        <w:rPr>
          <w:caps/>
          <w:sz w:val="18"/>
          <w:szCs w:val="18"/>
          <w:lang w:val="en-GB"/>
        </w:rPr>
      </w:pPr>
      <w:r>
        <w:rPr>
          <w:caps/>
          <w:sz w:val="18"/>
          <w:szCs w:val="18"/>
          <w:lang w:val="en-GB"/>
        </w:rPr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29" w:right="1729" w:gutter="0" w:header="720" w:top="776" w:footer="720" w:bottom="1094"/>
          <w:pgNumType w:start="1" w:fmt="lowerRoman"/>
          <w:formProt w:val="false"/>
          <w:textDirection w:val="lrTb"/>
          <w:docGrid w:type="default" w:linePitch="360" w:charSpace="0"/>
        </w:sectPr>
        <w:pStyle w:val="Normal"/>
        <w:rPr>
          <w:caps/>
          <w:sz w:val="18"/>
          <w:szCs w:val="18"/>
          <w:lang w:val="en-GB"/>
        </w:rPr>
      </w:pPr>
      <w:r>
        <w:rPr>
          <w:caps/>
          <w:sz w:val="18"/>
          <w:szCs w:val="18"/>
          <w:lang w:val="en-GB"/>
        </w:rPr>
      </w:r>
    </w:p>
    <w:p>
      <w:pPr>
        <w:pStyle w:val="Normal"/>
        <w:spacing w:before="0" w:after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1Numbered"/>
        <w:numPr>
          <w:ilvl w:val="0"/>
          <w:numId w:val="2"/>
        </w:numPr>
        <w:ind w:hanging="0" w:start="0"/>
        <w:rPr>
          <w:rFonts w:ascii="Times New Roman" w:hAnsi="Times New Roman" w:cs="Times New Roman"/>
          <w:sz w:val="22"/>
          <w:szCs w:val="22"/>
          <w:lang w:val="en-GB"/>
        </w:rPr>
      </w:pPr>
      <w:bookmarkStart w:id="0" w:name="__RefHeading___Toc150655716"/>
      <w:bookmarkEnd w:id="0"/>
      <w:r>
        <w:rPr>
          <w:rFonts w:cs="Times New Roman" w:ascii="Times New Roman" w:hAnsi="Times New Roman"/>
          <w:sz w:val="22"/>
          <w:szCs w:val="22"/>
          <w:lang w:val="en-GB"/>
        </w:rPr>
        <w:t>Introduction</w:t>
      </w:r>
    </w:p>
    <w:p>
      <w:pPr>
        <w:pStyle w:val="BodyText"/>
        <w:ind w:start="0" w:end="0"/>
        <w:rPr>
          <w:szCs w:val="22"/>
          <w:lang w:val="en-GB"/>
        </w:rPr>
      </w:pPr>
      <w:r>
        <w:rPr>
          <w:szCs w:val="22"/>
          <w:lang w:val="en-GB"/>
        </w:rPr>
        <w:t xml:space="preserve">This Attachment describes EuroBank’s current procedures relating to Data Security. The PST Supplier will adhere to all procedures as part of providing the Services. </w:t>
      </w:r>
    </w:p>
    <w:p>
      <w:pPr>
        <w:pStyle w:val="BodyText"/>
        <w:ind w:start="0" w:end="0"/>
        <w:rPr>
          <w:szCs w:val="22"/>
          <w:lang w:val="en-GB"/>
        </w:rPr>
      </w:pPr>
      <w:r>
        <w:rPr>
          <w:szCs w:val="22"/>
          <w:lang w:val="en-GB"/>
        </w:rPr>
        <w:t>All Policies and Procedures mentioned below have been or will be supplied to the PST Supplier on Compact Disk prior to the Effective Date and are listed in Attachment 17-D (</w:t>
      </w:r>
      <w:r>
        <w:rPr>
          <w:i/>
          <w:szCs w:val="22"/>
          <w:lang w:val="en-GB"/>
        </w:rPr>
        <w:t>Policies</w:t>
      </w:r>
      <w:r>
        <w:rPr>
          <w:szCs w:val="22"/>
          <w:lang w:val="en-GB"/>
        </w:rPr>
        <w:t>)</w:t>
      </w:r>
    </w:p>
    <w:p>
      <w:pPr>
        <w:pStyle w:val="Heading1Numbered"/>
        <w:numPr>
          <w:ilvl w:val="0"/>
          <w:numId w:val="2"/>
        </w:numPr>
        <w:ind w:hanging="0" w:start="0"/>
        <w:rPr>
          <w:rFonts w:ascii="Times New Roman" w:hAnsi="Times New Roman" w:cs="Times New Roman"/>
          <w:sz w:val="22"/>
          <w:szCs w:val="22"/>
          <w:lang w:val="en-GB"/>
        </w:rPr>
      </w:pPr>
      <w:bookmarkStart w:id="1" w:name="__RefHeading___Toc150655717"/>
      <w:bookmarkEnd w:id="1"/>
      <w:r>
        <w:rPr>
          <w:rFonts w:cs="Times New Roman" w:ascii="Times New Roman" w:hAnsi="Times New Roman"/>
          <w:sz w:val="22"/>
          <w:szCs w:val="22"/>
          <w:lang w:val="en-GB"/>
        </w:rPr>
        <w:t>EuroBank GROUP Information Security Policy Requirements</w:t>
      </w:r>
    </w:p>
    <w:p>
      <w:pPr>
        <w:pStyle w:val="Normal"/>
        <w:rPr>
          <w:szCs w:val="22"/>
        </w:rPr>
      </w:pPr>
      <w:r>
        <w:rPr>
          <w:szCs w:val="22"/>
        </w:rPr>
        <w:t>The following documents are EuroBank policies and will be complied with by the PST Supplier:</w:t>
      </w:r>
    </w:p>
    <w:p>
      <w:pPr>
        <w:pStyle w:val="Heading2Numbered"/>
        <w:numPr>
          <w:ilvl w:val="1"/>
          <w:numId w:val="2"/>
        </w:numPr>
        <w:tabs>
          <w:tab w:val="clear" w:pos="720"/>
          <w:tab w:val="left" w:pos="1440" w:leader="none"/>
        </w:tabs>
        <w:ind w:hanging="720" w:start="1440" w:end="0"/>
        <w:rPr>
          <w:rFonts w:ascii="Times New Roman" w:hAnsi="Times New Roman" w:cs="Times New Roman"/>
          <w:sz w:val="22"/>
          <w:szCs w:val="22"/>
        </w:rPr>
      </w:pPr>
      <w:bookmarkStart w:id="2" w:name="__RefHeading___Toc150655718"/>
      <w:bookmarkEnd w:id="2"/>
      <w:r>
        <w:rPr>
          <w:rFonts w:cs="Times New Roman" w:ascii="Times New Roman" w:hAnsi="Times New Roman"/>
          <w:sz w:val="22"/>
          <w:szCs w:val="22"/>
        </w:rPr>
        <w:t>Strategic Level</w:t>
      </w:r>
    </w:p>
    <w:p>
      <w:pPr>
        <w:pStyle w:val="Normal"/>
        <w:ind w:start="720" w:end="0"/>
        <w:rPr/>
      </w:pPr>
      <w:r>
        <w:rPr>
          <w:i/>
          <w:szCs w:val="22"/>
        </w:rPr>
        <w:t>EuroBank Group Policy on Information Security (Strategic level). Tactical Level</w:t>
      </w:r>
      <w:r>
        <w:rPr>
          <w:szCs w:val="22"/>
        </w:rPr>
      </w:r>
      <w:r>
        <w:rPr/>
      </w:r>
    </w:p>
    <w:p>
      <w:pPr>
        <w:pStyle w:val="Normal"/>
        <w:ind w:start="720" w:end="0"/>
        <w:rPr/>
      </w:pPr>
      <w:r>
        <w:rPr>
          <w:i/>
          <w:szCs w:val="22"/>
        </w:rPr>
        <w:t xml:space="preserve">EuroBank Group Policy on Information Security (Tactical level) - External connections policy. </w:t>
      </w:r>
      <w:r>
        <w:rPr>
          <w:szCs w:val="22"/>
        </w:rPr>
      </w:r>
    </w:p>
    <w:p>
      <w:pPr>
        <w:pStyle w:val="Heading2Numbered"/>
        <w:numPr>
          <w:ilvl w:val="1"/>
          <w:numId w:val="2"/>
        </w:numPr>
        <w:tabs>
          <w:tab w:val="clear" w:pos="720"/>
          <w:tab w:val="left" w:pos="1440" w:leader="none"/>
        </w:tabs>
        <w:ind w:hanging="720" w:start="1440" w:end="0"/>
        <w:rPr>
          <w:rFonts w:ascii="Times New Roman" w:hAnsi="Times New Roman" w:cs="Times New Roman"/>
          <w:sz w:val="22"/>
          <w:szCs w:val="22"/>
        </w:rPr>
      </w:pPr>
      <w:bookmarkStart w:id="3" w:name="__RefHeading___Toc150655719"/>
      <w:bookmarkEnd w:id="3"/>
      <w:r>
        <w:rPr>
          <w:rFonts w:cs="Times New Roman" w:ascii="Times New Roman" w:hAnsi="Times New Roman"/>
          <w:sz w:val="22"/>
          <w:szCs w:val="22"/>
        </w:rPr>
        <w:t>Operational Level</w:t>
      </w:r>
    </w:p>
    <w:p>
      <w:pPr>
        <w:pStyle w:val="Normal"/>
        <w:ind w:start="720" w:end="0"/>
        <w:jc w:val="both"/>
        <w:rPr/>
      </w:pPr>
      <w:r>
        <w:rPr>
          <w:i/>
          <w:szCs w:val="22"/>
        </w:rPr>
        <w:t xml:space="preserve">EuroBank Group External Connections Policy for Information Security – Establishes rules for connection of EuroBank networks to non-EuroBank networks. </w:t>
      </w:r>
      <w:r>
        <w:rPr>
          <w:szCs w:val="22"/>
        </w:rPr>
      </w:r>
    </w:p>
    <w:p>
      <w:pPr>
        <w:pStyle w:val="Normal"/>
        <w:ind w:start="720" w:end="0"/>
        <w:jc w:val="both"/>
        <w:rPr/>
      </w:pPr>
      <w:r>
        <w:rPr>
          <w:i/>
          <w:szCs w:val="22"/>
        </w:rPr>
        <w:t xml:space="preserve">EuroBank Group Data Classification Policy for Information Security – Defines minimum protection requirements based on confidentiality, integrity, and availability classification of individual assets. </w:t>
      </w:r>
      <w:r>
        <w:rPr>
          <w:szCs w:val="22"/>
        </w:rPr>
      </w:r>
    </w:p>
    <w:p>
      <w:pPr>
        <w:pStyle w:val="Normal"/>
        <w:ind w:start="720" w:end="0"/>
        <w:jc w:val="both"/>
        <w:rPr/>
      </w:pPr>
      <w:r>
        <w:rPr>
          <w:i/>
          <w:szCs w:val="22"/>
        </w:rPr>
        <w:t xml:space="preserve">EuroBank Group Roles and Responsibilities Standard for Information Security – Defines requirements for individual roles to limit scope of any individual’s capabilities. See </w:t>
      </w:r>
      <w:r>
        <w:rPr>
          <w:szCs w:val="22"/>
        </w:rPr>
      </w:r>
    </w:p>
    <w:p>
      <w:pPr>
        <w:pStyle w:val="Normal"/>
        <w:ind w:start="720" w:end="0"/>
        <w:jc w:val="both"/>
        <w:rPr/>
      </w:pPr>
      <w:r>
        <w:rPr>
          <w:i/>
          <w:szCs w:val="22"/>
        </w:rPr>
        <w:t xml:space="preserve">EuroBank Group Encryption Policy for Information Security – Defines requirements for the use of encryption. </w:t>
      </w:r>
      <w:r>
        <w:rPr>
          <w:szCs w:val="22"/>
        </w:rPr>
      </w:r>
    </w:p>
    <w:p>
      <w:pPr>
        <w:pStyle w:val="Normal"/>
        <w:ind w:start="720" w:end="0"/>
        <w:jc w:val="both"/>
        <w:rPr/>
      </w:pPr>
      <w:r>
        <w:rPr>
          <w:i/>
          <w:szCs w:val="22"/>
          <w:lang w:val="en-GB"/>
        </w:rPr>
        <w:t xml:space="preserve">EuroBank e-mail retention policy. </w:t>
      </w:r>
      <w:r>
        <w:rPr>
          <w:szCs w:val="22"/>
          <w:lang w:val="en-GB"/>
        </w:rPr>
      </w:r>
    </w:p>
    <w:p>
      <w:pPr>
        <w:pStyle w:val="Normal"/>
        <w:ind w:start="720" w:end="0"/>
        <w:jc w:val="both"/>
        <w:rPr/>
      </w:pPr>
      <w:r>
        <w:rPr>
          <w:i/>
          <w:szCs w:val="22"/>
        </w:rPr>
        <w:t>EuroBank CIRT..</w:t>
      </w:r>
      <w:r>
        <w:rPr>
          <w:szCs w:val="22"/>
        </w:rPr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1800" w:leader="none"/>
        </w:tabs>
        <w:spacing w:before="0" w:after="0"/>
        <w:ind w:hanging="360" w:start="1800" w:end="0"/>
        <w:rPr>
          <w:szCs w:val="22"/>
        </w:rPr>
      </w:pPr>
      <w:r>
        <w:rPr>
          <w:szCs w:val="22"/>
          <w:lang w:val="en-GB"/>
        </w:rPr>
        <w:t>The policies above are mentioned because of their perceived importance to EuroBank. The PST will also have to comply with all EuroBank policies listed in Attachment 17 D (Policies).</w:t>
      </w:r>
      <w:r>
        <w:rPr>
          <w:i/>
          <w:szCs w:val="22"/>
          <w:lang w:val="en-GB"/>
        </w:rPr>
      </w:r>
      <w:r>
        <w:rPr>
          <w:szCs w:val="22"/>
          <w:lang w:val="en-GB"/>
        </w:rPr>
      </w:r>
    </w:p>
    <w:p>
      <w:pPr>
        <w:pStyle w:val="Normal"/>
        <w:ind w:start="720" w:end="0"/>
        <w:rPr>
          <w:szCs w:val="22"/>
          <w:lang w:val="en-GB"/>
        </w:rPr>
      </w:pPr>
      <w:r>
        <w:rPr>
          <w:szCs w:val="22"/>
          <w:lang w:val="en-GB"/>
        </w:rPr>
      </w:r>
    </w:p>
    <w:p>
      <w:pPr>
        <w:pStyle w:val="Heading2Numbered"/>
        <w:numPr>
          <w:ilvl w:val="1"/>
          <w:numId w:val="2"/>
        </w:numPr>
        <w:tabs>
          <w:tab w:val="clear" w:pos="720"/>
          <w:tab w:val="left" w:pos="1440" w:leader="none"/>
        </w:tabs>
        <w:ind w:hanging="720" w:start="1440" w:end="0"/>
        <w:rPr>
          <w:rFonts w:ascii="Times New Roman" w:hAnsi="Times New Roman" w:cs="Times New Roman"/>
          <w:sz w:val="22"/>
          <w:szCs w:val="22"/>
        </w:rPr>
      </w:pPr>
      <w:bookmarkStart w:id="4" w:name="__RefHeading___Toc150655720"/>
      <w:bookmarkEnd w:id="4"/>
      <w:r>
        <w:rPr>
          <w:rFonts w:cs="Times New Roman" w:ascii="Times New Roman" w:hAnsi="Times New Roman"/>
          <w:sz w:val="22"/>
          <w:szCs w:val="22"/>
        </w:rPr>
        <w:t>Operational Security Guidelines</w:t>
      </w:r>
    </w:p>
    <w:p>
      <w:pPr>
        <w:pStyle w:val="BodyText"/>
        <w:rPr/>
      </w:pPr>
      <w:r>
        <w:rPr>
          <w:szCs w:val="22"/>
          <w:lang w:val="en-GB"/>
        </w:rPr>
        <w:t xml:space="preserve">On the operational-level, Operational Security Guidelines are listed in the table </w:t>
      </w:r>
      <w:r>
        <w:rPr/>
        <w:t>here-under:</w:t>
      </w:r>
    </w:p>
    <w:tbl>
      <w:tblPr>
        <w:tblW w:w="8280" w:type="dxa"/>
        <w:jc w:val="start"/>
        <w:tblInd w:w="3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1418"/>
        <w:gridCol w:w="6862"/>
      </w:tblGrid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Onderwerp / beheerder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Heading1"/>
              <w:spacing w:before="240" w:after="240"/>
              <w:ind w:hanging="0" w:star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Current approved  OSG's                           19/05/2005          </w:t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sz w:val="18"/>
                <w:szCs w:val="18"/>
                <w:lang w:val="fr-FR"/>
              </w:rPr>
              <w:br/>
              <w:t>Anti-Virus</w:t>
              <w:br/>
              <w:t xml:space="preserve">W&amp;CI 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8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Operational Security Guideline</w:t>
              <w:br/>
              <w:t>McAfee Anti-Virus 4.5.1</w:t>
              <w:br/>
              <w:t>Netshield for Windows NT servers</w:t>
              <w:br/>
              <w:t>Netshield for Novell Netware 4.x.x, (Language UK), 3/2/2003</w:t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sz w:val="18"/>
                <w:szCs w:val="18"/>
                <w:lang w:val="fr-FR"/>
              </w:rPr>
              <w:t>Lotus Notes:</w:t>
              <w:br/>
              <w:t xml:space="preserve">W&amp;CI 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Notes Security Policy , 6/11/2000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Notes Security Organisation Guideline, 1/5/2002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Notes Domino Web Server 5.x Security Standard, 6/11/2000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Notes Domino Hub Server 5.x , 11/11/2002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Notes Domino Application Server 5.x Security Standard, 6/11/2000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Notes Client 5.x Security Standard, 6/11/2000</w:t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sz w:val="18"/>
                <w:szCs w:val="18"/>
                <w:lang w:val="fr-FR"/>
              </w:rPr>
              <w:t>Internet &amp; eMail:</w:t>
              <w:br/>
              <w:t xml:space="preserve">W&amp;CI 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Generic Internet Firewall Policy EuroBank/ITC, 6/11/2000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Security Standard for Outlook Client, 16/10/2001</w:t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cs="Arial" w:ascii="Arial" w:hAnsi="Arial"/>
                <w:sz w:val="18"/>
                <w:szCs w:val="18"/>
                <w:lang w:val="de-DE"/>
              </w:rPr>
              <w:t>KA Deskop &amp; Server:</w:t>
              <w:br/>
              <w:t xml:space="preserve">SE 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OSG Internet explorer 6</w:t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Windows:</w:t>
              <w:br/>
              <w:t>SE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Security Standard for Windows NT 4.0 Server, 1/12/98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Security Standard for Windows NT 4.0 Workstation, 1/12/98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Security Standard for Windows 2000 Professional, 16/10/2001</w:t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PDA:</w:t>
              <w:br/>
              <w:t xml:space="preserve">SE 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Security Standard PalmOS PDA, 24/7/2001</w:t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UNIX:</w:t>
              <w:br/>
              <w:t xml:space="preserve">SE 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OSG for ETrust ACX5 SP1, Language NL, 11/6/2002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sz w:val="18"/>
                <w:szCs w:val="18"/>
                <w:lang w:val="fr-FR"/>
              </w:rPr>
              <w:t>OSG AIX 4.3, Language NL, v 2.5 , 03/2004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OSG AIX 5L v1.2, 03/2004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OSG for MQSeries on Unix, Language NL, 8/10/2002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OSG for SUN ONE Directory Server, 6/6/2003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OSG for HACMP, 6/6/2003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OSG for SUN Solaris 8 v2.3, 6/6/2003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OSG for Tivoli Storage Manager, 5/5/2003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OSG IBM LPAR p Series 690 and HMC V1.0 30/10/2003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OSG eTrust ACX5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sz w:val="18"/>
                <w:szCs w:val="18"/>
                <w:lang w:val="fr-FR"/>
              </w:rPr>
              <w:t xml:space="preserve">OSG </w:t>
            </w:r>
            <w:r>
              <w:rPr>
                <w:rFonts w:cs="Arial" w:ascii="Arial" w:hAnsi="Arial"/>
                <w:bCs/>
                <w:sz w:val="18"/>
                <w:szCs w:val="18"/>
                <w:lang w:val="fr-FR"/>
              </w:rPr>
              <w:t>SUN MANGEMENT CENTER 3.5, v04, 20/10/2004</w:t>
            </w:r>
          </w:p>
          <w:p>
            <w:pPr>
              <w:pStyle w:val="Normal"/>
              <w:spacing w:before="120" w:after="120"/>
              <w:ind w:start="360" w:end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sz w:val="18"/>
                <w:szCs w:val="18"/>
                <w:lang w:val="fr-FR"/>
              </w:rPr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Middleware:</w:t>
              <w:br/>
              <w:t>SDI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sz w:val="18"/>
                <w:szCs w:val="18"/>
                <w:lang w:val="it-IT"/>
              </w:rPr>
              <w:t xml:space="preserve">OSG SPAZIO DataSecure for MQSeries v1.0, 3/2/2003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OSG Candle &amp; Candle Command Centre V1.0, 12/11/2003-11-2003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sz w:val="18"/>
                <w:szCs w:val="18"/>
                <w:lang w:val="fr-FR"/>
              </w:rPr>
              <w:t xml:space="preserve">OSG Message Transformation Service, v1.0, 12/11/2003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pl-PL"/>
              </w:rPr>
            </w:pPr>
            <w:r>
              <w:rPr>
                <w:rFonts w:cs="Arial" w:ascii="Arial" w:hAnsi="Arial"/>
                <w:sz w:val="18"/>
                <w:szCs w:val="18"/>
                <w:lang w:val="pl-PL"/>
              </w:rPr>
              <w:t xml:space="preserve">OSG Oracle 8i/9I, v1.0, 12/11/2003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OSG PVCS Dimensions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IFSA Application Bus 2.0 &amp; 2.1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bCs/>
                <w:sz w:val="18"/>
                <w:szCs w:val="18"/>
                <w:lang w:val="en-GB"/>
              </w:rPr>
              <w:t>Websphere EuroBank-ITC OSG V 1.0, 1/9/2003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Flower 2.1, v2.0, 1/11/2004</w:t>
            </w:r>
          </w:p>
          <w:p>
            <w:pPr>
              <w:pStyle w:val="Normal"/>
              <w:spacing w:before="120" w:after="120"/>
              <w:ind w:start="360" w:end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</w:rPr>
              <w:t>Operations</w:t>
            </w:r>
          </w:p>
          <w:p>
            <w:pPr>
              <w:pStyle w:val="Normal"/>
              <w:spacing w:before="120" w:after="120"/>
              <w:rPr>
                <w:rFonts w:ascii="Arial" w:hAnsi="Arial" w:cs="Arial"/>
                <w:color w:val="0000FF"/>
                <w:sz w:val="18"/>
                <w:szCs w:val="18"/>
              </w:rPr>
            </w:pPr>
            <w:r>
              <w:rPr>
                <w:rFonts w:cs="Arial" w:ascii="Arial" w:hAnsi="Arial"/>
                <w:color w:val="0000FF"/>
                <w:sz w:val="18"/>
                <w:szCs w:val="18"/>
              </w:rPr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OSG IBM Operational Model 3.0, V1.0, 15/10/2004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O</w:t>
            </w:r>
            <w:r>
              <w:rPr>
                <w:rFonts w:cs="Arial" w:ascii="Arial" w:hAnsi="Arial"/>
                <w:color w:val="000000"/>
                <w:sz w:val="18"/>
                <w:szCs w:val="18"/>
                <w:lang w:val="en-GB"/>
              </w:rPr>
              <w:t>SG TWS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t xml:space="preserve"> Unix agent 8.1, version 1.4, 9/2004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OSG Service Support voor IRM-A, update V08, 6 januari 2005</w:t>
            </w:r>
          </w:p>
        </w:tc>
      </w:tr>
      <w:tr>
        <w:trPr>
          <w:trHeight w:val="3090" w:hRule="atLeast"/>
        </w:trPr>
        <w:tc>
          <w:tcPr>
            <w:tcW w:w="1418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  <w:color w:val="000000"/>
                <w:sz w:val="18"/>
                <w:szCs w:val="18"/>
                <w:lang w:val="nl-NL"/>
              </w:rPr>
            </w:pPr>
            <w:r>
              <w:rPr>
                <w:rFonts w:cs="Arial" w:ascii="Arial" w:hAnsi="Arial"/>
                <w:color w:val="000000"/>
                <w:sz w:val="18"/>
                <w:szCs w:val="18"/>
                <w:lang w:val="nl-NL"/>
              </w:rPr>
              <w:t>Network:</w:t>
              <w:br/>
              <w:t>NSI</w:t>
            </w:r>
          </w:p>
        </w:tc>
        <w:tc>
          <w:tcPr>
            <w:tcW w:w="6862" w:type="dxa"/>
            <w:tcBorders>
              <w:top w:val="threeDEmboss" w:sz="6" w:space="0" w:color="000000"/>
              <w:start w:val="threeDEmboss" w:sz="6" w:space="0" w:color="000000"/>
              <w:bottom w:val="threeDEmboss" w:sz="6" w:space="0" w:color="000000"/>
              <w:end w:val="threeDEmboss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 xml:space="preserve">Operational Security Guideline for Secure Shell (SSH) v1.1, 8/5/2003 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OSG for TACACS+, v1.2, 3/2/2004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Brocade Switch, v1.0, 8/4/2004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OSG Session Management Exit (SME), v1.0, 18/10/2003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OSG HP Openview Network Node Manager 1.5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OSG zOS V1R4 TCP/Ip 1.011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OSG Cisco Works LMS 2.2, v1.10, 01-12-2004</w:t>
            </w:r>
          </w:p>
          <w:p>
            <w:pPr>
              <w:pStyle w:val="Normal"/>
              <w:numPr>
                <w:ilvl w:val="0"/>
                <w:numId w:val="9"/>
              </w:numPr>
              <w:spacing w:before="0"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en-GB"/>
              </w:rPr>
              <w:t>OSG QIP DNS DHCP versie 1.2. 9/3/2005</w:t>
            </w:r>
          </w:p>
        </w:tc>
      </w:tr>
    </w:tbl>
    <w:p>
      <w:pPr>
        <w:pStyle w:val="Heading2Numbered"/>
        <w:numPr>
          <w:ilvl w:val="1"/>
          <w:numId w:val="2"/>
        </w:numPr>
        <w:tabs>
          <w:tab w:val="clear" w:pos="720"/>
          <w:tab w:val="left" w:pos="1440" w:leader="none"/>
        </w:tabs>
        <w:ind w:hanging="720" w:start="1440" w:end="0"/>
        <w:jc w:val="both"/>
        <w:rPr>
          <w:rFonts w:ascii="Times New Roman" w:hAnsi="Times New Roman" w:cs="Times New Roman"/>
          <w:sz w:val="22"/>
          <w:szCs w:val="22"/>
          <w:lang w:val="en-GB"/>
        </w:rPr>
      </w:pPr>
      <w:bookmarkStart w:id="5" w:name="__RefHeading___Toc150655721"/>
      <w:bookmarkEnd w:id="5"/>
      <w:r>
        <w:rPr>
          <w:rFonts w:cs="Times New Roman" w:ascii="Times New Roman" w:hAnsi="Times New Roman"/>
          <w:sz w:val="22"/>
          <w:szCs w:val="22"/>
          <w:lang w:val="en-GB"/>
        </w:rPr>
        <w:t>Computer Incident Response Team (CIRT)</w:t>
      </w:r>
    </w:p>
    <w:p>
      <w:pPr>
        <w:pStyle w:val="BodyText"/>
        <w:rPr/>
      </w:pPr>
      <w:r>
        <w:rPr>
          <w:szCs w:val="22"/>
          <w:lang w:val="en-GB"/>
        </w:rPr>
        <w:t>The PST will be considered as an “Other party” with respect to the operation of the EuroBank CIRT as described in CIRT policies mentioned in Exhibit 17 D (Policies).</w:t>
      </w:r>
      <w:r>
        <w:rPr>
          <w:sz w:val="16"/>
          <w:szCs w:val="16"/>
        </w:rPr>
      </w:r>
      <w:r>
        <w:rPr>
          <w:szCs w:val="22"/>
          <w:lang w:val="en-GB"/>
        </w:rPr>
      </w:r>
      <w:r>
        <w:rPr>
          <w:sz w:val="16"/>
          <w:szCs w:val="16"/>
        </w:rPr>
      </w:r>
      <w:r>
        <w:rPr>
          <w:szCs w:val="22"/>
          <w:lang w:val="en-GB"/>
        </w:rPr>
      </w:r>
      <w:r>
        <w:rPr>
          <w:i/>
          <w:szCs w:val="22"/>
          <w:lang w:val="en-GB"/>
        </w:rPr>
      </w:r>
      <w:r>
        <w:rPr>
          <w:szCs w:val="22"/>
          <w:lang w:val="en-GB"/>
        </w:rPr>
      </w:r>
    </w:p>
    <w:p>
      <w:pPr>
        <w:pStyle w:val="Normal"/>
        <w:spacing w:before="0" w:after="0"/>
        <w:jc w:val="both"/>
        <w:rPr>
          <w:szCs w:val="22"/>
          <w:lang w:val="en-GB"/>
        </w:rPr>
      </w:pPr>
      <w:r>
        <w:rPr>
          <w:szCs w:val="22"/>
          <w:lang w:val="en-GB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729" w:right="1729" w:gutter="0" w:header="720" w:top="776" w:footer="720" w:bottom="109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>
        <w:sz w:val="16"/>
        <w:szCs w:val="16"/>
      </w:rPr>
    </w:pPr>
    <w:r>
      <w:rPr>
        <w:sz w:val="16"/>
        <w:szCs w:val="16"/>
      </w:rPr>
      <w:t>Ops&amp;IT Banking Confidential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i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>
        <w:sz w:val="16"/>
        <w:szCs w:val="16"/>
      </w:rPr>
    </w:pPr>
    <w:r>
      <w:rPr>
        <w:sz w:val="16"/>
        <w:szCs w:val="16"/>
      </w:rPr>
    </w:r>
  </w:p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17-A (Data Security) Final v1.3.doc</w:t>
    </w:r>
    <w:r>
      <w:rPr>
        <w:sz w:val="16"/>
        <w:szCs w:val="16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17-A (Data Security) Final v1.3.doc</w:t>
    </w:r>
    <w:r>
      <w:rPr>
        <w:sz w:val="16"/>
        <w:szCs w:val="16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3" name="Image1 Copy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 Copy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Attachment 17-A (Data Security) Final v1.3.doc</w:t>
    </w:r>
    <w:r>
      <w:rPr>
        <w:sz w:val="16"/>
        <w:szCs w:val="16"/>
      </w:rPr>
      <w:fldChar w:fldCharType="end"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 Bold;Times New Roman" w:hAnsi="Times New Roman Bold;Times New Roman" w:cs="Times New Roman Bold;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start"/>
      <w:pPr>
        <w:tabs>
          <w:tab w:val="num" w:pos="36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2z0">
    <w:name w:val="WW8Num2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2z2">
    <w:name w:val="WW8Num2z2"/>
    <w:qFormat/>
    <w:rPr>
      <w:rFonts w:ascii="Times New Roman" w:hAnsi="Times New Roman" w:cs="Times New Roman"/>
      <w:b/>
      <w:i w:val="false"/>
      <w:sz w:val="24"/>
    </w:rPr>
  </w:style>
  <w:style w:type="character" w:styleId="WW8Num2z3">
    <w:name w:val="WW8Num2z3"/>
    <w:qFormat/>
    <w:rPr>
      <w:rFonts w:ascii="Times New Roman Bold;Times New Roman" w:hAnsi="Times New Roman Bold;Times New Roman" w:cs="Times New Roman Bold;Times New Roman"/>
      <w:b/>
      <w:i w:val="false"/>
      <w:sz w:val="24"/>
    </w:rPr>
  </w:style>
  <w:style w:type="character" w:styleId="WW8Num2z4">
    <w:name w:val="WW8Num2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5z1">
    <w:name w:val="WW8Num5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5z4">
    <w:name w:val="WW8Num5z4"/>
    <w:qFormat/>
    <w:rPr/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6z1">
    <w:name w:val="WW8Num6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6z4">
    <w:name w:val="WW8Num6z4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St7z0">
    <w:name w:val="WW8NumSt7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7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5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5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5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2006-11-30T19:47:00Z</dcterms:created>
  <dc:creator> </dc:creator>
  <dc:description/>
  <cp:keywords/>
  <dc:language>en-US</dc:language>
  <cp:lastModifiedBy>Stuart Johnson</cp:lastModifiedBy>
  <cp:lastPrinted>2006-11-03T14:21:00Z</cp:lastPrinted>
  <dcterms:modified xsi:type="dcterms:W3CDTF">2006-11-30T19:48:00Z</dcterms:modified>
  <cp:revision>4</cp:revision>
  <dc:subject/>
  <dc:title> </dc:title>
</cp:coreProperties>
</file>