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17-B</w:t>
      </w:r>
    </w:p>
    <w:p>
      <w:pPr>
        <w:pStyle w:val="Title"/>
        <w:rPr>
          <w:lang w:val="en-GB"/>
        </w:rPr>
      </w:pPr>
      <w:r>
        <w:rPr>
          <w:lang w:val="en-GB"/>
        </w:rPr>
      </w:r>
    </w:p>
    <w:p>
      <w:pPr>
        <w:pStyle w:val="Title"/>
        <w:rPr>
          <w:lang w:val="en-GB"/>
        </w:rPr>
      </w:pPr>
      <w:r>
        <w:rPr>
          <w:lang w:val="en-GB"/>
        </w:rPr>
        <w:t>Physical &amp; Personnel Security</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0656212">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Physical Security Policy</w:t>
          </w:r>
          <w:r>
            <w:rPr>
              <w:sz w:val="18"/>
              <w:szCs w:val="18"/>
              <w:lang w:val="en-US" w:eastAsia="en-US"/>
            </w:rPr>
            <w:tab/>
          </w:r>
          <w:hyperlink w:anchor="__RefHeading___Toc150656213">
            <w:r>
              <w:rPr>
                <w:rStyle w:val="IndexLink"/>
                <w:sz w:val="18"/>
                <w:szCs w:val="18"/>
                <w:lang w:val="en-US" w:eastAsia="en-US"/>
              </w:rPr>
              <w:t>1</w:t>
            </w:r>
          </w:hyperlink>
        </w:p>
        <w:p>
          <w:pPr>
            <w:pStyle w:val="TOC1"/>
            <w:tabs>
              <w:tab w:val="clear" w:pos="720"/>
              <w:tab w:val="left" w:pos="440" w:leader="none"/>
              <w:tab w:val="right" w:pos="8441" w:leader="dot"/>
            </w:tabs>
            <w:rPr>
              <w:sz w:val="18"/>
              <w:szCs w:val="18"/>
              <w:lang w:val="en-US" w:eastAsia="en-US"/>
            </w:rPr>
          </w:pPr>
          <w:r>
            <w:rPr>
              <w:b w:val="false"/>
              <w:sz w:val="18"/>
              <w:szCs w:val="18"/>
              <w:lang w:val="en-GB" w:eastAsia="en-US"/>
            </w:rPr>
            <w:t>3.</w:t>
          </w:r>
          <w:r>
            <w:rPr>
              <w:b w:val="false"/>
              <w:sz w:val="18"/>
              <w:szCs w:val="18"/>
              <w:lang w:val="en-US" w:eastAsia="en-US"/>
            </w:rPr>
            <w:tab/>
          </w:r>
          <w:r>
            <w:rPr>
              <w:b w:val="false"/>
              <w:sz w:val="18"/>
              <w:szCs w:val="18"/>
              <w:lang w:val="en-GB" w:eastAsia="en-US"/>
            </w:rPr>
            <w:t>Personnel Security Policy</w:t>
          </w:r>
          <w:r>
            <w:rPr>
              <w:b w:val="false"/>
              <w:sz w:val="18"/>
              <w:szCs w:val="18"/>
              <w:lang w:val="en-US" w:eastAsia="en-US"/>
            </w:rPr>
            <w:tab/>
          </w:r>
          <w:hyperlink w:anchor="__RefHeading___Toc150656214">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sz w:val="18"/>
          <w:szCs w:val="18"/>
          <w:lang w:val="en-GB"/>
        </w:rPr>
      </w:pPr>
      <w:r>
        <w:rPr>
          <w:sz w:val="18"/>
          <w:szCs w:val="18"/>
          <w:lang w:val="en-GB"/>
        </w:rPr>
      </w:r>
    </w:p>
    <w:p>
      <w:pPr>
        <w:pStyle w:val="Normal"/>
        <w:spacing w:before="0" w:after="0"/>
        <w:rPr>
          <w:szCs w:val="22"/>
          <w:lang w:val="en-GB"/>
        </w:rPr>
      </w:pPr>
      <w:r>
        <w:rPr>
          <w:szCs w:val="22"/>
          <w:lang w:val="en-GB"/>
        </w:rPr>
      </w:r>
    </w:p>
    <w:p>
      <w:pPr>
        <w:pStyle w:val="Heading1Numbered"/>
        <w:numPr>
          <w:ilvl w:val="0"/>
          <w:numId w:val="2"/>
        </w:numPr>
        <w:ind w:hanging="0" w:start="0"/>
        <w:rPr>
          <w:rFonts w:ascii="Times New Roman" w:hAnsi="Times New Roman" w:cs="Times New Roman"/>
          <w:sz w:val="22"/>
          <w:szCs w:val="22"/>
          <w:lang w:val="en-GB"/>
        </w:rPr>
      </w:pPr>
      <w:bookmarkStart w:id="0" w:name="__RefHeading___Toc150656212"/>
      <w:bookmarkEnd w:id="0"/>
      <w:r>
        <w:rPr>
          <w:rFonts w:cs="Times New Roman" w:ascii="Times New Roman" w:hAnsi="Times New Roman"/>
          <w:sz w:val="22"/>
          <w:szCs w:val="22"/>
          <w:lang w:val="en-GB"/>
        </w:rPr>
        <w:t>Introduction</w:t>
      </w:r>
    </w:p>
    <w:p>
      <w:pPr>
        <w:pStyle w:val="BodyText"/>
        <w:ind w:start="0" w:end="0"/>
        <w:rPr>
          <w:b/>
          <w:bCs/>
          <w:szCs w:val="22"/>
          <w:lang w:val="en-GB"/>
        </w:rPr>
      </w:pPr>
      <w:r>
        <w:rPr>
          <w:szCs w:val="22"/>
          <w:lang w:val="en-GB"/>
        </w:rPr>
        <w:t xml:space="preserve">This Attachment describes EuroBank’s current procedures relating to Physical and Personal Security. The PST Supplier will adhere to all procedures as part of providing the Services. The physical and personal security policy of Work Places Solutions has to be compliant to different levels of EuroBank policies. </w:t>
      </w:r>
      <w:r>
        <w:rPr>
          <w:bCs/>
          <w:szCs w:val="22"/>
          <w:lang w:val="en-GB"/>
        </w:rPr>
      </w:r>
      <w:r>
        <w:rPr>
          <w:b/>
          <w:bCs/>
          <w:szCs w:val="22"/>
          <w:lang w:val="en-GB"/>
        </w:rPr>
      </w:r>
    </w:p>
    <w:p>
      <w:pPr>
        <w:pStyle w:val="BodyText"/>
        <w:ind w:start="0" w:end="0"/>
        <w:rPr>
          <w:szCs w:val="22"/>
          <w:lang w:val="en-GB"/>
        </w:rPr>
      </w:pPr>
      <w:r>
        <w:rPr>
          <w:szCs w:val="22"/>
          <w:lang w:val="en-GB"/>
        </w:rPr>
        <w:t>All Policies and Procedures mentioned below have been or will be supplied to the PST Supplier on Compact Disk prior to the Effective Date and are listed in Exhibit 17-D (</w:t>
      </w:r>
      <w:r>
        <w:rPr>
          <w:i/>
          <w:szCs w:val="22"/>
          <w:lang w:val="en-GB"/>
        </w:rPr>
        <w:t>Policies</w:t>
      </w:r>
      <w:r>
        <w:rPr>
          <w:szCs w:val="22"/>
          <w:lang w:val="en-GB"/>
        </w:rPr>
        <w:t>)</w:t>
      </w:r>
    </w:p>
    <w:p>
      <w:pPr>
        <w:pStyle w:val="Heading1Numbered"/>
        <w:numPr>
          <w:ilvl w:val="0"/>
          <w:numId w:val="2"/>
        </w:numPr>
        <w:ind w:hanging="0" w:start="0"/>
        <w:rPr>
          <w:rFonts w:ascii="Times New Roman" w:hAnsi="Times New Roman" w:cs="Times New Roman"/>
          <w:sz w:val="22"/>
          <w:szCs w:val="22"/>
          <w:lang w:val="en-GB"/>
        </w:rPr>
      </w:pPr>
      <w:bookmarkStart w:id="1" w:name="__RefHeading___Toc150656213"/>
      <w:bookmarkEnd w:id="1"/>
      <w:r>
        <w:rPr>
          <w:rFonts w:cs="Times New Roman" w:ascii="Times New Roman" w:hAnsi="Times New Roman"/>
          <w:sz w:val="22"/>
          <w:szCs w:val="22"/>
          <w:lang w:val="en-GB"/>
        </w:rPr>
        <w:t>Physical Security Policy</w:t>
      </w:r>
    </w:p>
    <w:p>
      <w:pPr>
        <w:pStyle w:val="Title"/>
        <w:jc w:val="start"/>
        <w:rPr>
          <w:rFonts w:cs="Times New Roman"/>
          <w:b w:val="false"/>
          <w:caps w:val="false"/>
          <w:smallCaps w:val="false"/>
          <w:sz w:val="22"/>
          <w:szCs w:val="22"/>
          <w:lang w:val="en-GB"/>
        </w:rPr>
      </w:pPr>
      <w:r>
        <w:rPr>
          <w:rFonts w:cs="Times New Roman"/>
          <w:b w:val="false"/>
          <w:caps w:val="false"/>
          <w:smallCaps w:val="false"/>
          <w:sz w:val="22"/>
          <w:szCs w:val="22"/>
          <w:lang w:val="en-GB"/>
        </w:rPr>
        <w:t>The Physical Security Policy consists of a hierarchy of procedures, as follows:</w:t>
      </w:r>
    </w:p>
    <w:p>
      <w:pPr>
        <w:pStyle w:val="Title"/>
        <w:jc w:val="start"/>
        <w:rPr>
          <w:rFonts w:cs="Times New Roman"/>
          <w:b w:val="false"/>
          <w:caps w:val="false"/>
          <w:smallCaps w:val="false"/>
          <w:sz w:val="22"/>
          <w:szCs w:val="22"/>
          <w:lang w:val="en-GB"/>
        </w:rPr>
      </w:pPr>
      <w:r>
        <w:rPr>
          <w:rFonts w:cs="Times New Roman"/>
          <w:caps w:val="false"/>
          <w:smallCaps w:val="false"/>
          <w:sz w:val="22"/>
          <w:szCs w:val="22"/>
          <w:lang w:val="en-GB"/>
        </w:rPr>
        <w:t>Level 1</w:t>
      </w:r>
      <w:r>
        <w:rPr>
          <w:rFonts w:cs="Times New Roman"/>
          <w:b w:val="false"/>
          <w:caps w:val="false"/>
          <w:smallCaps w:val="false"/>
          <w:sz w:val="22"/>
          <w:szCs w:val="22"/>
          <w:lang w:val="en-GB"/>
        </w:rPr>
        <w:t xml:space="preserve"> is the “</w:t>
      </w:r>
      <w:r>
        <w:rPr>
          <w:rFonts w:cs="Times New Roman"/>
          <w:b w:val="false"/>
          <w:i/>
          <w:caps w:val="false"/>
          <w:smallCaps w:val="false"/>
          <w:sz w:val="22"/>
          <w:szCs w:val="22"/>
          <w:lang w:val="en-GB"/>
        </w:rPr>
        <w:t>Corporate Policy on Physical Security</w:t>
      </w:r>
      <w:r>
        <w:rPr>
          <w:rFonts w:cs="Times New Roman"/>
          <w:b w:val="false"/>
          <w:caps w:val="false"/>
          <w:smallCaps w:val="false"/>
          <w:sz w:val="22"/>
          <w:szCs w:val="22"/>
          <w:lang w:val="en-GB"/>
        </w:rPr>
        <w:t>”. An applied specific version of that is the “</w:t>
      </w:r>
      <w:r>
        <w:rPr>
          <w:rFonts w:cs="Times New Roman"/>
          <w:b w:val="false"/>
          <w:i/>
          <w:caps w:val="false"/>
          <w:smallCaps w:val="false"/>
          <w:sz w:val="22"/>
          <w:szCs w:val="22"/>
          <w:lang w:val="en-GB"/>
        </w:rPr>
        <w:t>WPS Physical Security Policy</w:t>
      </w:r>
      <w:r>
        <w:rPr>
          <w:rFonts w:cs="Times New Roman"/>
          <w:b w:val="false"/>
          <w:caps w:val="false"/>
          <w:smallCaps w:val="false"/>
          <w:sz w:val="22"/>
          <w:szCs w:val="22"/>
          <w:lang w:val="en-GB"/>
        </w:rPr>
        <w:t>”.</w:t>
      </w:r>
    </w:p>
    <w:p>
      <w:pPr>
        <w:pStyle w:val="Title"/>
        <w:jc w:val="start"/>
        <w:rPr/>
      </w:pPr>
      <w:r>
        <w:rPr>
          <w:rFonts w:cs="Times New Roman"/>
          <w:caps w:val="false"/>
          <w:smallCaps w:val="false"/>
          <w:sz w:val="22"/>
          <w:szCs w:val="22"/>
          <w:lang w:val="en-GB"/>
        </w:rPr>
        <w:t>Level 2</w:t>
      </w:r>
      <w:r>
        <w:rPr>
          <w:rFonts w:cs="Times New Roman"/>
          <w:b w:val="false"/>
          <w:caps w:val="false"/>
          <w:smallCaps w:val="false"/>
          <w:sz w:val="22"/>
          <w:szCs w:val="22"/>
          <w:lang w:val="en-GB"/>
        </w:rPr>
        <w:t xml:space="preserve"> consists of following minimum standards:</w:t>
      </w:r>
    </w:p>
    <w:p>
      <w:pPr>
        <w:pStyle w:val="Normal"/>
        <w:numPr>
          <w:ilvl w:val="0"/>
          <w:numId w:val="6"/>
        </w:numPr>
        <w:autoSpaceDE w:val="false"/>
        <w:spacing w:before="0" w:after="0"/>
        <w:rPr>
          <w:bCs/>
          <w:szCs w:val="22"/>
          <w:lang w:val="en-GB" w:eastAsia="nl-NL"/>
        </w:rPr>
      </w:pPr>
      <w:r>
        <w:rPr>
          <w:bCs/>
          <w:szCs w:val="22"/>
          <w:lang w:val="en-GB" w:eastAsia="nl-NL"/>
        </w:rPr>
        <w:t>Physical Access Security</w:t>
      </w:r>
    </w:p>
    <w:p>
      <w:pPr>
        <w:pStyle w:val="Normal"/>
        <w:numPr>
          <w:ilvl w:val="0"/>
          <w:numId w:val="6"/>
        </w:numPr>
        <w:autoSpaceDE w:val="false"/>
        <w:spacing w:before="0" w:after="0"/>
        <w:rPr>
          <w:szCs w:val="22"/>
          <w:lang w:val="en-GB" w:eastAsia="nl-NL"/>
        </w:rPr>
      </w:pPr>
      <w:r>
        <w:rPr>
          <w:szCs w:val="22"/>
          <w:lang w:val="en-GB" w:eastAsia="nl-NL"/>
        </w:rPr>
        <w:t>Theft protection</w:t>
      </w:r>
    </w:p>
    <w:p>
      <w:pPr>
        <w:pStyle w:val="Normal"/>
        <w:numPr>
          <w:ilvl w:val="0"/>
          <w:numId w:val="6"/>
        </w:numPr>
        <w:autoSpaceDE w:val="false"/>
        <w:spacing w:before="0" w:after="0"/>
        <w:rPr>
          <w:szCs w:val="22"/>
          <w:lang w:val="en-GB" w:eastAsia="nl-NL"/>
        </w:rPr>
      </w:pPr>
      <w:r>
        <w:rPr>
          <w:szCs w:val="22"/>
          <w:lang w:val="en-GB" w:eastAsia="nl-NL"/>
        </w:rPr>
        <w:t>Fire Protection</w:t>
      </w:r>
    </w:p>
    <w:p>
      <w:pPr>
        <w:pStyle w:val="Normal"/>
        <w:numPr>
          <w:ilvl w:val="0"/>
          <w:numId w:val="6"/>
        </w:numPr>
        <w:autoSpaceDE w:val="false"/>
        <w:spacing w:before="0" w:after="0"/>
        <w:rPr>
          <w:szCs w:val="22"/>
          <w:lang w:val="en-GB" w:eastAsia="nl-NL"/>
        </w:rPr>
      </w:pPr>
      <w:r>
        <w:rPr>
          <w:szCs w:val="22"/>
          <w:lang w:val="en-GB" w:eastAsia="nl-NL"/>
        </w:rPr>
        <w:t>Cash and Valuables Protection</w:t>
      </w:r>
    </w:p>
    <w:p>
      <w:pPr>
        <w:pStyle w:val="Normal"/>
        <w:numPr>
          <w:ilvl w:val="0"/>
          <w:numId w:val="6"/>
        </w:numPr>
        <w:autoSpaceDE w:val="false"/>
        <w:spacing w:before="0" w:after="0"/>
        <w:rPr>
          <w:szCs w:val="22"/>
          <w:lang w:val="en-GB" w:eastAsia="nl-NL"/>
        </w:rPr>
      </w:pPr>
      <w:r>
        <w:rPr>
          <w:szCs w:val="22"/>
          <w:lang w:val="en-GB" w:eastAsia="nl-NL"/>
        </w:rPr>
        <w:t>Physical Security Organisation</w:t>
      </w:r>
    </w:p>
    <w:p>
      <w:pPr>
        <w:pStyle w:val="Normal"/>
        <w:numPr>
          <w:ilvl w:val="0"/>
          <w:numId w:val="6"/>
        </w:numPr>
        <w:autoSpaceDE w:val="false"/>
        <w:spacing w:before="0" w:after="0"/>
        <w:rPr>
          <w:szCs w:val="22"/>
          <w:lang w:val="en-GB" w:eastAsia="nl-NL"/>
        </w:rPr>
      </w:pPr>
      <w:r>
        <w:rPr>
          <w:szCs w:val="22"/>
          <w:lang w:val="en-GB" w:eastAsia="nl-NL"/>
        </w:rPr>
        <w:t xml:space="preserve">Supporting Security Devices </w:t>
      </w:r>
    </w:p>
    <w:p>
      <w:pPr>
        <w:pStyle w:val="Normal"/>
        <w:numPr>
          <w:ilvl w:val="0"/>
          <w:numId w:val="6"/>
        </w:numPr>
        <w:autoSpaceDE w:val="false"/>
        <w:spacing w:before="0" w:after="0"/>
        <w:rPr>
          <w:szCs w:val="22"/>
          <w:lang w:val="en-GB" w:eastAsia="nl-NL"/>
        </w:rPr>
      </w:pPr>
      <w:r>
        <w:rPr>
          <w:szCs w:val="22"/>
          <w:lang w:val="en-GB" w:eastAsia="nl-NL"/>
        </w:rPr>
        <w:t>Utilities &amp; Infrastructure Protection</w:t>
      </w:r>
    </w:p>
    <w:p>
      <w:pPr>
        <w:pStyle w:val="Normal"/>
        <w:autoSpaceDE w:val="false"/>
        <w:spacing w:before="0" w:after="0"/>
        <w:rPr>
          <w:szCs w:val="22"/>
          <w:lang w:val="en-GB" w:eastAsia="nl-NL"/>
        </w:rPr>
      </w:pPr>
      <w:r>
        <w:rPr>
          <w:szCs w:val="22"/>
          <w:lang w:val="en-GB" w:eastAsia="nl-NL"/>
        </w:rPr>
      </w:r>
    </w:p>
    <w:p>
      <w:pPr>
        <w:pStyle w:val="Normal"/>
        <w:autoSpaceDE w:val="false"/>
        <w:spacing w:before="0" w:after="0"/>
        <w:rPr/>
      </w:pPr>
      <w:r>
        <w:rPr>
          <w:b/>
          <w:szCs w:val="22"/>
          <w:lang w:val="en-GB" w:eastAsia="nl-NL"/>
        </w:rPr>
        <w:t>Level 3</w:t>
      </w:r>
      <w:r>
        <w:rPr>
          <w:szCs w:val="22"/>
          <w:lang w:val="en-GB" w:eastAsia="nl-NL"/>
        </w:rPr>
        <w:t xml:space="preserve"> are then guidelines for:</w:t>
      </w:r>
    </w:p>
    <w:p>
      <w:pPr>
        <w:pStyle w:val="Normal"/>
        <w:autoSpaceDE w:val="false"/>
        <w:spacing w:before="0" w:after="0"/>
        <w:rPr>
          <w:szCs w:val="22"/>
          <w:lang w:val="en-GB" w:eastAsia="nl-NL"/>
        </w:rPr>
      </w:pPr>
      <w:r>
        <w:rPr>
          <w:szCs w:val="22"/>
          <w:lang w:val="en-GB" w:eastAsia="nl-NL"/>
        </w:rPr>
      </w:r>
    </w:p>
    <w:p>
      <w:pPr>
        <w:pStyle w:val="Normal"/>
        <w:numPr>
          <w:ilvl w:val="0"/>
          <w:numId w:val="4"/>
        </w:numPr>
        <w:autoSpaceDE w:val="false"/>
        <w:spacing w:before="0" w:after="0"/>
        <w:rPr>
          <w:szCs w:val="22"/>
          <w:lang w:val="en-GB" w:eastAsia="nl-NL"/>
        </w:rPr>
      </w:pPr>
      <w:r>
        <w:rPr>
          <w:szCs w:val="22"/>
          <w:lang w:val="en-GB" w:eastAsia="nl-NL"/>
        </w:rPr>
        <w:t>Physical Access Security</w:t>
      </w:r>
    </w:p>
    <w:p>
      <w:pPr>
        <w:pStyle w:val="Normal"/>
        <w:numPr>
          <w:ilvl w:val="0"/>
          <w:numId w:val="4"/>
        </w:numPr>
        <w:autoSpaceDE w:val="false"/>
        <w:spacing w:before="0" w:after="0"/>
        <w:rPr>
          <w:szCs w:val="22"/>
          <w:lang w:val="en-GB" w:eastAsia="nl-NL"/>
        </w:rPr>
      </w:pPr>
      <w:r>
        <w:rPr>
          <w:szCs w:val="22"/>
          <w:lang w:val="en-GB" w:eastAsia="nl-NL"/>
        </w:rPr>
        <w:t>Theft protection</w:t>
      </w:r>
    </w:p>
    <w:p>
      <w:pPr>
        <w:pStyle w:val="Normal"/>
        <w:numPr>
          <w:ilvl w:val="0"/>
          <w:numId w:val="4"/>
        </w:numPr>
        <w:autoSpaceDE w:val="false"/>
        <w:spacing w:before="0" w:after="0"/>
        <w:rPr>
          <w:szCs w:val="22"/>
          <w:lang w:val="en-GB" w:eastAsia="nl-NL"/>
        </w:rPr>
      </w:pPr>
      <w:r>
        <w:rPr>
          <w:szCs w:val="22"/>
          <w:lang w:val="en-GB" w:eastAsia="nl-NL"/>
        </w:rPr>
        <w:t>Fire Protection</w:t>
      </w:r>
    </w:p>
    <w:p>
      <w:pPr>
        <w:pStyle w:val="Normal"/>
        <w:numPr>
          <w:ilvl w:val="0"/>
          <w:numId w:val="4"/>
        </w:numPr>
        <w:autoSpaceDE w:val="false"/>
        <w:spacing w:before="0" w:after="0"/>
        <w:rPr>
          <w:szCs w:val="22"/>
          <w:lang w:val="en-GB" w:eastAsia="nl-NL"/>
        </w:rPr>
      </w:pPr>
      <w:r>
        <w:rPr>
          <w:szCs w:val="22"/>
          <w:lang w:val="en-GB" w:eastAsia="nl-NL"/>
        </w:rPr>
        <w:t>Cash and Valuables Protection</w:t>
      </w:r>
    </w:p>
    <w:p>
      <w:pPr>
        <w:pStyle w:val="Normal"/>
        <w:numPr>
          <w:ilvl w:val="0"/>
          <w:numId w:val="4"/>
        </w:numPr>
        <w:autoSpaceDE w:val="false"/>
        <w:spacing w:before="0" w:after="0"/>
        <w:rPr>
          <w:szCs w:val="22"/>
          <w:lang w:val="en-GB" w:eastAsia="nl-NL"/>
        </w:rPr>
      </w:pPr>
      <w:r>
        <w:rPr>
          <w:szCs w:val="22"/>
          <w:lang w:val="en-GB" w:eastAsia="nl-NL"/>
        </w:rPr>
        <w:t>Utilities &amp; Infrastructure Protection</w:t>
      </w:r>
    </w:p>
    <w:p>
      <w:pPr>
        <w:pStyle w:val="Normal"/>
        <w:numPr>
          <w:ilvl w:val="0"/>
          <w:numId w:val="4"/>
        </w:numPr>
        <w:autoSpaceDE w:val="false"/>
        <w:spacing w:before="0" w:after="0"/>
        <w:rPr>
          <w:szCs w:val="22"/>
          <w:lang w:val="en-GB" w:eastAsia="nl-NL"/>
        </w:rPr>
      </w:pPr>
      <w:r>
        <w:rPr>
          <w:szCs w:val="22"/>
          <w:lang w:val="en-GB" w:eastAsia="nl-NL"/>
        </w:rPr>
        <w:t>Physical Security Organisation</w:t>
      </w:r>
    </w:p>
    <w:p>
      <w:pPr>
        <w:pStyle w:val="Normal"/>
        <w:numPr>
          <w:ilvl w:val="0"/>
          <w:numId w:val="4"/>
        </w:numPr>
        <w:autoSpaceDE w:val="false"/>
        <w:spacing w:before="0" w:after="0"/>
        <w:rPr>
          <w:szCs w:val="22"/>
          <w:lang w:val="en-GB" w:eastAsia="nl-NL"/>
        </w:rPr>
      </w:pPr>
      <w:r>
        <w:rPr>
          <w:szCs w:val="22"/>
          <w:lang w:val="en-GB" w:eastAsia="nl-NL"/>
        </w:rPr>
        <w:t>Supporting Security Devices</w:t>
      </w:r>
    </w:p>
    <w:p>
      <w:pPr>
        <w:pStyle w:val="Normal"/>
        <w:autoSpaceDE w:val="false"/>
        <w:spacing w:before="0" w:after="0"/>
        <w:rPr>
          <w:szCs w:val="22"/>
          <w:lang w:val="en-GB" w:eastAsia="nl-NL"/>
        </w:rPr>
      </w:pPr>
      <w:r>
        <w:rPr>
          <w:szCs w:val="22"/>
          <w:lang w:val="en-GB" w:eastAsia="nl-NL"/>
        </w:rPr>
      </w:r>
    </w:p>
    <w:p>
      <w:pPr>
        <w:pStyle w:val="Heading1Numbered"/>
        <w:numPr>
          <w:ilvl w:val="0"/>
          <w:numId w:val="2"/>
        </w:numPr>
        <w:ind w:hanging="0" w:start="0"/>
        <w:rPr>
          <w:rFonts w:ascii="Times New Roman" w:hAnsi="Times New Roman" w:cs="Times New Roman"/>
          <w:sz w:val="22"/>
          <w:szCs w:val="22"/>
          <w:lang w:val="en-GB"/>
        </w:rPr>
      </w:pPr>
      <w:bookmarkStart w:id="2" w:name="__RefHeading___Toc150656214"/>
      <w:bookmarkEnd w:id="2"/>
      <w:r>
        <w:rPr>
          <w:rFonts w:cs="Times New Roman" w:ascii="Times New Roman" w:hAnsi="Times New Roman"/>
          <w:sz w:val="22"/>
          <w:szCs w:val="22"/>
          <w:lang w:val="en-GB"/>
        </w:rPr>
        <w:t>Personnel Security Policy</w:t>
      </w:r>
    </w:p>
    <w:p>
      <w:pPr>
        <w:pStyle w:val="Title"/>
        <w:jc w:val="start"/>
        <w:rPr>
          <w:rFonts w:cs="Times New Roman"/>
          <w:b w:val="false"/>
          <w:caps w:val="false"/>
          <w:smallCaps w:val="false"/>
          <w:sz w:val="22"/>
          <w:szCs w:val="22"/>
          <w:lang w:val="en-GB"/>
        </w:rPr>
      </w:pPr>
      <w:r>
        <w:rPr>
          <w:rFonts w:cs="Times New Roman"/>
          <w:b w:val="false"/>
          <w:caps w:val="false"/>
          <w:smallCaps w:val="false"/>
          <w:sz w:val="22"/>
          <w:szCs w:val="22"/>
          <w:lang w:val="en-GB"/>
        </w:rPr>
        <w:t>Overall IT personnel security is described in the EuroBank Group Personnel Policy for Information Security.</w:t>
      </w:r>
      <w:r>
        <w:rPr>
          <w:rFonts w:cs="Times New Roman"/>
          <w:b w:val="false"/>
          <w:i/>
          <w:caps w:val="false"/>
          <w:smallCaps w:val="false"/>
          <w:sz w:val="22"/>
          <w:szCs w:val="22"/>
          <w:lang w:val="en-GB"/>
        </w:rPr>
      </w:r>
    </w:p>
    <w:p>
      <w:pPr>
        <w:pStyle w:val="Title"/>
        <w:jc w:val="start"/>
        <w:rPr/>
      </w:pPr>
      <w:r>
        <w:rPr>
          <w:rFonts w:cs="Times New Roman"/>
          <w:b w:val="false"/>
          <w:caps w:val="false"/>
          <w:smallCaps w:val="false"/>
          <w:sz w:val="22"/>
          <w:szCs w:val="22"/>
          <w:lang w:val="en-GB"/>
        </w:rPr>
        <w:t>Related are also the Personal Security Policies. The “Corporate Policy on Personal Security” has been made available to the PST Supplier in full as well as the “</w:t>
      </w:r>
      <w:r>
        <w:rPr>
          <w:rFonts w:cs="Times New Roman"/>
          <w:b w:val="false"/>
          <w:caps w:val="false"/>
          <w:smallCaps w:val="false"/>
          <w:sz w:val="22"/>
          <w:szCs w:val="22"/>
        </w:rPr>
        <w:t xml:space="preserve">Minimum Standards Personal Security” </w:t>
      </w:r>
    </w:p>
    <w:p>
      <w:pPr>
        <w:pStyle w:val="Normal"/>
        <w:autoSpaceDE w:val="false"/>
        <w:spacing w:before="0" w:after="0"/>
        <w:rPr>
          <w:rFonts w:cs="Times New Roman"/>
          <w:b/>
          <w:caps/>
          <w:sz w:val="22"/>
          <w:szCs w:val="22"/>
          <w:lang w:val="en-GB" w:eastAsia="nl-NL"/>
        </w:rPr>
      </w:pPr>
      <w:r>
        <w:rPr>
          <w:rFonts w:cs="Times New Roman"/>
          <w:b/>
          <w:caps/>
          <w:sz w:val="22"/>
          <w:szCs w:val="22"/>
          <w:lang w:val="en-GB" w:eastAsia="nl-NL"/>
        </w:rPr>
      </w:r>
    </w:p>
    <w:p>
      <w:pPr>
        <w:pStyle w:val="Normal"/>
        <w:spacing w:before="0" w:after="0"/>
        <w:rPr>
          <w:szCs w:val="22"/>
          <w:lang w:val="en-GB" w:eastAsia="nl-NL"/>
        </w:rPr>
      </w:pPr>
      <w:r>
        <w:rPr>
          <w:szCs w:val="22"/>
          <w:lang w:val="en-GB" w:eastAsia="nl-NL"/>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17-B (Physical Security) Final v1.3.doc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17-B (Physical Security) Final v1.3.doc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17-B (Physical Security) Final v1.3.doc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8"/>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7"/>
      </w:numPr>
    </w:pPr>
    <w:rPr>
      <w:bCs/>
    </w:rPr>
  </w:style>
  <w:style w:type="paragraph" w:styleId="TableLevel3Numbered">
    <w:name w:val="Table Level 3 Numbered"/>
    <w:basedOn w:val="Normal"/>
    <w:qFormat/>
    <w:pPr>
      <w:numPr>
        <w:ilvl w:val="0"/>
        <w:numId w:val="7"/>
      </w:numPr>
    </w:pPr>
    <w:rPr/>
  </w:style>
  <w:style w:type="paragraph" w:styleId="TableLevel4Numbered">
    <w:name w:val="Table Level 4 Numbered"/>
    <w:basedOn w:val="Normal"/>
    <w:qFormat/>
    <w:pPr>
      <w:numPr>
        <w:ilvl w:val="0"/>
        <w:numId w:val="7"/>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2006-11-30T19:49:00Z</dcterms:created>
  <dc:creator> </dc:creator>
  <dc:description/>
  <cp:keywords/>
  <dc:language>en-US</dc:language>
  <cp:lastModifiedBy>Stuart Johnson</cp:lastModifiedBy>
  <cp:lastPrinted>2006-11-03T14:21:00Z</cp:lastPrinted>
  <dcterms:modified xsi:type="dcterms:W3CDTF">2006-11-30T19:54:00Z</dcterms:modified>
  <cp:revision>5</cp:revision>
  <dc:subject/>
  <dc:title> </dc:title>
</cp:coreProperties>
</file>