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Attachment 17-C</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Compliance</w:t>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jc w:val="both"/>
        <w:rPr>
          <w:rFonts w:cs="Times New Roman"/>
          <w:sz w:val="22"/>
          <w:szCs w:val="22"/>
          <w:lang w:val="en-GB"/>
        </w:rPr>
      </w:pPr>
      <w:r>
        <w:rPr>
          <w:rFonts w:cs="Times New Roman"/>
          <w:sz w:val="22"/>
          <w:szCs w:val="22"/>
          <w:lang w:val="en-GB"/>
        </w:rPr>
      </w:r>
    </w:p>
    <w:p>
      <w:pPr>
        <w:pStyle w:val="Normal"/>
        <w:jc w:val="both"/>
        <w:rPr>
          <w:szCs w:val="22"/>
          <w:lang w:val="en-GB"/>
        </w:rPr>
      </w:pPr>
      <w:r>
        <w:rPr>
          <w:szCs w:val="22"/>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bCs/>
              <w:lang w:val="en-US" w:eastAsia="en-US"/>
            </w:rPr>
            <w:instrText xml:space="preserve"> TOC \t "Heading 1 Numbered,1,Heading 2 Numbered,2" </w:instrText>
          </w:r>
          <w:r>
            <w:rPr>
              <w:sz w:val="18"/>
              <w:szCs w:val="18"/>
              <w:bCs/>
              <w:lang w:val="en-US" w:eastAsia="en-US"/>
            </w:rPr>
            <w:fldChar w:fldCharType="separate"/>
          </w:r>
          <w:r>
            <w:rPr>
              <w:bCs/>
              <w:sz w:val="18"/>
              <w:szCs w:val="18"/>
              <w:lang w:val="en-US" w:eastAsia="en-US"/>
            </w:rPr>
            <w:t>1.</w:t>
          </w:r>
          <w:r>
            <w:rPr>
              <w:b w:val="false"/>
              <w:sz w:val="18"/>
              <w:szCs w:val="18"/>
              <w:lang w:val="en-US" w:eastAsia="en-US"/>
            </w:rPr>
            <w:tab/>
          </w:r>
          <w:r>
            <w:rPr>
              <w:bCs/>
              <w:sz w:val="18"/>
              <w:szCs w:val="18"/>
              <w:lang w:val="en-US" w:eastAsia="en-US"/>
            </w:rPr>
            <w:t>Introduction</w:t>
          </w:r>
          <w:r>
            <w:rPr>
              <w:sz w:val="18"/>
              <w:szCs w:val="18"/>
              <w:lang w:val="en-US" w:eastAsia="en-US"/>
            </w:rPr>
            <w:tab/>
          </w:r>
          <w:hyperlink w:anchor="__RefHeading___Toc150660657">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en-US" w:eastAsia="en-US"/>
            </w:rPr>
            <w:t>2.</w:t>
          </w:r>
          <w:r>
            <w:rPr>
              <w:b w:val="false"/>
              <w:sz w:val="18"/>
              <w:szCs w:val="18"/>
              <w:lang w:val="en-US" w:eastAsia="en-US"/>
            </w:rPr>
            <w:tab/>
          </w:r>
          <w:r>
            <w:rPr>
              <w:bCs/>
              <w:sz w:val="18"/>
              <w:szCs w:val="18"/>
              <w:lang w:val="en-US" w:eastAsia="en-US"/>
            </w:rPr>
            <w:t>Compliance</w:t>
          </w:r>
          <w:r>
            <w:rPr>
              <w:sz w:val="18"/>
              <w:szCs w:val="18"/>
              <w:lang w:val="en-US" w:eastAsia="en-US"/>
            </w:rPr>
            <w:tab/>
          </w:r>
          <w:hyperlink w:anchor="__RefHeading___Toc150660658">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bCs/>
              <w:sz w:val="18"/>
              <w:szCs w:val="18"/>
              <w:lang w:val="fr-FR" w:eastAsia="en-US"/>
            </w:rPr>
            <w:t>3.</w:t>
          </w:r>
          <w:r>
            <w:rPr>
              <w:b w:val="false"/>
              <w:sz w:val="18"/>
              <w:szCs w:val="18"/>
              <w:lang w:val="en-US" w:eastAsia="en-US"/>
            </w:rPr>
            <w:tab/>
          </w:r>
          <w:r>
            <w:rPr>
              <w:bCs/>
              <w:sz w:val="18"/>
              <w:szCs w:val="18"/>
              <w:lang w:val="fr-FR" w:eastAsia="en-US"/>
            </w:rPr>
            <w:t>Information risk assessment questionnaire</w:t>
          </w:r>
          <w:r>
            <w:rPr>
              <w:sz w:val="18"/>
              <w:szCs w:val="18"/>
              <w:lang w:val="en-US" w:eastAsia="en-US"/>
            </w:rPr>
            <w:tab/>
          </w:r>
          <w:hyperlink w:anchor="__RefHeading___Toc150660659">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SECURITY POLICIES</w:t>
          </w:r>
          <w:r>
            <w:rPr>
              <w:sz w:val="18"/>
              <w:szCs w:val="18"/>
              <w:lang w:val="en-US" w:eastAsia="en-US"/>
            </w:rPr>
            <w:tab/>
          </w:r>
          <w:hyperlink w:anchor="__RefHeading___Toc150660660">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ORGANIZATION AND ADMINISTRATION</w:t>
          </w:r>
          <w:r>
            <w:rPr>
              <w:sz w:val="18"/>
              <w:szCs w:val="18"/>
              <w:lang w:val="en-US" w:eastAsia="en-US"/>
            </w:rPr>
            <w:tab/>
          </w:r>
          <w:hyperlink w:anchor="__RefHeading___Toc150660661">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3.3</w:t>
          </w:r>
          <w:r>
            <w:rPr>
              <w:b w:val="false"/>
              <w:sz w:val="18"/>
              <w:szCs w:val="18"/>
              <w:lang w:val="en-US" w:eastAsia="en-US"/>
            </w:rPr>
            <w:tab/>
          </w:r>
          <w:r>
            <w:rPr>
              <w:bCs/>
              <w:sz w:val="18"/>
              <w:szCs w:val="18"/>
              <w:lang w:val="en-GB" w:eastAsia="en-US"/>
            </w:rPr>
            <w:t>ASSET CLASSIFICATION &amp; CONTROL</w:t>
          </w:r>
          <w:r>
            <w:rPr>
              <w:sz w:val="18"/>
              <w:szCs w:val="18"/>
              <w:lang w:val="en-US" w:eastAsia="en-US"/>
            </w:rPr>
            <w:tab/>
          </w:r>
          <w:hyperlink w:anchor="__RefHeading___Toc150660662">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3.4</w:t>
          </w:r>
          <w:r>
            <w:rPr>
              <w:b w:val="false"/>
              <w:sz w:val="18"/>
              <w:szCs w:val="18"/>
              <w:lang w:val="en-US" w:eastAsia="en-US"/>
            </w:rPr>
            <w:tab/>
          </w:r>
          <w:r>
            <w:rPr>
              <w:bCs/>
              <w:sz w:val="18"/>
              <w:szCs w:val="18"/>
              <w:lang w:val="en-GB" w:eastAsia="en-US"/>
            </w:rPr>
            <w:t>PERSONNEL SECURITY</w:t>
          </w:r>
          <w:r>
            <w:rPr>
              <w:sz w:val="18"/>
              <w:szCs w:val="18"/>
              <w:lang w:val="en-US" w:eastAsia="en-US"/>
            </w:rPr>
            <w:tab/>
          </w:r>
          <w:hyperlink w:anchor="__RefHeading___Toc150660663">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3.5</w:t>
          </w:r>
          <w:r>
            <w:rPr>
              <w:b w:val="false"/>
              <w:sz w:val="18"/>
              <w:szCs w:val="18"/>
              <w:lang w:val="en-US" w:eastAsia="en-US"/>
            </w:rPr>
            <w:tab/>
          </w:r>
          <w:r>
            <w:rPr>
              <w:bCs/>
              <w:sz w:val="18"/>
              <w:szCs w:val="18"/>
              <w:lang w:val="en-GB" w:eastAsia="en-US"/>
            </w:rPr>
            <w:t>PHYSICAL AND ENVIRONMENTAL SECURITY</w:t>
          </w:r>
          <w:r>
            <w:rPr>
              <w:sz w:val="18"/>
              <w:szCs w:val="18"/>
              <w:lang w:val="en-US" w:eastAsia="en-US"/>
            </w:rPr>
            <w:tab/>
          </w:r>
          <w:hyperlink w:anchor="__RefHeading___Toc150660664">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3.6</w:t>
          </w:r>
          <w:r>
            <w:rPr>
              <w:b w:val="false"/>
              <w:sz w:val="18"/>
              <w:szCs w:val="18"/>
              <w:lang w:val="en-US" w:eastAsia="en-US"/>
            </w:rPr>
            <w:tab/>
          </w:r>
          <w:r>
            <w:rPr>
              <w:bCs/>
              <w:sz w:val="18"/>
              <w:szCs w:val="18"/>
              <w:lang w:val="en-GB" w:eastAsia="en-US"/>
            </w:rPr>
            <w:t>COMMUNICATIONS AND OPERATIONAL MANAGEMENT</w:t>
          </w:r>
          <w:r>
            <w:rPr>
              <w:sz w:val="18"/>
              <w:szCs w:val="18"/>
              <w:lang w:val="en-US" w:eastAsia="en-US"/>
            </w:rPr>
            <w:tab/>
          </w:r>
          <w:hyperlink w:anchor="__RefHeading___Toc150660665">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3.7</w:t>
          </w:r>
          <w:r>
            <w:rPr>
              <w:b w:val="false"/>
              <w:sz w:val="18"/>
              <w:szCs w:val="18"/>
              <w:lang w:val="en-US" w:eastAsia="en-US"/>
            </w:rPr>
            <w:tab/>
          </w:r>
          <w:r>
            <w:rPr>
              <w:bCs/>
              <w:sz w:val="18"/>
              <w:szCs w:val="18"/>
              <w:lang w:val="en-GB" w:eastAsia="en-US"/>
            </w:rPr>
            <w:t>ACCESS CONTROL</w:t>
          </w:r>
          <w:r>
            <w:rPr>
              <w:sz w:val="18"/>
              <w:szCs w:val="18"/>
              <w:lang w:val="en-US" w:eastAsia="en-US"/>
            </w:rPr>
            <w:tab/>
          </w:r>
          <w:hyperlink w:anchor="__RefHeading___Toc150660666">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3.8</w:t>
          </w:r>
          <w:r>
            <w:rPr>
              <w:b w:val="false"/>
              <w:sz w:val="18"/>
              <w:szCs w:val="18"/>
              <w:lang w:val="en-US" w:eastAsia="en-US"/>
            </w:rPr>
            <w:tab/>
          </w:r>
          <w:r>
            <w:rPr>
              <w:bCs/>
              <w:sz w:val="18"/>
              <w:szCs w:val="18"/>
              <w:lang w:val="en-GB" w:eastAsia="en-US"/>
            </w:rPr>
            <w:t>SYSTEMS DEVELOPMENT AND MAINTENANCE</w:t>
          </w:r>
          <w:r>
            <w:rPr>
              <w:sz w:val="18"/>
              <w:szCs w:val="18"/>
              <w:lang w:val="en-US" w:eastAsia="en-US"/>
            </w:rPr>
            <w:tab/>
          </w:r>
          <w:hyperlink w:anchor="__RefHeading___Toc150660667">
            <w:r>
              <w:rPr>
                <w:rStyle w:val="IndexLink"/>
                <w:sz w:val="18"/>
                <w:szCs w:val="18"/>
                <w:lang w:val="en-US" w:eastAsia="en-US"/>
              </w:rPr>
              <w:t>17</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3.9</w:t>
          </w:r>
          <w:r>
            <w:rPr>
              <w:b w:val="false"/>
              <w:sz w:val="18"/>
              <w:szCs w:val="18"/>
              <w:lang w:val="en-US" w:eastAsia="en-US"/>
            </w:rPr>
            <w:tab/>
          </w:r>
          <w:r>
            <w:rPr>
              <w:bCs/>
              <w:sz w:val="18"/>
              <w:szCs w:val="18"/>
              <w:lang w:val="en-GB" w:eastAsia="en-US"/>
            </w:rPr>
            <w:t>BUSINESS CONTINUITY MANAGEMENT</w:t>
          </w:r>
          <w:r>
            <w:rPr>
              <w:sz w:val="18"/>
              <w:szCs w:val="18"/>
              <w:lang w:val="en-US" w:eastAsia="en-US"/>
            </w:rPr>
            <w:tab/>
          </w:r>
          <w:hyperlink w:anchor="__RefHeading___Toc150660668">
            <w:r>
              <w:rPr>
                <w:rStyle w:val="IndexLink"/>
                <w:sz w:val="18"/>
                <w:szCs w:val="18"/>
                <w:lang w:val="en-US" w:eastAsia="en-US"/>
              </w:rPr>
              <w:t>18</w:t>
            </w:r>
          </w:hyperlink>
        </w:p>
        <w:p>
          <w:pPr>
            <w:pStyle w:val="TOC2"/>
            <w:tabs>
              <w:tab w:val="clear" w:pos="720"/>
              <w:tab w:val="left" w:pos="880" w:leader="none"/>
              <w:tab w:val="right" w:pos="8441" w:leader="dot"/>
            </w:tabs>
            <w:rPr>
              <w:b w:val="false"/>
              <w:sz w:val="18"/>
              <w:szCs w:val="18"/>
              <w:lang w:val="en-US" w:eastAsia="en-US"/>
            </w:rPr>
          </w:pPr>
          <w:r>
            <w:rPr>
              <w:bCs/>
              <w:sz w:val="18"/>
              <w:szCs w:val="18"/>
              <w:lang w:val="en-GB" w:eastAsia="en-US"/>
            </w:rPr>
            <w:t>3.10</w:t>
          </w:r>
          <w:r>
            <w:rPr>
              <w:b w:val="false"/>
              <w:sz w:val="18"/>
              <w:szCs w:val="18"/>
              <w:lang w:val="en-US" w:eastAsia="en-US"/>
            </w:rPr>
            <w:tab/>
          </w:r>
          <w:r>
            <w:rPr>
              <w:bCs/>
              <w:sz w:val="18"/>
              <w:szCs w:val="18"/>
              <w:lang w:val="en-GB" w:eastAsia="en-US"/>
            </w:rPr>
            <w:t>COMPLIANCE</w:t>
          </w:r>
          <w:r>
            <w:rPr>
              <w:sz w:val="18"/>
              <w:szCs w:val="18"/>
              <w:lang w:val="en-US" w:eastAsia="en-US"/>
            </w:rPr>
            <w:tab/>
          </w:r>
          <w:hyperlink w:anchor="__RefHeading___Toc150660669">
            <w:r>
              <w:rPr>
                <w:rStyle w:val="IndexLink"/>
                <w:sz w:val="18"/>
                <w:szCs w:val="18"/>
                <w:lang w:val="en-US" w:eastAsia="en-US"/>
              </w:rPr>
              <w:t>19</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4.</w:t>
          </w:r>
          <w:r>
            <w:rPr>
              <w:b w:val="false"/>
              <w:sz w:val="18"/>
              <w:szCs w:val="18"/>
              <w:lang w:val="en-US" w:eastAsia="en-US"/>
            </w:rPr>
            <w:tab/>
          </w:r>
          <w:r>
            <w:rPr>
              <w:b w:val="false"/>
              <w:bCs/>
              <w:sz w:val="18"/>
              <w:szCs w:val="18"/>
              <w:lang w:val="en-GB" w:eastAsia="en-US"/>
            </w:rPr>
            <w:t>Additional Requirements Re: LAN Bundle (Exhibit 2.3)</w:t>
          </w:r>
          <w:r>
            <w:rPr>
              <w:b w:val="false"/>
              <w:sz w:val="18"/>
              <w:szCs w:val="18"/>
              <w:lang w:val="en-US" w:eastAsia="en-US"/>
            </w:rPr>
            <w:tab/>
          </w:r>
          <w:hyperlink w:anchor="__RefHeading___Toc150660670">
            <w:r>
              <w:rPr>
                <w:rStyle w:val="IndexLink"/>
                <w:b w:val="false"/>
                <w:sz w:val="18"/>
                <w:szCs w:val="18"/>
                <w:lang w:val="en-US" w:eastAsia="en-US"/>
              </w:rPr>
              <w:t>21</w:t>
            </w:r>
          </w:hyperlink>
          <w:r>
            <w:rPr>
              <w:rStyle w:val="IndexLink"/>
              <w:sz w:val="18"/>
              <w:b w:val="false"/>
              <w:szCs w:val="18"/>
              <w:lang w:val="en-US" w:eastAsia="en-US"/>
            </w:rPr>
            <w:fldChar w:fldCharType="end"/>
          </w:r>
        </w:p>
      </w:sdtContent>
    </w:sdt>
    <w:p>
      <w:pPr>
        <w:pStyle w:val="Normal"/>
        <w:jc w:val="both"/>
        <w:rPr>
          <w:b/>
          <w:caps/>
          <w:sz w:val="18"/>
          <w:szCs w:val="18"/>
          <w:lang w:val="en-GB" w:eastAsia="en-US"/>
        </w:rPr>
      </w:pPr>
      <w:r>
        <w:rPr>
          <w:b/>
          <w:caps/>
          <w:sz w:val="18"/>
          <w:szCs w:val="18"/>
          <w:lang w:val="en-GB" w:eastAsia="en-US"/>
        </w:rPr>
      </w:r>
    </w:p>
    <w:p>
      <w:pPr>
        <w:pStyle w:val="Normal"/>
        <w:jc w:val="both"/>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jc w:val="both"/>
        <w:rPr>
          <w:caps/>
          <w:sz w:val="18"/>
          <w:szCs w:val="22"/>
          <w:lang w:val="en-GB"/>
        </w:rPr>
      </w:pPr>
      <w:r>
        <w:rPr>
          <w:caps/>
          <w:sz w:val="18"/>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rPr>
      </w:pPr>
      <w:bookmarkStart w:id="0" w:name="__RefHeading___Toc150660657"/>
      <w:bookmarkEnd w:id="0"/>
      <w:r>
        <w:rPr>
          <w:rFonts w:cs="Times New Roman" w:ascii="Times New Roman" w:hAnsi="Times New Roman"/>
          <w:bCs/>
          <w:sz w:val="22"/>
          <w:szCs w:val="22"/>
        </w:rPr>
        <w:t>Introduction</w:t>
      </w:r>
    </w:p>
    <w:p>
      <w:pPr>
        <w:pStyle w:val="BodyText"/>
        <w:spacing w:before="360" w:after="120"/>
        <w:ind w:start="0" w:end="0"/>
        <w:jc w:val="both"/>
        <w:rPr>
          <w:szCs w:val="22"/>
          <w:lang w:val="en-GB"/>
        </w:rPr>
      </w:pPr>
      <w:r>
        <w:rPr>
          <w:szCs w:val="22"/>
          <w:lang w:val="en-GB"/>
        </w:rPr>
        <w:t>This Attachment describes a number of regulatory and industry standards and regulations. The PST Supplier will adhere to all these standards and regulations as part of providing the Services and will continue to comply with its responses to the information risk assessment questionnaire below.</w:t>
      </w:r>
    </w:p>
    <w:p>
      <w:pPr>
        <w:pStyle w:val="Normal"/>
        <w:spacing w:before="0" w:after="0"/>
        <w:jc w:val="both"/>
        <w:rPr>
          <w:szCs w:val="22"/>
          <w:lang w:val="en-GB"/>
        </w:rPr>
      </w:pPr>
      <w:r>
        <w:rPr>
          <w:szCs w:val="22"/>
          <w:lang w:val="en-GB"/>
        </w:rPr>
        <w:t>The declared intent in the responses to the information risk assessment questionnaire below shall be reasonably reflected in the content of the Critical Deliverable “</w:t>
      </w:r>
      <w:r>
        <w:rPr>
          <w:i/>
          <w:szCs w:val="22"/>
          <w:lang w:val="en-GB"/>
        </w:rPr>
        <w:t>Policies &amp; Procedures Manual (including security)</w:t>
      </w:r>
      <w:r>
        <w:rPr>
          <w:szCs w:val="22"/>
          <w:lang w:val="en-GB"/>
        </w:rPr>
        <w:t>” laid down in Section 2.3 of Attachment 3-C (</w:t>
      </w:r>
      <w:r>
        <w:rPr>
          <w:i/>
          <w:szCs w:val="22"/>
          <w:lang w:val="en-GB"/>
        </w:rPr>
        <w:t>Critical Deliverables</w:t>
      </w:r>
      <w:r>
        <w:rPr>
          <w:szCs w:val="22"/>
          <w:lang w:val="en-GB"/>
        </w:rPr>
        <w:t>).</w:t>
      </w:r>
    </w:p>
    <w:p>
      <w:pPr>
        <w:pStyle w:val="BodyText"/>
        <w:spacing w:before="120" w:after="120"/>
        <w:ind w:start="0" w:end="0"/>
        <w:jc w:val="both"/>
        <w:rPr>
          <w:bCs/>
          <w:szCs w:val="22"/>
          <w:lang w:val="en-GB"/>
        </w:rPr>
      </w:pPr>
      <w:r>
        <w:rPr>
          <w:bCs/>
          <w:szCs w:val="22"/>
          <w:lang w:val="en-GB"/>
        </w:rPr>
      </w:r>
    </w:p>
    <w:p>
      <w:pPr>
        <w:pStyle w:val="Heading1Numbered"/>
        <w:numPr>
          <w:ilvl w:val="0"/>
          <w:numId w:val="2"/>
        </w:numPr>
        <w:ind w:hanging="0" w:start="0"/>
        <w:jc w:val="both"/>
        <w:rPr>
          <w:rFonts w:ascii="Times New Roman" w:hAnsi="Times New Roman" w:cs="Times New Roman"/>
          <w:bCs/>
          <w:sz w:val="22"/>
          <w:szCs w:val="22"/>
        </w:rPr>
      </w:pPr>
      <w:bookmarkStart w:id="1" w:name="__RefHeading___Toc150660658"/>
      <w:bookmarkEnd w:id="1"/>
      <w:r>
        <w:rPr>
          <w:rFonts w:cs="Times New Roman" w:ascii="Times New Roman" w:hAnsi="Times New Roman"/>
          <w:bCs/>
          <w:sz w:val="22"/>
          <w:szCs w:val="22"/>
        </w:rPr>
        <w:t>Compliance</w:t>
      </w:r>
    </w:p>
    <w:p>
      <w:pPr>
        <w:pStyle w:val="Normal"/>
        <w:jc w:val="both"/>
        <w:rPr>
          <w:szCs w:val="22"/>
          <w:lang w:val="en-GB"/>
        </w:rPr>
      </w:pPr>
      <w:r>
        <w:rPr>
          <w:szCs w:val="22"/>
          <w:lang w:val="en-GB"/>
        </w:rPr>
        <w:t>The standards and regulations include but are not limited to:</w:t>
      </w:r>
    </w:p>
    <w:p>
      <w:pPr>
        <w:pStyle w:val="Normal"/>
        <w:numPr>
          <w:ilvl w:val="0"/>
          <w:numId w:val="5"/>
        </w:numPr>
        <w:jc w:val="both"/>
        <w:rPr>
          <w:szCs w:val="22"/>
          <w:lang w:val="en-GB"/>
        </w:rPr>
      </w:pPr>
      <w:r>
        <w:rPr>
          <w:szCs w:val="22"/>
          <w:lang w:val="en-GB"/>
        </w:rPr>
        <w:t xml:space="preserve">ISO17799 (this includes part 1 and part 2), </w:t>
      </w:r>
    </w:p>
    <w:p>
      <w:pPr>
        <w:pStyle w:val="Normal"/>
        <w:numPr>
          <w:ilvl w:val="0"/>
          <w:numId w:val="5"/>
        </w:numPr>
        <w:jc w:val="both"/>
        <w:rPr>
          <w:szCs w:val="22"/>
          <w:lang w:val="en-GB"/>
        </w:rPr>
      </w:pPr>
      <w:r>
        <w:rPr>
          <w:szCs w:val="22"/>
          <w:lang w:val="en-GB"/>
        </w:rPr>
        <w:t>SOX including SAS70 type 2 statement</w:t>
      </w:r>
    </w:p>
    <w:p>
      <w:pPr>
        <w:pStyle w:val="Normal"/>
        <w:numPr>
          <w:ilvl w:val="0"/>
          <w:numId w:val="5"/>
        </w:numPr>
        <w:jc w:val="both"/>
        <w:rPr>
          <w:szCs w:val="22"/>
          <w:lang w:val="en-GB"/>
        </w:rPr>
      </w:pPr>
      <w:r>
        <w:rPr>
          <w:szCs w:val="22"/>
          <w:lang w:val="en-GB"/>
        </w:rPr>
        <w:t>ROB</w:t>
      </w:r>
    </w:p>
    <w:p>
      <w:pPr>
        <w:pStyle w:val="Normal"/>
        <w:numPr>
          <w:ilvl w:val="0"/>
          <w:numId w:val="5"/>
        </w:numPr>
        <w:jc w:val="both"/>
        <w:rPr>
          <w:szCs w:val="22"/>
          <w:lang w:val="en-GB"/>
        </w:rPr>
      </w:pPr>
      <w:r>
        <w:rPr>
          <w:szCs w:val="22"/>
          <w:lang w:val="en-GB"/>
        </w:rPr>
        <w:t>Basel II</w:t>
      </w:r>
    </w:p>
    <w:p>
      <w:pPr>
        <w:pStyle w:val="Normal"/>
        <w:jc w:val="both"/>
        <w:rPr>
          <w:szCs w:val="22"/>
          <w:lang w:val="en-GB"/>
        </w:rPr>
      </w:pPr>
      <w:r>
        <w:rPr>
          <w:szCs w:val="22"/>
          <w:lang w:val="en-GB"/>
        </w:rPr>
        <w:t>Concerning the last two mentioned items above, EuroBank established an “Operational Risk Management Framework Policy”. This Policy will have to be complied with by the PST Supplier.</w:t>
      </w:r>
    </w:p>
    <w:p>
      <w:pPr>
        <w:pStyle w:val="Normal"/>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caps w:val="false"/>
          <w:smallCaps w:val="false"/>
          <w:sz w:val="22"/>
          <w:szCs w:val="28"/>
          <w:lang w:val="fr-FR"/>
        </w:rPr>
      </w:pPr>
      <w:bookmarkStart w:id="2" w:name="__RefHeading___Toc150660659"/>
      <w:bookmarkEnd w:id="2"/>
      <w:r>
        <w:rPr>
          <w:rFonts w:cs="Times New Roman" w:ascii="Times New Roman" w:hAnsi="Times New Roman"/>
          <w:bCs/>
          <w:sz w:val="22"/>
          <w:lang w:val="fr-FR"/>
        </w:rPr>
        <w:t>Information risk assessment questionnaire</w:t>
      </w:r>
    </w:p>
    <w:p>
      <w:pPr>
        <w:pStyle w:val="Normal"/>
        <w:jc w:val="both"/>
        <w:rPr>
          <w:lang w:val="en-GB"/>
        </w:rPr>
      </w:pPr>
      <w:r>
        <w:rPr>
          <w:lang w:val="en-GB"/>
        </w:rPr>
        <w:t>The following questionnaire is currently used by EuroBank for risk assessment purposes with outside service providers and was completed by the PST Supplier in the manner shown in red text below as part of its evaluation for providing the Services. The PST Supplier shall continue to comply with its responses below in relation to the provision of the Services.</w:t>
      </w:r>
    </w:p>
    <w:p>
      <w:pPr>
        <w:pStyle w:val="Normal"/>
        <w:jc w:val="both"/>
        <w:rPr>
          <w:lang w:val="en-GB"/>
        </w:rPr>
      </w:pPr>
      <w:r>
        <w:rPr>
          <w:lang w:val="en-GB"/>
        </w:rPr>
        <w:t>Where “Y” is provided in red as the responses of the PST Suppliers, the immediately preceding paragraphs have been converted into statements of agreement between the parties as to the provision of the Services:</w:t>
      </w:r>
    </w:p>
    <w:p>
      <w:pPr>
        <w:pStyle w:val="Normal"/>
        <w:jc w:val="both"/>
        <w:rPr>
          <w:szCs w:val="22"/>
          <w:lang w:val="en-GB"/>
        </w:rPr>
      </w:pPr>
      <w:r>
        <w:rPr>
          <w:szCs w:val="22"/>
          <w:lang w:val="en-GB"/>
        </w:rPr>
      </w:r>
    </w:p>
    <w:p>
      <w:pPr>
        <w:pStyle w:val="Normal"/>
        <w:spacing w:before="0" w:after="0"/>
        <w:jc w:val="center"/>
        <w:rPr>
          <w:b/>
          <w:szCs w:val="22"/>
          <w:lang w:val="en-GB"/>
        </w:rPr>
      </w:pPr>
      <w:r>
        <w:rPr>
          <w:b/>
          <w:szCs w:val="22"/>
          <w:lang w:val="en-GB"/>
        </w:rPr>
        <w:t>EuroBank Requirements</w:t>
      </w:r>
    </w:p>
    <w:p>
      <w:pPr>
        <w:pStyle w:val="Normal"/>
        <w:spacing w:before="0" w:after="0"/>
        <w:jc w:val="both"/>
        <w:rPr>
          <w:b/>
          <w:szCs w:val="22"/>
          <w:lang w:val="en-GB"/>
        </w:rPr>
      </w:pPr>
      <w:r>
        <w:rPr>
          <w:b/>
          <w:szCs w:val="22"/>
          <w:lang w:val="en-GB"/>
        </w:rPr>
      </w:r>
    </w:p>
    <w:p>
      <w:pPr>
        <w:pStyle w:val="Heading2Numbered"/>
        <w:numPr>
          <w:ilvl w:val="1"/>
          <w:numId w:val="2"/>
        </w:numPr>
        <w:ind w:hanging="0" w:start="0"/>
        <w:rPr>
          <w:sz w:val="22"/>
          <w:szCs w:val="22"/>
          <w:lang w:val="en-GB"/>
        </w:rPr>
      </w:pPr>
      <w:bookmarkStart w:id="3" w:name="__RefHeading___Toc150660660"/>
      <w:bookmarkEnd w:id="3"/>
      <w:r>
        <w:rPr>
          <w:sz w:val="22"/>
          <w:szCs w:val="22"/>
          <w:lang w:val="en-GB"/>
        </w:rPr>
        <w:t>SECURITY POLICIES</w:t>
      </w:r>
    </w:p>
    <w:p>
      <w:pPr>
        <w:pStyle w:val="Normal"/>
        <w:spacing w:before="0" w:after="0"/>
        <w:ind w:start="1440" w:end="0"/>
        <w:jc w:val="both"/>
        <w:rPr/>
      </w:pPr>
      <w:r>
        <w:rPr>
          <w:color w:val="FF0000"/>
          <w:szCs w:val="22"/>
          <w:lang w:val="en-GB"/>
        </w:rPr>
        <w:t>The roles and responsibilities of the 2IM relating to this Attachment 17-C are described in detail in Exhibit 2.7 (</w:t>
      </w:r>
      <w:r>
        <w:rPr>
          <w:i/>
          <w:color w:val="FF0000"/>
          <w:szCs w:val="22"/>
          <w:lang w:val="en-GB"/>
        </w:rPr>
        <w:t>2IM Services &amp; Governance</w:t>
      </w:r>
      <w:r>
        <w:rPr>
          <w:color w:val="FF0000"/>
          <w:szCs w:val="22"/>
          <w:lang w:val="en-GB"/>
        </w:rPr>
        <w:t>) and Exhibit 6 (</w:t>
      </w:r>
      <w:r>
        <w:rPr>
          <w:i/>
          <w:color w:val="FF0000"/>
          <w:szCs w:val="22"/>
          <w:lang w:val="en-GB"/>
        </w:rPr>
        <w:t>Governance</w:t>
      </w:r>
      <w:r>
        <w:rPr>
          <w:color w:val="FF0000"/>
          <w:szCs w:val="22"/>
          <w:lang w:val="en-GB"/>
        </w:rPr>
        <w:t xml:space="preserve">). </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and not of the 2IM:</w:t>
      </w:r>
    </w:p>
    <w:p>
      <w:pPr>
        <w:pStyle w:val="Normal"/>
        <w:spacing w:before="0" w:after="0"/>
        <w:ind w:start="1440" w:end="0"/>
        <w:jc w:val="both"/>
        <w:rPr>
          <w:color w:val="FF0000"/>
          <w:szCs w:val="22"/>
          <w:lang w:val="en-GB"/>
        </w:rPr>
      </w:pPr>
      <w:r>
        <w:rPr>
          <w:color w:val="FF0000"/>
          <w:szCs w:val="22"/>
          <w:lang w:val="en-GB"/>
        </w:rPr>
        <w:t>Sections 3.2 g), l), m)  3.3 a), b), c),  3.5 b),c) f), g), h), i), j), k), l), m), n), o), p), q), r), s), t), u), v),  3.6 a), b), c), d), e), f), g), h), i), o), p), q), r), s) ,t) u) ,v), x), y) z), aa), bb), cc), dd), ff), oo)  3.7 c), b), d), e), f), g), l), m), n), p), r), s), t), u), v), w)  3.10 a), j), k), l), m), n) of this Attachment</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a)</w:t>
        <w:tab/>
        <w:t>Please provide a copy of information security policies.  (ISO 3.1.1, 7.3.1, 9.4.1)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PST Supplier will provide a standard set of security documents mirroring the EuroBank security Policies. EuroBank will review the individual security policy documents of each member on site</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b)</w:t>
        <w:tab/>
        <w:t>How are information security policies published and communicated to employees?  (ISO 3.1.1)</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Communication is done via the PST Supplier’s intranet. All PST Supplier employees involved in delivering the Services receive introduction training as well as periodic security awareness sessions including EuroBank specific training</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c)</w:t>
        <w:tab/>
        <w:t>What department maintains and reviews information security policies?  (ISO 3.1.1)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There is a dedicated internal security department at each PST Supplier member responsible for maintaining and reviewing policies. EuroBank retains ultimate responsibility for EuroBank’s security.</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d)</w:t>
        <w:tab/>
        <w:t>Security Policy reviews are usually undertaken once a year or, more frequently, when a change to risk or requirements is identified. (ISO 3.1.2)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e)</w:t>
        <w:tab/>
        <w:t>The need for localized operating procedures is documented as part of the security policies.</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 w:name="__RefHeading___Toc150660661"/>
      <w:bookmarkEnd w:id="4"/>
      <w:r>
        <w:rPr>
          <w:bCs/>
          <w:sz w:val="22"/>
          <w:lang w:val="en-GB"/>
        </w:rPr>
        <w:t>ORGANIZATION AND ADMINISTRATION</w:t>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Sections 3.2 g), l) and m) below.</w:t>
      </w:r>
    </w:p>
    <w:p>
      <w:pPr>
        <w:pStyle w:val="Normal"/>
        <w:spacing w:before="0" w:after="0"/>
        <w:jc w:val="both"/>
        <w:rPr>
          <w:color w:val="FF0000"/>
          <w:szCs w:val="22"/>
          <w:lang w:val="en-GB"/>
        </w:rPr>
      </w:pPr>
      <w:r>
        <w:rPr>
          <w:color w:val="FF0000"/>
          <w:szCs w:val="22"/>
          <w:lang w:val="en-GB"/>
        </w:rPr>
      </w:r>
    </w:p>
    <w:p>
      <w:pPr>
        <w:pStyle w:val="Normal"/>
        <w:spacing w:before="0" w:after="0"/>
        <w:jc w:val="both"/>
        <w:rPr>
          <w:i/>
          <w:i/>
          <w:szCs w:val="22"/>
          <w:lang w:val="en-GB"/>
        </w:rPr>
      </w:pPr>
      <w:r>
        <w:rPr>
          <w:i/>
          <w:szCs w:val="22"/>
          <w:lang w:val="en-GB"/>
        </w:rPr>
        <w:t>A management framework for information security should exist in the outsourced environment (ISO 4.1, 4.2, 4.3)</w:t>
      </w:r>
    </w:p>
    <w:p>
      <w:pPr>
        <w:pStyle w:val="Normal"/>
        <w:spacing w:before="0" w:after="0"/>
        <w:jc w:val="both"/>
        <w:rPr>
          <w:i/>
          <w:i/>
          <w:szCs w:val="22"/>
          <w:lang w:val="en-GB"/>
        </w:rPr>
      </w:pPr>
      <w:r>
        <w:rPr>
          <w:i/>
          <w:szCs w:val="22"/>
          <w:lang w:val="en-GB"/>
        </w:rPr>
      </w:r>
    </w:p>
    <w:p>
      <w:pPr>
        <w:pStyle w:val="Normal"/>
        <w:spacing w:before="0" w:after="0"/>
        <w:ind w:start="1440" w:end="0"/>
        <w:jc w:val="both"/>
        <w:rPr/>
      </w:pPr>
      <w:r>
        <w:rPr>
          <w:color w:val="FF0000"/>
          <w:szCs w:val="22"/>
          <w:lang w:val="en-GB"/>
        </w:rPr>
        <w:t>All current reporting on security controls will remain in place. As mentioned in Exhibit 13 (</w:t>
      </w:r>
      <w:r>
        <w:rPr>
          <w:i/>
          <w:color w:val="FF0000"/>
          <w:szCs w:val="22"/>
          <w:lang w:val="en-GB"/>
        </w:rPr>
        <w:t>Reports</w:t>
      </w:r>
      <w:r>
        <w:rPr>
          <w:color w:val="FF0000"/>
          <w:szCs w:val="22"/>
          <w:lang w:val="en-GB"/>
        </w:rPr>
        <w:t>)</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a)</w:t>
        <w:tab/>
        <w:t>Is there an individual ultimately responsible for information security related activities?  If so, what is their title within the organization and to whom do they report?  (ISO 4.1.1)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Responsibility within the PST Supplier resides with the Security Manager who has a seat in the to be formed Joint Security Steering Committee (JSSC). Ultimate responsibility for the outsourced environment on a strategic level should remain with EuroBank. Security responsibilities on a tactical level should be shared by EuroBank and the PST Supplier and addressed in a Joint Security Steering Committee, chaired by EuroBank. Operational security is the responsibility of the PST Supplier.</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b)</w:t>
        <w:tab/>
        <w:t>Who is responsible for monitoring the changes in the exposure of information assets to major threats?  (ISO 4.1.1)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 CIRT (Computer Incident Response Team) is tasked with numerous responsibilities related to the protection of the assets. These responsibilities are divided into three primary categories: Conducting Investigations, Responding to Network Intrusions, Acting as a Liaison to Law Enforcement.  The CIRT coordinates internal responses with all required teams as well as EuroBank and with legal and law enforcement authorities if appropriate.</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start="1440" w:end="0"/>
        <w:jc w:val="both"/>
        <w:rPr/>
      </w:pPr>
      <w:r>
        <w:rPr>
          <w:color w:val="FF0000"/>
          <w:szCs w:val="22"/>
          <w:lang w:val="en-GB"/>
        </w:rPr>
        <w:t>EuroBank CIRT and CSI (Corporate Special Investigations) will instruct in case of an investigation the JSSC with respect to Services delivered to EuroBank.  In exceptional circumstances the Strategic Steering Committee can be approached instead.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c)</w:t>
        <w:tab/>
        <w:t>Please provide a copy of the organization chart for the Information Security and Information Technology functions.  (ISO 4.1.2)</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find enclosed graph security_organisation.jpg - see Section 4.2 of Exhibit 2.1 (</w:t>
      </w:r>
      <w:r>
        <w:rPr>
          <w:i/>
          <w:color w:val="FF0000"/>
          <w:szCs w:val="22"/>
          <w:lang w:val="en-GB"/>
        </w:rPr>
        <w:t>End User Computing</w:t>
      </w:r>
      <w:r>
        <w:rPr>
          <w:color w:val="FF0000"/>
          <w:szCs w:val="22"/>
          <w:lang w:val="en-GB"/>
        </w:rPr>
        <w:t xml:space="preserve">) </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d)</w:t>
        <w:tab/>
        <w:t>Responsibilities for the protection of individual assets and for carrying out specific security processes are clearly defined.  (ISO 4.1.3)</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e)</w:t>
        <w:tab/>
        <w:t>Describe the use of in-house or external information security advisors or specialists.  (ISO 4.1.5)</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 PST Supplier has 1500+ security advisors and specialists on various levels (CISSP and MSIT consultants, technical experts, certified BS7799 lead auditors, CLEF certified auditors). The PST Supplier is itself acting as external information security advisors or specialists on the market.</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f)</w:t>
        <w:tab/>
        <w:t>Describe any membership in external security groups and industry forums.  (ISO 4.1.6)</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Council Member within the Information Security Forum (ISF), Genootschap voor Informatiebeveiliging (GVIB), Forum of Incident Response and Security Teams (FIRST), Member of the NEN working group on security.</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g)</w:t>
        <w:tab/>
        <w:t>An internal audit function exists with responsibilities for infrastructure supporting EuroBank’s assets.  (ISO 4.1.7)</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h)</w:t>
        <w:tab/>
        <w:t>Does an external independent party review the information security policies and your organization’s compliance to the policy?  (ISO 4.1.7) If the answer to this question is “Yes”, attach or describe the findings of any deficiencies.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Vendor Alpha and Vendor Gamma are audited periodically by KEMA on ISO17799 and ISO9001.</w:t>
      </w:r>
    </w:p>
    <w:p>
      <w:pPr>
        <w:pStyle w:val="Normal"/>
        <w:spacing w:before="0" w:after="0"/>
        <w:ind w:start="1440" w:end="0"/>
        <w:jc w:val="both"/>
        <w:rPr>
          <w:color w:val="FF0000"/>
          <w:szCs w:val="22"/>
          <w:lang w:val="en-GB"/>
        </w:rPr>
      </w:pPr>
      <w:r>
        <w:rPr>
          <w:color w:val="FF0000"/>
          <w:szCs w:val="22"/>
          <w:lang w:val="en-GB"/>
        </w:rPr>
        <w:t xml:space="preserve">TelCo is audited periodically by KPMG. </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i)</w:t>
        <w:tab/>
        <w:t>Describe the use of any subcontractors and interdependencies related to third parties or outsourced service providers with physical access or responsibilities relating to physical EuroBank assets.  (ISO 4.2.1, 10.5.5)</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This is covered in MSA</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j)</w:t>
        <w:tab/>
        <w:t>Describe the use of any subcontractors and interdependencies related to third parties or outsourced service providers with logical access or responsibilities relating to logical EuroBank assets.  (ISO 4.2.1, 10.5.5)</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This is covered in MSA</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k)</w:t>
        <w:tab/>
        <w:t>If the answer to question 3.2(h) above is “Yes”, describe the process for identifying and managing risks from subcontractors to EuroBank assets.  (ISO 4.2.1)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This is covered in MSA</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l)</w:t>
        <w:tab/>
        <w:t>If the answer to question 3.2(h) above is “Yes”, describe how subcontractors are made aware of their security responsibilities.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Any subcontractor, if used, must sign a compliancy statement (‘geheimhoudingsverklaring’) in which they state that they must and will comply to relevant security policies.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m)</w:t>
        <w:tab/>
        <w:t>If the answer to question 3.2(h) above is “Yes”, describe the security requirements in third party or outsourced service provider contracts.  (ISO 4.2.2, 4.3.1)</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If used, Third Parties must adhere to the security policies and in specific cases their employees must provide a statement on good behaviour (‘verklaring van onbesproken gedrag’ VOG). This VOG is provided by Dutch municipal governments</w:t>
      </w:r>
    </w:p>
    <w:p>
      <w:pPr>
        <w:pStyle w:val="Normal"/>
        <w:spacing w:before="0" w:after="0"/>
        <w:jc w:val="both"/>
        <w:rPr>
          <w:color w:val="FF0000"/>
          <w:szCs w:val="22"/>
          <w:lang w:val="en-GB"/>
        </w:rPr>
      </w:pPr>
      <w:r>
        <w:rPr>
          <w:color w:val="FF0000"/>
          <w:szCs w:val="22"/>
          <w:lang w:val="en-GB"/>
        </w:rPr>
      </w:r>
    </w:p>
    <w:p>
      <w:pPr>
        <w:pStyle w:val="Heading2Numbered"/>
        <w:numPr>
          <w:ilvl w:val="1"/>
          <w:numId w:val="2"/>
        </w:numPr>
        <w:ind w:hanging="0" w:start="0"/>
        <w:rPr>
          <w:bCs/>
          <w:sz w:val="22"/>
          <w:lang w:val="en-GB"/>
        </w:rPr>
      </w:pPr>
      <w:bookmarkStart w:id="5" w:name="__RefHeading___Toc150660662"/>
      <w:r>
        <w:rPr>
          <w:bCs/>
          <w:sz w:val="22"/>
          <w:lang w:val="en-GB"/>
        </w:rPr>
        <w:t>ASSET CLASSIFICATION &amp; CONTROL</w:t>
      </w:r>
      <w:bookmarkEnd w:id="5"/>
      <w:r>
        <w:rPr>
          <w:bCs/>
          <w:sz w:val="22"/>
          <w:lang w:val="en-GB"/>
        </w:rPr>
        <w:t xml:space="preserve"> </w:t>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Sections 3.3 a), b) and c) below</w:t>
      </w:r>
    </w:p>
    <w:p>
      <w:pPr>
        <w:pStyle w:val="Normal"/>
        <w:spacing w:before="0" w:after="0"/>
        <w:ind w:start="1440" w:end="0"/>
        <w:jc w:val="both"/>
        <w:rPr>
          <w:color w:val="FF0000"/>
          <w:szCs w:val="22"/>
          <w:lang w:val="en-GB"/>
        </w:rPr>
      </w:pPr>
      <w:r>
        <w:rPr>
          <w:color w:val="FF0000"/>
          <w:szCs w:val="22"/>
          <w:lang w:val="en-GB"/>
        </w:rPr>
      </w:r>
    </w:p>
    <w:p>
      <w:pPr>
        <w:pStyle w:val="Normal"/>
        <w:spacing w:before="0" w:after="0"/>
        <w:jc w:val="both"/>
        <w:rPr>
          <w:color w:val="FF0000"/>
          <w:szCs w:val="22"/>
          <w:lang w:val="en-GB"/>
        </w:rPr>
      </w:pPr>
      <w:r>
        <w:rPr>
          <w:color w:val="FF0000"/>
          <w:szCs w:val="22"/>
          <w:lang w:val="en-GB"/>
        </w:rPr>
      </w:r>
    </w:p>
    <w:p>
      <w:pPr>
        <w:pStyle w:val="Normal"/>
        <w:spacing w:before="0" w:after="0"/>
        <w:jc w:val="both"/>
        <w:rPr>
          <w:i/>
          <w:i/>
          <w:szCs w:val="22"/>
          <w:lang w:val="en-GB"/>
        </w:rPr>
      </w:pPr>
      <w:r>
        <w:rPr>
          <w:i/>
          <w:szCs w:val="22"/>
          <w:lang w:val="en-GB"/>
        </w:rPr>
        <w:t>Appropriate accountability &amp; protection of EuroBank assets should be maintained (ISO 5.1)</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Inventories of informational assets are performed and maintained.  (e.g. databases, data files, system documentation, user manuals, training material, operational or support procedures, continuity plans, fallback arrangements, archived information)  (ISO 5.1.1)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b)</w:t>
        <w:tab/>
        <w:t>Inventories of software assets are performed and maintained.  (e.g. application software, system software, development tools and utilities)</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c)</w:t>
        <w:tab/>
        <w:t>Inventories of physical assets are performed and maintained.  (e.g. computer equipment, communications equipment, magnetic media, power supplies, technical equipment, furniture, accommodation)  (ISO 5.1.1)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d)</w:t>
        <w:tab/>
        <w:t>Inventories of service providers are performed and maintained.  (e.g. computing and communication services, general utilities such as heating, lighting, power air conditioning)  (ISO 5.1.1)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e)</w:t>
        <w:tab/>
        <w:t>Documentation exists that specifies the classification of individual assets with respect to its value and sensitivity to the organization?  (ISO 5.2.1)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f)</w:t>
        <w:tab/>
        <w:t>If the answer to Section 3.2(l) above is “Yes”, do documented procedures exist for information labeling and handling based on the classification scheme?  (ISO 5.2.2)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While available within the PST Supplier, the PST Supplier suggests using EuroBank's data classification policy and corresponding procedures.</w:t>
      </w:r>
    </w:p>
    <w:p>
      <w:pPr>
        <w:pStyle w:val="Normal"/>
        <w:spacing w:before="0" w:after="0"/>
        <w:jc w:val="both"/>
        <w:rPr>
          <w:color w:val="FF0000"/>
          <w:szCs w:val="22"/>
          <w:lang w:val="en-GB"/>
        </w:rPr>
      </w:pPr>
      <w:r>
        <w:rPr>
          <w:color w:val="FF0000"/>
          <w:szCs w:val="22"/>
          <w:lang w:val="en-GB"/>
        </w:rPr>
      </w:r>
    </w:p>
    <w:p>
      <w:pPr>
        <w:pStyle w:val="Heading2Numbered"/>
        <w:numPr>
          <w:ilvl w:val="1"/>
          <w:numId w:val="2"/>
        </w:numPr>
        <w:ind w:hanging="0" w:start="0"/>
        <w:rPr>
          <w:bCs/>
          <w:sz w:val="22"/>
          <w:lang w:val="en-GB"/>
        </w:rPr>
      </w:pPr>
      <w:bookmarkStart w:id="6" w:name="__RefHeading___Toc150660663"/>
      <w:r>
        <w:rPr>
          <w:bCs/>
          <w:sz w:val="22"/>
          <w:lang w:val="en-GB"/>
        </w:rPr>
        <w:t>PERSONNEL SECURITY</w:t>
      </w:r>
      <w:bookmarkEnd w:id="6"/>
      <w:r>
        <w:rPr>
          <w:bCs/>
          <w:sz w:val="22"/>
          <w:lang w:val="en-GB"/>
        </w:rPr>
        <w:t xml:space="preserve"> </w:t>
      </w:r>
    </w:p>
    <w:p>
      <w:pPr>
        <w:pStyle w:val="Normal"/>
        <w:spacing w:before="0" w:after="0"/>
        <w:jc w:val="both"/>
        <w:rPr/>
      </w:pPr>
      <w:r>
        <w:rPr>
          <w:i/>
          <w:szCs w:val="22"/>
          <w:lang w:val="en-GB"/>
        </w:rPr>
        <w:t>Security responsibilities should be addressed at the recruitment stage, included in contracts, and monitored during an individual’s employment. (ISO 6.1) Topology documentation.</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Describe the screening activities performed on job applicants for employees (e.g. checks related to credit, drug screening, qualifications, references, and criminal background).  (ISO 6.1.2)</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Background checks on applicants generally include identity (passport), address, credentials (written or oral references) and may include criminal record (Verklaring Onbesproken Gedrag; VOG or Security Clearance A, B, C from the AIVD). As standard procedure drug testing is not included, however it is understood clients may require employees to pass drug tests or other addition screening before being assigned to that client. All screening will be done subject to national law and regulations. PST Supplier has to comply to the regulations concerning pre- and in-employment screening, as described in “EuroBank Group Personnel Policy for Information Security”. Description of screening activities is included in Exhibit 5 (Human Resources Provisions).</w:t>
      </w:r>
      <w:r>
        <w:rPr>
          <w:i/>
          <w:color w:val="FF0000"/>
          <w:szCs w:val="22"/>
          <w:lang w:val="en-GB"/>
        </w:rPr>
      </w:r>
      <w:r>
        <w:rPr>
          <w:color w:val="FF0000"/>
          <w:szCs w:val="22"/>
          <w:lang w:val="en-GB"/>
        </w:rPr>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b)</w:t>
        <w:tab/>
        <w:t>Describe the screening activities performed on job applicants for contractors and temporary employees.  (ISO 6.1.2)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see Section 3.4(a) above</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c)</w:t>
        <w:tab/>
        <w:t>Describe the training process for new hires.  (e.g. length and breadth of training)  (ISO 6.2.1)</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Approximately one whole day on internal processes including security. Depending on the job, additional training is done. From that point, every employee becomes part of the organizations' continuous training programs - this includes EuroBank specific training.</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d)</w:t>
        <w:tab/>
        <w:t>There is an effective process by which the feedback from testing, employees’ performance metrics, &amp; quality assurance efforts are incorporated back into the training and development curriculum.</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e)</w:t>
        <w:tab/>
        <w:t>Employees are required to sign a confidentiality or non-disclosure agreement as part of their initial terms and conditions of employment.  (ISO 6.1.3)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f)</w:t>
        <w:tab/>
        <w:t>All third parties and outsourced service provider contracts that have the potential to come in contact with EuroBank assets contractually are bound to ensure confidentiality.  (ISO 6.1.3)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g)</w:t>
        <w:tab/>
        <w:t>The annual rate of personnel turnover for both exempt and non-exempt workers is at a level consistent with the industry.</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h)</w:t>
        <w:tab/>
        <w:t>A documented process exists for the response of security related incidents.  (ISO 6.3.1)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i)</w:t>
        <w:tab/>
        <w:t>Employees and contractors are aware of the procedures for reporting security incidents related to security incidents, security weaknesses and software malfunctions.  (ISO 6.3.1, 6.3.2, 6.3.3)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j)</w:t>
        <w:tab/>
        <w:t>Disciplinary processes are documented for employees who violate organizational security policies and procedures?  (ISO 6.3.5)</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Heading2Numbered"/>
        <w:numPr>
          <w:ilvl w:val="1"/>
          <w:numId w:val="2"/>
        </w:numPr>
        <w:ind w:hanging="0" w:start="0"/>
        <w:rPr>
          <w:bCs/>
          <w:sz w:val="22"/>
          <w:lang w:val="en-GB"/>
        </w:rPr>
      </w:pPr>
      <w:bookmarkStart w:id="7" w:name="__RefHeading___Toc150660664"/>
      <w:r>
        <w:rPr>
          <w:bCs/>
          <w:sz w:val="22"/>
          <w:lang w:val="en-GB"/>
        </w:rPr>
        <w:t>PHYSICAL AND ENVIRONMENTAL SECURITY</w:t>
      </w:r>
      <w:bookmarkEnd w:id="7"/>
      <w:r>
        <w:rPr>
          <w:bCs/>
          <w:sz w:val="22"/>
          <w:lang w:val="en-GB"/>
        </w:rPr>
        <w:t xml:space="preserve"> </w:t>
      </w:r>
    </w:p>
    <w:p>
      <w:pPr>
        <w:pStyle w:val="Normal"/>
        <w:spacing w:before="0" w:after="0"/>
        <w:ind w:start="1440" w:end="0"/>
        <w:jc w:val="both"/>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 3.3 (a) to (v) above.</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Secure areas should exist to prevent unauthorized access, damage, and interferences to business premises and information.  (ISO 7.1)</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w:t>
        <w:tab/>
        <w:t>Are all facilities that host or process EuroBank assets are not solely owned by the vendor.</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See response to Section 3.5(b) below</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b)</w:t>
        <w:tab/>
        <w:t>If the answer to question 3.5(a) above is “No”, document the expiration on any facilities which are leased.</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The buildings are leased, the specific physical data-center equipment and installations are owned and maintained by the provider of Server Management services. Since PST Supplier has a number of facilities with different lease periods. Once a decision is made to host EuroBank assets in one of PST Supplier facilities, the choice will be made which facility will be used based on requirements as cost, networking, security, etc.</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c)</w:t>
        <w:tab/>
        <w:t>If the answer to question 3.5(a) above is “No”, describe the arrangements for any facilities which are not owned or leased.</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The building owner only maintains the building itself.  Physical security in this case is provided by employees of the Server Management Bundle supplier.</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d)</w:t>
        <w:tab/>
        <w:t>Describe the physical security perimeter around all facilities that will contain and/or process EuroBank informational assets.  (ISO 7.1.1)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For facilities that contain EuroBank physical assets, a multi-zone security perimeter is used. Zone 1: Fences and camera systems.  Zone 2: building with infra red screens and entrance control.  Zone 3: entrance control production rooms. 7*24 hours security personnel, fire resistant floors, doors and walls, automatic shutting doors, agreement with fire brigade including attack plan and 5 minute on site presence, water detection system and lightning protection. For facilities that only process EuroBank informational assets, agreed perimeter security standards between EuroBank and the PST Supplier are used.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e)</w:t>
        <w:tab/>
        <w:t>Describe physical entry controls into areas that host or process EuroBank assets.  (ISO 7.1.2)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Camera's, tour and circle locks,  Security Management System, Authorisation system, Logging of granted persons, Badge</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f)</w:t>
        <w:tab/>
        <w:t>Describe physical security controls used to secure restricted areas inside of the security perimeter.  (ISO 7.1.3)</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Authorisation for request to enter restricted areas. Badges, Guidance of Third Party visitors.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g)</w:t>
        <w:tab/>
        <w:t>Describe physical controls that are present in areas within secure working areas. (e.g. restricted use of photographic, audio, video)  (ISO 7.1.4)</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First visit reading and signing house rules. House rules are visible nearby entrance production rooms. House rules forbid the use of audio and video recording equipment and cell phones.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h)</w:t>
        <w:tab/>
        <w:t>Describe the use of any isolated delivery and/or loading areas.  (ISO 7.1.5)</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Delivery and loading areas are separated from areas for IT equipment. Access control is only granted to authorised personnel with the use of badges. From the loading area no unauthorised access to the building is provided.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i)</w:t>
        <w:tab/>
        <w:t>Describe the building tenants in any shared facilities with common walls, floors, or ceilings that are contiguous to areas containing EuroBank assets or individuals with access to EuroBank assets.</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There are no shared facilities and data-center offices are completely inhabited by employees from the Server Management Bundle supplier</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j)</w:t>
        <w:tab/>
        <w:t>Describe how surveillance camera(s) are monitored.  (e.g. hours of operation, who monitors, tape retention)</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Monitors are placed in the security room where security personnel watch the monitors 7*24 hours. The footage is recorded and kept for one month.</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k)</w:t>
        <w:tab/>
        <w:t>Describe the function responsible for assignment of physical access and frequency for review of access logs for physical controls.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Assignment of access is arranged via access granting procedures. Depending on the location, owners have to give permission for the authorization: execution of authorization is via security guards. Every three months the respective owners receive an overview of all granted personnel for review of access authorization</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l)</w:t>
        <w:tab/>
        <w:t xml:space="preserve">Keys to cabinets, equipment rooms, and wiring closets held are under proper custody.  </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color w:val="FF0000"/>
          <w:szCs w:val="22"/>
          <w:lang w:val="en-GB"/>
        </w:rPr>
      </w:pPr>
      <w:r>
        <w:rPr>
          <w:color w:val="FF0000"/>
          <w:szCs w:val="22"/>
          <w:lang w:val="en-GB"/>
        </w:rPr>
        <w:t>There is a master key log.</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m)</w:t>
        <w:tab/>
        <w:t>Describe how telecommunication line junction points (wiring and router closets), minimum points of entry (MPOE), and demarcation points (Dmark) are secured to prevent tampering.  (ISO 7.2.1)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Telecommunication line junction points are only located in secure areas in closed cabinets. Fibres cabling to connect the twin centers are laid out geographically over two different routes.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n)</w:t>
        <w:tab/>
        <w:t>EuroBank assets are protected against power disruptions and/or outages.</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o)</w:t>
        <w:tab/>
        <w:t>If the answer to question 3.5(n) above is “Yes”, describe the use of multiple electric feeds, uninterruptible power supplies (UPS), and back-up generators.  How long does the UPS last?  How long does it take for generators to start-up and take over?  How long will generators run without refueling?  What arrangements exist for on-site and off-site refueling?  What was the date of the last test for UPS and generators?</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Modular UPS system: capacity in line with required capacity of the data-center, with an autonomic period of 10 minutes per data-center. A set of two diesel generators per data-center: one diesel generator for the computer load and one diesel generator for the cooling load. Fuel for 48 hrs, start up between 1- 2 min, 3x start attempt within 10 min UPS time. At a petrol station nearby, arrangements are made for a quick refill with an always available truck with diesel. Dual power in the computer rooms from power boxes or power rails. Tests are conducted regularly once per month on back up power measures.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p)</w:t>
        <w:tab/>
        <w:t>Describe security controls for power and telecommunications cabling that provide service to EuroBank assets.  (ISO 7.2.3)</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Cabling is a properly secured, network cabling run through special cable gutters or tubes, Power and network cabling is kept separately. Access points for the cabling are only located in secure areas.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q)</w:t>
        <w:tab/>
        <w:t>Maintenance and repair records are kept for equipment that supports the processing of EuroBank information assets.  (ISO 7.2.4)</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r)</w:t>
        <w:tab/>
        <w:t>No equipment hosting and/or providing service(s) to EuroBank assets is maintained and/or repaired by a third party.  (ISO 7.2.5)</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EuroBank assets within the Bundles Voice, LAN and Server Management are maintained by the same PST Supplier member providing desktop HW break &amp; fix services. We do not consider this to be a 3rd party as this is another member of PST Supplier.</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s)</w:t>
        <w:tab/>
        <w:t>Equipment hosting and/or providing service(s) to EuroBank assets is maintained, repaired, or otherwise transported off-site.  (ISO 7.2.5)</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t)</w:t>
        <w:tab/>
        <w:t>If the answer to question 3.5(s) above is “Yes”, describe the procedures for removing equipment and detecting unauthorized removal.</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For all Equipment which needs to be removed from EuroBank premises (e.g. for repair or disposal) an Incident is logged at the service desk. The ticket will state, as a minimum, the date and time of the action, purpose of the move and the name of the person executing the removal. The Equipment will be labeled with this Incident number, so the Equipment can be traced to it's location at any time. Corresponding procedures will specify identification requirements for involved personnel and the advance notice requirements for EuroBank and PST Supplier. The transport of such Equipment is either done by field personnel from one of the Bundle suppliers, or by approved couriers.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u)</w:t>
        <w:tab/>
        <w:t>If the answer to question 3.5(s) above is “Yes”, the level of security and insurance is equivalent to that for on-site equipment.</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v)</w:t>
        <w:tab/>
        <w:t>Please provide documentation describing the procedures for the disposal and/or re-use of equipment processing EuroBank information (e.g. computer components, removable media, encryption components, key materials, hard copy papers)  (ISO 7.2.6)</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 xml:space="preserve">Procedures are available for secure wiping of media or Equipment of customer information before destruction or disposal. A unique certificate is issued as proof for each successful wipe. Media and Equipment that can not be completely wiped (e.g. hard disk failure) are degaussed. EuroBank is welcome to review the procedures on site.    </w:t>
      </w:r>
    </w:p>
    <w:p>
      <w:pPr>
        <w:pStyle w:val="Normal"/>
        <w:spacing w:before="0" w:after="0"/>
        <w:jc w:val="both"/>
        <w:rPr>
          <w:color w:val="FF0000"/>
          <w:szCs w:val="22"/>
          <w:lang w:val="en-GB"/>
        </w:rPr>
      </w:pPr>
      <w:r>
        <w:rPr>
          <w:color w:val="FF0000"/>
          <w:szCs w:val="22"/>
          <w:lang w:val="en-GB"/>
        </w:rPr>
      </w:r>
    </w:p>
    <w:p>
      <w:pPr>
        <w:pStyle w:val="Heading2Numbered"/>
        <w:numPr>
          <w:ilvl w:val="1"/>
          <w:numId w:val="2"/>
        </w:numPr>
        <w:ind w:hanging="0" w:start="0"/>
        <w:rPr>
          <w:bCs/>
          <w:sz w:val="22"/>
          <w:lang w:val="en-GB"/>
        </w:rPr>
      </w:pPr>
      <w:bookmarkStart w:id="8" w:name="__RefHeading___Toc150660665"/>
      <w:r>
        <w:rPr>
          <w:bCs/>
          <w:sz w:val="22"/>
          <w:lang w:val="en-GB"/>
        </w:rPr>
        <w:t>COMMUNICATIONS AND OPERATIONAL MANAGEMENT</w:t>
      </w:r>
      <w:bookmarkEnd w:id="8"/>
      <w:r>
        <w:rPr>
          <w:bCs/>
          <w:sz w:val="22"/>
          <w:lang w:val="en-GB"/>
        </w:rPr>
        <w:t xml:space="preserve">  </w:t>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Sections 3.6 a), b), c), d), e), f), g), h), i) o), p), q), r), s), t) u), v), x), y), z), aa), bb), cc), dd), ff) and oo) below</w:t>
      </w:r>
    </w:p>
    <w:p>
      <w:pPr>
        <w:pStyle w:val="Normal"/>
        <w:spacing w:before="0" w:after="0"/>
        <w:jc w:val="both"/>
        <w:rPr>
          <w:color w:val="FF0000"/>
          <w:szCs w:val="22"/>
          <w:lang w:val="en-GB"/>
        </w:rPr>
      </w:pPr>
      <w:r>
        <w:rPr>
          <w:color w:val="FF0000"/>
          <w:szCs w:val="22"/>
          <w:lang w:val="en-GB"/>
        </w:rPr>
      </w:r>
    </w:p>
    <w:p>
      <w:pPr>
        <w:pStyle w:val="Normal"/>
        <w:spacing w:before="0" w:after="0"/>
        <w:jc w:val="both"/>
        <w:rPr>
          <w:i/>
          <w:i/>
          <w:szCs w:val="22"/>
          <w:lang w:val="en-GB"/>
        </w:rPr>
      </w:pPr>
      <w:r>
        <w:rPr>
          <w:i/>
          <w:szCs w:val="22"/>
          <w:lang w:val="en-GB"/>
        </w:rPr>
        <w:t>Environments processing EuroBank information should take measures to ensure operations are correct and secure.  (ISO 8.1)</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Documented operating procedures identified by the information security policy exist and are followed.  (ISO 8.1.1)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b)</w:t>
        <w:tab/>
        <w:t>If the answer to question 3.6(a) above is “Yes”, procedures contain instructions for processing and handling of information  (ISO 8.1.1)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c)</w:t>
        <w:tab/>
        <w:t>If the answer to question 3.6(a) above is “Yes”, procedures contain instructions for processing and handling of information  (ISO 8.1.1)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pPr>
      <w:r>
        <w:rPr>
          <w:szCs w:val="22"/>
          <w:lang w:val="en-GB"/>
        </w:rPr>
        <w:t>d)</w:t>
        <w:tab/>
        <w:t>Scheduling requirements, interdependencies with other systems, earliest job start and latest job completion times  (ISO 8.1.1)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e)</w:t>
        <w:tab/>
        <w:t>Instructions for handling errors or other exceptional conditions, which might arise during job execution, including restrictions on the use of system utilities  (ISO 8.1.1)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f)</w:t>
        <w:tab/>
        <w:t>Support contacts in the event of unexpected operational or technical difficulties  (ISO 8.1.1)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g)</w:t>
        <w:tab/>
        <w:t>Special output handling instructions, such as the use of special stationary or management of confidential output, including procedures for the secure disposal of output from failed jobs  (ISO 8.1.1)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h)</w:t>
        <w:tab/>
        <w:t>system restart and recovery procedures for use in the event of a system failure  (ISO 8.1.1)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i)</w:t>
        <w:tab/>
        <w:t>Please provide procedural documentation for operational change control of systems and applications.  (ISO 8.1.2, 10.5.1)</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All PST Supplier members use ITIL compliant change procedures. EuroBank will review the individual procedures of each member on site.</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j)</w:t>
        <w:tab/>
      </w:r>
      <w:r>
        <w:rPr>
          <w:i/>
          <w:szCs w:val="22"/>
          <w:lang w:val="en-GB"/>
        </w:rPr>
        <w:t>(no requirement)</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Detailed security incident management processes exist at individual PST Supplier members. In the event of an Incident or security breach, a core team is assembled and specialist (forensics, investigations, technical) are brought into the team as required. These activities are governed by the JSSC.</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k)</w:t>
        <w:tab/>
        <w:t>Documented responsibilities and procedures for the management of security incidents exist and are followed.  (ISO 8.1.3)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l)</w:t>
        <w:tab/>
        <w:t>If the answer to question 3.6(k) above is “Yes”, describe how security related incidents involving EuroBank assets will be communicated.</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 PST Supplier Computer Incident Response Team will handle all communications through 2IM to EuroBank. Consolidated incident reports will be reported to the JSSC.</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m)</w:t>
        <w:tab/>
        <w:t>Do any areas where employees, contractors, or third parties may have multiple responsibilities allowing for the opportunity of unauthorized modification or misuse of EuroBank information and services exist?  (ISO 8.1.4)</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N</w:t>
      </w:r>
    </w:p>
    <w:p>
      <w:pPr>
        <w:pStyle w:val="Normal"/>
        <w:spacing w:before="0" w:after="0"/>
        <w:ind w:start="1440" w:end="0"/>
        <w:jc w:val="both"/>
        <w:rPr>
          <w:color w:val="FF0000"/>
          <w:szCs w:val="22"/>
          <w:lang w:val="en-GB"/>
        </w:rPr>
      </w:pPr>
      <w:r>
        <w:rPr>
          <w:color w:val="FF0000"/>
          <w:szCs w:val="22"/>
          <w:lang w:val="en-GB"/>
        </w:rPr>
        <w:t>The PST Supplier members have fully implemented segregation of duties into roles and responsibilities in order to prevent unauthorized modifications or misuse of EuroBank information.</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n)</w:t>
        <w:tab/>
        <w:t>If the answer to question 3.6(m) above is “Yes”, identify specific areas and any compensating controls (e.g. activities segregation, anti-collusion controls).</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pPr>
      <w:r>
        <w:rPr>
          <w:color w:val="FF0000"/>
          <w:szCs w:val="22"/>
          <w:lang w:val="en-GB"/>
        </w:rPr>
        <w:t>No need to answer since 3.6(a) above is No</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o)</w:t>
        <w:tab/>
        <w:t>No individuals share access between development, test, or operational environments.  (ISO 8.1.5)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p)</w:t>
        <w:tab/>
        <w:t>Software development tools (e.g. compilers) are removed from production and only accessible to authorized software development individuals?  (ISO 8.1.5)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q)</w:t>
        <w:tab/>
        <w:t>Logical and/or procedural controls exist that prevent the security exposures related to the compromise, damage, or loss of data in environments shared with organizations other than EuroBank.  (ISO 8.1.6)</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r)</w:t>
        <w:tab/>
        <w:t>Capacity demands are monitored and projected for future capacity requirements performed to ensure adequate processing power and storage are available.  (ISO 8.2.1)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s)</w:t>
        <w:tab/>
        <w:t>There are documented, agreed upon, and tested acceptance criteria for new information systems, upgrades, and new versions of systems prior to acceptance.  (ISO 8.2.2)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t)</w:t>
        <w:tab/>
        <w:t>Detection and prevention controls exist to protect against malicious software.  (ISO 8.3.1)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u)</w:t>
        <w:tab/>
        <w:t>Data files, including access rules, are regularly backed up and tested to ensure their integrity.  (ISO 8.4.1)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v)</w:t>
        <w:tab/>
        <w:t>Audit logs maintained by operational personnel (non-automated e.g. logbooks) exist.  If so, what types of information is included?  (ISO 8.4.2)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All information required to be able to verify afterwards who changed what and when the change was executed.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w)</w:t>
        <w:tab/>
        <w:t>Fault logs with regards to information processing and communications systems exist.  If so, how often are they reviewed?  (ISO 8.4.3)</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Fault logs are monitored in real time and any Incident is reported and assigned to a responsible delivery team automatically. General manual review periods depend on the system under scrutiny</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x)</w:t>
        <w:tab/>
        <w:t>Individuals are responsible for networks separate from individuals responsible for computer operations.  (ISO 8.5.1)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y)</w:t>
        <w:tab/>
        <w:t>Describe safeguards used to protect the confidentiality and integrity of data traveling over non-vendor owned and/or operated networks. (ISO 8.5.1)</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If non-vendor owned networks are used, encryption and/or hashing is used and  implemented through vpn, secure email, ssl, ssh etc.</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z)</w:t>
        <w:tab/>
        <w:t>Procedures exist for the secure management, handling, and storage of removable computer media, such as tapes, cassettes, and printed reports.  (ISO 8.6.1, 8.6.3)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aa)</w:t>
        <w:tab/>
        <w:t>If the answer to question 3.6(z) above is “Yes”, please include a copy of the procedures.</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EuroBank will review the individual procedures of each PST Supplier member on site</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bb)</w:t>
        <w:tab/>
        <w:t>If the answer to question 3.6(z) above is “Yes”, describe safeguards to prevent accidental breaches of confidentiality (e.g. cross customer contamination due to tape mislabeling)  (ISO 8.6.3)</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Security measures for these risks are mainly preventive and detective. For this reason, detailed procedures are available for the secure management, handling and storage of removable computer media. These procedures are only performed by trained employees. Procedures specify which representative (both for the customer and PST Supplier member) is authorized to handle (tape) media, the identification/authentication requirements of personnel involved and the secure labeling and sealing of media. Labeling is usually done in the presence and under supervision of the customer authorized representative and relevant documents are completed at the same time. Media are labeled uniquely, per customer and batch, and transported in sealed and labeled transport cases. Tapes and other relevant back-up or archiving media are registered in a dedicated media registration system and are always stored in two places and in a protected environment. Only authorized personnel can access to the storage facilities. Procedures are available for secure wiping of media or Equipment of customer information before destruction or disposal. A unique certificate is issued as proof for each successful wipe. Media and Equipment that cannot be completely wiped (e.g. hard disk failure) are degaussed.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cc)</w:t>
        <w:tab/>
        <w:t>Media is disposed of securely and safely when no longer required.  (ISO 8.6.2)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dd)</w:t>
        <w:tab/>
        <w:t>The  system documentation describing sensitive application processes, procedures, data structures, and authorization processes stored securely and shared is on a need-to-know basis?  (ISO 8.6.4)</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ee)</w:t>
        <w:tab/>
        <w:t>Other than the MSA, no contractual agreements between EuroBank and the vendor reflect the sensitivity of the business information exchanged formally or inadvertently.  (ISO 8.7.1)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color w:val="FF0000"/>
          <w:szCs w:val="22"/>
          <w:lang w:val="en-GB"/>
        </w:rPr>
      </w:pPr>
      <w:r>
        <w:rPr>
          <w:i/>
          <w:color w:val="FF0000"/>
          <w:szCs w:val="22"/>
          <w:lang w:val="en-GB"/>
        </w:rPr>
        <w:t>Y</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ff)</w:t>
        <w:tab/>
        <w:t>Describe the security mechanisms and procedures used to transport media containing EuroBank data.  (ISO 8.7.2)</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Security measures will be based on the classification of EuroBank data. This may include data encryption and/or physical protection depending on the data classification. In the event media are not transported by one of the PST Supplier members, only approved couriers are used.</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gg)</w:t>
        <w:tab/>
        <w:t>Who in the vendor’s organization is responsible for maintaining a total view of risk of information assets managed by the vendor?  How are risks communicated?  (ISO 8.7.3)</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 PST Supplier's security managers are responsible for maintaining a total view of risk of information assets. Risks and controls to mitigate risks will be reported to and discussed in the JSSC</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hh)</w:t>
        <w:tab/>
        <w:t>How is e-mail secured against unauthorized access, modification, and denial of service?  (ISO 8.7.4)</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Encryption of data in transmission and storage (email, authentication information, etc) is based on the classification of the data, ownership of networks used for transport and destination. DoS protection of email servers is achieved through countermeasures such as SPAM filtering (mail bombs) and Virus protection plus back-up, fail-over, hardening and timely patching of servers. When required, further DoS protection is implemented on network level.</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ii)</w:t>
        <w:tab/>
        <w:t>Controls exist to prevent against the unauthorized impersonation and misdirection of e-mail.</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jj)</w:t>
        <w:tab/>
        <w:t>Are e-mails retained for any employees?</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color w:val="FF0000"/>
          <w:szCs w:val="22"/>
          <w:lang w:val="en-GB"/>
        </w:rPr>
      </w:pPr>
      <w:r>
        <w:rPr>
          <w:color w:val="FF0000"/>
          <w:szCs w:val="22"/>
          <w:lang w:val="en-GB"/>
        </w:rPr>
        <w:t>N</w:t>
      </w:r>
    </w:p>
    <w:p>
      <w:pPr>
        <w:pStyle w:val="Normal"/>
        <w:spacing w:before="0" w:after="0"/>
        <w:ind w:start="1440" w:end="0"/>
        <w:jc w:val="both"/>
        <w:rPr>
          <w:color w:val="FF0000"/>
          <w:szCs w:val="22"/>
          <w:lang w:val="en-GB"/>
        </w:rPr>
      </w:pPr>
      <w:r>
        <w:rPr>
          <w:color w:val="FF0000"/>
          <w:szCs w:val="22"/>
          <w:lang w:val="en-GB"/>
        </w:rPr>
        <w:t>Not recognized by PST Supplier as a requirement from the SOW, however email retention can be organized according to EuroBank's email policies.</w:t>
      </w:r>
    </w:p>
    <w:p>
      <w:pPr>
        <w:pStyle w:val="Normal"/>
        <w:spacing w:before="0" w:after="0"/>
        <w:ind w:start="1440" w:end="0"/>
        <w:jc w:val="both"/>
        <w:rPr>
          <w:color w:val="FF0000"/>
          <w:szCs w:val="22"/>
          <w:lang w:val="en-GB"/>
        </w:rPr>
      </w:pPr>
      <w:r>
        <w:rPr>
          <w:color w:val="FF0000"/>
          <w:szCs w:val="22"/>
          <w:lang w:val="en-GB"/>
        </w:rPr>
        <w:t>PST Supplier needs to comply to the current EuroBank Group Email Retention policy, as currently implemented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kk)</w:t>
        <w:tab/>
        <w:t>If the answer to question 3.6(jj) above is “Yes”, describe for which employes e-mails are retained, the retention period, and recoverability guidelines.</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No need to answer since 3.6(jj) above is No</w:t>
      </w:r>
    </w:p>
    <w:p>
      <w:pPr>
        <w:pStyle w:val="Normal"/>
        <w:spacing w:before="0" w:after="0"/>
        <w:ind w:start="1440" w:end="0"/>
        <w:jc w:val="both"/>
        <w:rPr>
          <w:color w:val="FF0000"/>
          <w:szCs w:val="22"/>
          <w:lang w:val="en-GB"/>
        </w:rPr>
      </w:pPr>
      <w:r>
        <w:rPr>
          <w:color w:val="FF0000"/>
          <w:szCs w:val="22"/>
          <w:lang w:val="en-GB"/>
        </w:rPr>
        <w:t>See 3.6(jj) above</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ll)</w:t>
        <w:tab/>
        <w:t>Procedures are documented for the safeguarding of electronic office systems.  (e.g. voice communications, electronic mail, voice/video teleconferencing, and facsimile machines)  (ISO 8.7.5)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mm)</w:t>
        <w:tab/>
        <w:t>Networks rely on the security of an external correspondent (e.g. upstream network provider) to maintain integrity or control separations.  (ISO 8.7.6)</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Not relevant for the scope of the bid as this is related to WAN</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nn)</w:t>
        <w:tab/>
        <w:t>Systems that publish public information contain safeguards to protect the integrity of the published information.  (ISO 8.7.6)</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oo)</w:t>
        <w:tab/>
        <w:t>Systems that collect data from public customers ensure information integrity.  (ISO 8.7.6)</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pp)</w:t>
        <w:tab/>
        <w:t>Procedures exist that instruct employees and contractors in the secure use of voice, facsimile, and video communications.  (ISO 8.7.7)</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9" w:name="__RefHeading___Toc150660666"/>
      <w:r>
        <w:rPr>
          <w:bCs/>
          <w:sz w:val="22"/>
          <w:lang w:val="en-GB"/>
        </w:rPr>
        <w:t>ACCESS CONTROL</w:t>
      </w:r>
      <w:bookmarkEnd w:id="9"/>
      <w:r>
        <w:rPr>
          <w:bCs/>
          <w:sz w:val="22"/>
          <w:lang w:val="en-GB"/>
        </w:rPr>
        <w:t xml:space="preserve"> </w:t>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Sections 3.7 c), b), d), e), f), g), l), m), n), p), r), s), t), u), v) and w) below</w:t>
      </w:r>
    </w:p>
    <w:p>
      <w:pPr>
        <w:pStyle w:val="Normal"/>
        <w:spacing w:before="0" w:after="0"/>
        <w:ind w:start="1440" w:end="0"/>
        <w:jc w:val="both"/>
        <w:rPr>
          <w:color w:val="FF0000"/>
          <w:szCs w:val="22"/>
          <w:lang w:val="en-GB"/>
        </w:rPr>
      </w:pPr>
      <w:r>
        <w:rPr>
          <w:color w:val="FF0000"/>
          <w:szCs w:val="22"/>
          <w:lang w:val="en-GB"/>
        </w:rPr>
      </w:r>
    </w:p>
    <w:p>
      <w:pPr>
        <w:pStyle w:val="Normal"/>
        <w:spacing w:before="0" w:after="0"/>
        <w:jc w:val="both"/>
        <w:rPr>
          <w:color w:val="FF0000"/>
          <w:szCs w:val="22"/>
          <w:lang w:val="en-GB"/>
        </w:rPr>
      </w:pPr>
      <w:r>
        <w:rPr>
          <w:color w:val="FF0000"/>
          <w:szCs w:val="22"/>
          <w:lang w:val="en-GB"/>
        </w:rPr>
      </w:r>
    </w:p>
    <w:p>
      <w:pPr>
        <w:pStyle w:val="Normal"/>
        <w:spacing w:before="0" w:after="0"/>
        <w:jc w:val="both"/>
        <w:rPr>
          <w:i/>
          <w:i/>
          <w:szCs w:val="22"/>
          <w:lang w:val="en-GB"/>
        </w:rPr>
      </w:pPr>
      <w:r>
        <w:rPr>
          <w:i/>
          <w:szCs w:val="22"/>
          <w:lang w:val="en-GB"/>
        </w:rPr>
        <w:t>Access to information, and business process should be controlled on the basis of business and security requirements. (ISO 9.1)</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Business requirements for access control are defined and documented?  (ISO 9.1.1)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b)</w:t>
        <w:tab/>
        <w:t>How are access control requirements communicated from the EuroBank asset owner to the vendor?</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Requirements are based on the classification of the EuroBank asset and will be communicated via EuroBank policies through the JSSC. Operationally, communication will be handled via the Service Desk.</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c)</w:t>
        <w:tab/>
        <w:t>Access to systems, networks, and their respective diagnostic utilities is denied unless expressly permitted to authorized users.  (ISO 9.5.5)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d)</w:t>
        <w:tab/>
        <w:t>A formal user registration and de-registration procedure exists for access to all multi-user information systems.  (ISO 9.2.1)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e)</w:t>
        <w:tab/>
        <w:t>The allocation and use of privileges is restricted, controlled, and recorded for users on a need-to-use basis and on an event-by-event basis.  (ISO 9.2.2, 9.6.1)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f)</w:t>
        <w:tab/>
        <w:t>All installation and default accounts and passwords are changed immediately for all new hardware and/or system software.</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g)</w:t>
        <w:tab/>
        <w:t>The allocation of passwords and access to systems and applications controlled through a formal management process?  (ISO 9.2.3)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h)</w:t>
        <w:tab/>
        <w:t>Are users access rights to data assets reviewed at regular intervals?  If so, how often?  (ISO 9.2.4)</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This interval depends on the security classification of a system/application/data and on specific environmental variables such as e.g. the frequency of user access mutations. Highly secure and volatile environments might require a review every few weeks or months whereas low secure, general user access systems can be reviewed (half) yearly. In general, it will be possible to visualize outstanding user access rights at any given moment.</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i)</w:t>
        <w:tab/>
        <w:t>Describe all PIN &amp; password standards for systems processing EuroBank data, including temporary passwords or passwords used in provisioning.  (ISO 9.3.1)</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While standards are available within the individual PST Supplier members, PST Supplier will comply to EuroBank's Policies on password structure, aging, authentication, uniqueness etc.</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j)</w:t>
        <w:tab/>
        <w:t>Controls exist to ensure unattended assets are protected against unauthorized access when left unattended for an extended period of time.  (ISO 9.3.2)</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k)</w:t>
        <w:tab/>
        <w:t>The path to access sensitive applications and networks is controlled. (e.g. application security controls, firewalls, dedicated communication lines, VPNs)  (ISO 9.4.2)</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l)</w:t>
        <w:tab/>
        <w:t>Describe instances of remote access to networks containing EuroBank assets and system diagnostic ports for EuroBank assets, the business purpose, the authentication and confidentiality controls.  (ISO 9.4.3, 9.4.4, 9.4.5, 9.8.2)</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Connections to the EuroBank infrastructure will mostly be done through fixed lines. Routers will use ACLs and, where required a firewall to control access. In order to guarantee confidentiality, encryption (link or application level) will be used. All ports will be closed except the ones that are explicitly required and agreed with EuroBank (such as ports for diagnostic and maintenance purposes).  System administrators will be authenticated on their local network and on EuroBank systems based on relevant authentication requirements and procedures. Authentication on EuroBank systems will, where required, be based on strong authentication mechanisms (knowledge plus possession). The business purpose for diagnostic activities is related to the monitoring of the EuroBank infrastructure in order to be able to take immediate action whenever this is required and to gather data that will be used to measure performance and report KPI’s back to EuroBank. The business purpose of maintenance activities is to manage systems with the objective to meet all requirements and KPI’s that are agreed upon in the relevant SLAs.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m)</w:t>
        <w:tab/>
        <w:t>Networks are segregated based on access control policies and access requirements.  (ISO 9.4.6)</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n)</w:t>
        <w:tab/>
        <w:t>System or network environments exist that share in the transportation or store EuroBank data and other vendor customer’s data.  (ISO 9.4.7)</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o)</w:t>
        <w:tab/>
        <w:t>If the answer to question 3.7(n) above is “Yes”, describe the environment, instances of isolation of computing environments or the controls for logical segregation of customer data within systems and networks.  (9 ISO.6.2)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EuroBank data, data in transport or data required to support the EuroBank services will be segregated.</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p)</w:t>
        <w:tab/>
        <w:t>Operating system controls exist that prevent against unauthorized computer access.  (e.g. ability to determine the terminal or location of users)  (ISO 9.5)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q)</w:t>
        <w:tab/>
        <w:t>Business requirements for access control are defined and documented.  (ISO 9.1.1)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r)</w:t>
        <w:tab/>
        <w:t>No environments with users are at risk from physical coercion equipped with duress alarms.  (ISO 9.5.6)</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The requirement is not known but can be implemented on request.</w:t>
      </w:r>
    </w:p>
    <w:p>
      <w:pPr>
        <w:pStyle w:val="Normal"/>
        <w:spacing w:before="0" w:after="0"/>
        <w:ind w:start="1440" w:end="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s)</w:t>
        <w:tab/>
        <w:t>If the answer to question 3.7(r) above is “Yes”, are responsibilities defined and procedures documented for duress alarm use?  (ISO 9.5.6)</w:t>
      </w:r>
    </w:p>
    <w:p>
      <w:pPr>
        <w:pStyle w:val="Normal"/>
        <w:spacing w:before="0" w:after="0"/>
        <w:jc w:val="both"/>
        <w:rPr>
          <w:szCs w:val="22"/>
          <w:lang w:val="en-GB"/>
        </w:rPr>
      </w:pPr>
      <w:r>
        <w:rPr>
          <w:szCs w:val="22"/>
          <w:lang w:val="en-GB"/>
        </w:rPr>
      </w:r>
    </w:p>
    <w:p>
      <w:pPr>
        <w:pStyle w:val="Normal"/>
        <w:spacing w:before="0" w:after="0"/>
        <w:ind w:start="1440" w:end="0"/>
        <w:jc w:val="both"/>
        <w:rPr/>
      </w:pPr>
      <w:r>
        <w:rPr>
          <w:color w:val="FF0000"/>
          <w:szCs w:val="22"/>
          <w:lang w:val="en-GB"/>
        </w:rPr>
        <w:t>No need to answer since 3.7(n) above is No</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t)</w:t>
        <w:tab/>
        <w:t>Systems &amp; applications in high-risk environments employ the use of terminal time-outs and limit connection times.  (ISO 9.5.7, 9.5.8)</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u)</w:t>
        <w:tab/>
        <w:t>Audit logs recording exceptions and security related events are maintained. Retention time depends on the classification of the relevant system.  (ISO 9.7.1)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v)</w:t>
        <w:tab/>
        <w:t>If the answer to question 3.7(u) above is “Yes”, what determines the frequency of monitoring of audit logs for misuse?  (ISO 9.7.2)</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Audit logs are monitored in real time and any incident is reported and assigned to a responsible delivery team automatically. General manual review periods depend on the system under scrutiny.</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pPr>
      <w:r>
        <w:rPr>
          <w:szCs w:val="22"/>
          <w:lang w:val="en-GB"/>
        </w:rPr>
        <w:t>w)</w:t>
        <w:tab/>
        <w:t>All system clocks are synchronized to ensure the accuracy of audit logs. They are all synchronized to UTC.  (ISO 9.7.3)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x)</w:t>
        <w:tab/>
        <w:t>Will mobile computing devices (e.g. laptops, palmtops, mobile phones) be used to access or store EuroBank non-public data?  If so, describe the controls used to ensure against the compromise of information.  Do standard build images exist?</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In the event that mobile devices will be used to access or store EuroBank non-public data, controls consistent with EuroBank policies will be used. Typical controls include encryption, cable locks, strong passwords etc.</w:t>
      </w:r>
    </w:p>
    <w:p>
      <w:pPr>
        <w:pStyle w:val="Normal"/>
        <w:spacing w:before="0" w:after="0"/>
        <w:jc w:val="both"/>
        <w:rPr>
          <w:color w:val="FF0000"/>
          <w:szCs w:val="22"/>
          <w:lang w:val="en-GB"/>
        </w:rPr>
      </w:pPr>
      <w:r>
        <w:rPr>
          <w:color w:val="FF0000"/>
          <w:szCs w:val="22"/>
          <w:lang w:val="en-GB"/>
        </w:rPr>
      </w:r>
    </w:p>
    <w:p>
      <w:pPr>
        <w:pStyle w:val="Heading2Numbered"/>
        <w:numPr>
          <w:ilvl w:val="1"/>
          <w:numId w:val="2"/>
        </w:numPr>
        <w:ind w:hanging="0" w:start="0"/>
        <w:rPr>
          <w:bCs/>
          <w:sz w:val="22"/>
          <w:lang w:val="en-GB"/>
        </w:rPr>
      </w:pPr>
      <w:bookmarkStart w:id="10" w:name="__RefHeading___Toc150660667"/>
      <w:r>
        <w:rPr>
          <w:bCs/>
          <w:sz w:val="22"/>
          <w:lang w:val="en-GB"/>
        </w:rPr>
        <w:t>SYSTEMS DEVELOPMENT AND MAINTENANCE</w:t>
      </w:r>
      <w:bookmarkEnd w:id="10"/>
      <w:r>
        <w:rPr>
          <w:bCs/>
          <w:sz w:val="22"/>
          <w:lang w:val="en-GB"/>
        </w:rPr>
        <w:t xml:space="preserve"> </w:t>
      </w:r>
    </w:p>
    <w:p>
      <w:pPr>
        <w:pStyle w:val="Normal"/>
        <w:spacing w:before="0" w:after="0"/>
        <w:jc w:val="both"/>
        <w:rPr>
          <w:i/>
          <w:i/>
          <w:szCs w:val="22"/>
          <w:lang w:val="en-GB"/>
        </w:rPr>
      </w:pPr>
      <w:r>
        <w:rPr>
          <w:i/>
          <w:szCs w:val="22"/>
          <w:lang w:val="en-GB"/>
        </w:rPr>
        <w:t>Security should be built into information systems (ISO 10.1)</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Business requirements for new systems or enhancements to existing systems will include security requirements?  (ISO 10.1)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b)</w:t>
        <w:tab/>
        <w:t>If the answer to question 3.8(a) above is “Yes”, The requirements include specifications of controls.</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pPr>
      <w:r>
        <w:rPr>
          <w:szCs w:val="22"/>
          <w:lang w:val="en-GB"/>
        </w:rPr>
        <w:t>c)</w:t>
        <w:tab/>
        <w:t>If the answer to question 3.8(a) above is “Yes”, The requirements include auditing controls and/or activity logs that prevent the loss, modification or misuse of data in application systems.  (e.g. input data validation, message authentication, internal processing, and output data)  (ISO 10.2, 10.2.1, 10.2.2, 10.2.3, 10.2.4)</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d)</w:t>
        <w:tab/>
        <w:t>Cryptographic controls, digital signatures, or non-repudiation services are employed to protect the confidentiality, authenticity, and integrity of information.  If so, describe their use.  (ISO 10.3.2, 10.3.3, 10.3.4)</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If data classification requires such security measures then these will be used. E.g encryption or digital signatures for email, web messages, data links (e.g. VPN by means of IPSEC, SSL), etc.</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e)</w:t>
        <w:tab/>
        <w:t>The updating of operational program libraries performed by a nominated librarian upon proper management authorization and audit logs is maintained.  (ISO 10.4.1)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f)</w:t>
        <w:tab/>
        <w:t>Production data is restricted and controlled to ensure that personally identifiable and/or sensitive information is not exposed to unauthorized users or environments with lower security controls (i.e. test environments).  (ISO 10.4.2)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g)</w:t>
        <w:tab/>
        <w:t>Access controls, auditing controls, revision control, and responsible owners exist for applications and library source code.  (ISO 10.4.3)</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h)</w:t>
        <w:tab/>
        <w:t>Changes to systems and applications are approved &amp; tested to ensure there is no adverse impact on operation, security, or business continuity.  (ISO 10.5.2, 10.5.3)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i)</w:t>
        <w:tab/>
        <w:t>Contracts and related documents with EuroBank and subcontractors provide for controls against Trojan code, covert channels, and other malicious software.  (10.5.4)</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Heading2Numbered"/>
        <w:numPr>
          <w:ilvl w:val="1"/>
          <w:numId w:val="2"/>
        </w:numPr>
        <w:ind w:hanging="0" w:start="0"/>
        <w:rPr>
          <w:bCs/>
          <w:sz w:val="22"/>
          <w:lang w:val="en-GB"/>
        </w:rPr>
      </w:pPr>
      <w:bookmarkStart w:id="11" w:name="__RefHeading___Toc150660668"/>
      <w:r>
        <w:rPr>
          <w:bCs/>
          <w:sz w:val="22"/>
          <w:lang w:val="en-GB"/>
        </w:rPr>
        <w:t>BUSINESS CONTINUITY MANAGEMENT</w:t>
      </w:r>
      <w:bookmarkEnd w:id="11"/>
      <w:r>
        <w:rPr>
          <w:bCs/>
          <w:sz w:val="22"/>
          <w:lang w:val="en-GB"/>
        </w:rPr>
        <w:t xml:space="preserve"> </w:t>
      </w:r>
    </w:p>
    <w:p>
      <w:pPr>
        <w:pStyle w:val="Normal"/>
        <w:spacing w:before="0" w:after="0"/>
        <w:jc w:val="both"/>
        <w:rPr>
          <w:i/>
          <w:i/>
          <w:szCs w:val="22"/>
          <w:lang w:val="en-GB"/>
        </w:rPr>
      </w:pPr>
      <w:r>
        <w:rPr>
          <w:i/>
          <w:szCs w:val="22"/>
          <w:lang w:val="en-GB"/>
        </w:rPr>
        <w:t>Measures to counteract interruptions to business activities and to protect critical business processes from the effects of major failures or disasters should exist.</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Please provide a copy of your business continuity plans as they relate to the protection of EuroBank business activities, processes, and assets. (ISO 11.1)</w:t>
      </w:r>
    </w:p>
    <w:p>
      <w:pPr>
        <w:pStyle w:val="Normal"/>
        <w:spacing w:before="0" w:after="0"/>
        <w:ind w:hanging="720" w:start="720" w:end="0"/>
        <w:jc w:val="both"/>
        <w:rPr>
          <w:szCs w:val="22"/>
          <w:lang w:val="en-GB"/>
        </w:rPr>
      </w:pPr>
      <w:r>
        <w:rPr>
          <w:szCs w:val="22"/>
          <w:lang w:val="en-GB"/>
        </w:rPr>
      </w:r>
    </w:p>
    <w:p>
      <w:pPr>
        <w:pStyle w:val="Normal"/>
        <w:spacing w:before="0" w:after="0"/>
        <w:ind w:start="1440" w:end="0"/>
        <w:jc w:val="both"/>
        <w:rPr/>
      </w:pPr>
      <w:r>
        <w:rPr>
          <w:color w:val="FF0000"/>
          <w:szCs w:val="22"/>
          <w:lang w:val="en-GB"/>
        </w:rPr>
        <w:t>See response to Exhibit 15 (</w:t>
      </w:r>
      <w:r>
        <w:rPr>
          <w:i/>
          <w:color w:val="FF0000"/>
          <w:szCs w:val="22"/>
          <w:lang w:val="en-GB"/>
        </w:rPr>
        <w:t>Business Continuity Plan &amp; Disaster Recovery Plan</w:t>
      </w:r>
      <w:r>
        <w:rPr>
          <w:color w:val="FF0000"/>
          <w:szCs w:val="22"/>
          <w:lang w:val="en-GB"/>
        </w:rPr>
        <w:t>).</w:t>
      </w:r>
    </w:p>
    <w:p>
      <w:pPr>
        <w:pStyle w:val="Normal"/>
        <w:spacing w:before="0" w:after="0"/>
        <w:ind w:hanging="720" w:start="720" w:end="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b)</w:t>
        <w:tab/>
        <w:t>There is a designated function within your organization assigned with the responsibility for testing, maintaining, and re-assessing the business continuity plans &amp; management process.  (ISO 11.1.1, 11.1.5.1, 11.1.5.2)</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2" w:name="__RefHeading___Toc150660669"/>
      <w:r>
        <w:rPr>
          <w:bCs/>
          <w:sz w:val="22"/>
          <w:lang w:val="en-GB"/>
        </w:rPr>
        <w:t>COMPLIANCE</w:t>
      </w:r>
      <w:bookmarkEnd w:id="12"/>
      <w:r>
        <w:rPr>
          <w:bCs/>
          <w:sz w:val="22"/>
          <w:lang w:val="en-GB"/>
        </w:rPr>
        <w:t xml:space="preserve"> </w:t>
      </w:r>
    </w:p>
    <w:p>
      <w:pPr>
        <w:pStyle w:val="Normal"/>
        <w:spacing w:before="0" w:after="0"/>
        <w:ind w:start="1440" w:end="0"/>
        <w:jc w:val="both"/>
        <w:rPr>
          <w:color w:val="FF0000"/>
          <w:szCs w:val="22"/>
          <w:lang w:val="en-GB"/>
        </w:rPr>
      </w:pPr>
      <w:r>
        <w:rPr>
          <w:color w:val="FF0000"/>
          <w:szCs w:val="22"/>
          <w:lang w:val="en-GB"/>
        </w:rPr>
        <w:t>The following questions and answers are not applicable for 2IM because according to the Statement of Work, handling of all physical and logical assets of EuroBank is the responsibility of the PST Supplier suppliers and not of the 2IM: Sections 3.10 a), j), k), l), m) and n)</w:t>
      </w:r>
    </w:p>
    <w:p>
      <w:pPr>
        <w:pStyle w:val="Normal"/>
        <w:spacing w:before="0" w:after="0"/>
        <w:ind w:start="1440" w:end="0"/>
        <w:jc w:val="both"/>
        <w:rPr>
          <w:color w:val="FF0000"/>
          <w:szCs w:val="22"/>
          <w:lang w:val="en-GB"/>
        </w:rPr>
      </w:pPr>
      <w:r>
        <w:rPr>
          <w:color w:val="FF0000"/>
          <w:szCs w:val="22"/>
          <w:lang w:val="en-GB"/>
        </w:rPr>
      </w:r>
    </w:p>
    <w:p>
      <w:pPr>
        <w:pStyle w:val="Normal"/>
        <w:spacing w:before="0" w:after="0"/>
        <w:jc w:val="both"/>
        <w:rPr>
          <w:color w:val="FF0000"/>
          <w:szCs w:val="22"/>
          <w:lang w:val="en-GB"/>
        </w:rPr>
      </w:pPr>
      <w:r>
        <w:rPr>
          <w:color w:val="FF0000"/>
          <w:szCs w:val="22"/>
          <w:lang w:val="en-GB"/>
        </w:rPr>
      </w:r>
    </w:p>
    <w:p>
      <w:pPr>
        <w:pStyle w:val="Normal"/>
        <w:spacing w:before="0" w:after="0"/>
        <w:jc w:val="both"/>
        <w:rPr>
          <w:i/>
          <w:i/>
          <w:szCs w:val="22"/>
          <w:lang w:val="en-GB"/>
        </w:rPr>
      </w:pPr>
      <w:r>
        <w:rPr>
          <w:i/>
          <w:szCs w:val="22"/>
          <w:lang w:val="en-GB"/>
        </w:rPr>
        <w:t>Precautions should be taken to avoid breaches of any criminal and civil law, statutory, regulatory, or contractual obligations and of any security requirement.</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a)</w:t>
        <w:tab/>
        <w:t>All relevant statutory, regulatory, and contractual requirements are explicitly defined and documented for each information system?  (ISO 12.1.1)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b)</w:t>
        <w:tab/>
        <w:t>The necessary procedures are implemented to ensure compliance with legal restrictions in respect of which there may be intellectual property rights, such as copyright, design rights, or trade marks.  (ISO 12.1.2)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c)</w:t>
        <w:tab/>
        <w:t>Controls exist to safeguard organizational records from loss, destruction, falsification, and secure retention to meet statutory or regulatory requirements, as well as to support essential business activities.  (ISO 12.1.3)</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d)</w:t>
        <w:tab/>
        <w:t>Management structures and controls exist to ensure compliance with data protection legislation related to the privacy, processing, and transmitting of personal data.  (ISO 12.1.4)</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e)</w:t>
        <w:tab/>
        <w:t xml:space="preserve"> Procedures exist for reporting the misuse of a facility (non-business or unauthorized use) reported to the individual manager concerned for appropriate disciplinary action.  (ISO 12.1.5)</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f)</w:t>
        <w:tab/>
        <w:t>Policies &amp; procedures exist relating to the regulation of cryptographic controls, i.e. import/export of hardware/software for performing cryptographic functions, import/export of hardware/software designed to have cryptographic functions added, mandatory or discretionary methods of access by countries to information encrypted by hardware/software to provide confidentiality.  (ISO 12.1.6)</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g)</w:t>
        <w:tab/>
        <w:t>Incident handling procedures for the collection of evidence conform to rules of evidence, admissibility of evidence, and quality &amp; completeness of evidence.  (ISO 12.1.7)</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h)</w:t>
        <w:tab/>
        <w:t>Managers ensure that all security procedures within their area of responsibility are carried out correctly.  (ISO 12.2.1)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i)</w:t>
        <w:tab/>
        <w:t>All areas within the vendor’s organization are considered for regular review to ensure compliance with security policies and standards including information systems, systems providers, owners of information and information assets, users, and management.  (ISO 12.2.1)</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j)</w:t>
        <w:tab/>
        <w:t>Information systems are regularly checked for compliance with security implementation standards via technical compliance checking mechanisms?  (ISO 12.2.2)</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k)</w:t>
        <w:tab/>
        <w:t>Audit requirements and activities involving checks on operational systems are carefully planned and agreed to minimize the risk of disruptions to business processes.  (ISO 12.3.1)</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l)</w:t>
        <w:tab/>
        <w:t>EuroBank is notified of internal audits involving environments or systems that are used to host or process EuroBank assets.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PST Supplier will provide to EuroBank the findings of any internal audits involving environment or systems that are used to host or process EuroBank assets including the plan to resolve these findings.</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m)</w:t>
        <w:tab/>
        <w:t>EuroBank is notified of audits by non-vendor parties involving environments or systems that are used to host or process EuroBank assets.</w:t>
      </w:r>
    </w:p>
    <w:p>
      <w:pPr>
        <w:pStyle w:val="Normal"/>
        <w:spacing w:before="0" w:after="0"/>
        <w:ind w:hanging="720" w:start="720" w:end="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n)</w:t>
        <w:tab/>
        <w:t>Access to audit tools, software, and data files, is protected to prevent any possible misuse or compromise.  If so, please describe.</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All access is based on "least privilege, need to know" requirements. Access to audit tools and data is limited to auditors and to explicitly defined personnel directly responsible for these tools/data..</w:t>
      </w:r>
    </w:p>
    <w:p>
      <w:pPr>
        <w:pStyle w:val="Normal"/>
        <w:spacing w:before="0" w:after="0"/>
        <w:jc w:val="both"/>
        <w:rPr>
          <w:color w:val="FF0000"/>
          <w:szCs w:val="22"/>
          <w:lang w:val="en-GB"/>
        </w:rPr>
      </w:pPr>
      <w:r>
        <w:rPr>
          <w:color w:val="FF0000"/>
          <w:szCs w:val="22"/>
          <w:lang w:val="en-GB"/>
        </w:rPr>
      </w:r>
    </w:p>
    <w:p>
      <w:pPr>
        <w:pStyle w:val="Normal"/>
        <w:spacing w:before="0" w:after="0"/>
        <w:ind w:hanging="720" w:start="720" w:end="0"/>
        <w:jc w:val="both"/>
        <w:rPr>
          <w:szCs w:val="22"/>
          <w:lang w:val="en-GB"/>
        </w:rPr>
      </w:pPr>
      <w:r>
        <w:rPr>
          <w:szCs w:val="22"/>
          <w:lang w:val="en-GB"/>
        </w:rPr>
        <w:t>o)</w:t>
        <w:tab/>
        <w:t>PST Supplier will provide a SAS70 statement every year for the services in scope .</w:t>
      </w:r>
    </w:p>
    <w:p>
      <w:pPr>
        <w:pStyle w:val="Normal"/>
        <w:spacing w:before="0" w:after="0"/>
        <w:ind w:start="1440" w:end="0"/>
        <w:jc w:val="both"/>
        <w:rPr>
          <w:color w:val="FF0000"/>
          <w:szCs w:val="22"/>
          <w:lang w:val="en-GB"/>
        </w:rPr>
      </w:pPr>
      <w:r>
        <w:rPr>
          <w:color w:val="FF0000"/>
          <w:szCs w:val="22"/>
          <w:lang w:val="en-GB"/>
        </w:rPr>
        <w:t xml:space="preserve">This is covered in the MSA </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p)</w:t>
        <w:tab/>
      </w:r>
      <w:r>
        <w:rPr>
          <w:i/>
          <w:szCs w:val="22"/>
          <w:lang w:val="en-GB"/>
        </w:rPr>
        <w:t>(no requirement)</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q)</w:t>
        <w:tab/>
        <w:t>PST Supplier will provide EuroBank the process how to deal with data protection during transition/transformation as from commencement day</w:t>
      </w:r>
    </w:p>
    <w:p>
      <w:pPr>
        <w:pStyle w:val="Normal"/>
        <w:spacing w:before="0" w:after="0"/>
        <w:jc w:val="both"/>
        <w:rPr>
          <w:szCs w:val="22"/>
          <w:lang w:val="en-GB"/>
        </w:rPr>
      </w:pPr>
      <w:r>
        <w:rPr>
          <w:szCs w:val="22"/>
          <w:lang w:val="en-GB"/>
        </w:rPr>
      </w:r>
    </w:p>
    <w:p>
      <w:pPr>
        <w:pStyle w:val="Normal"/>
        <w:spacing w:before="0" w:after="0"/>
        <w:ind w:hanging="720" w:start="2160" w:end="0"/>
        <w:jc w:val="both"/>
        <w:rPr>
          <w:i/>
          <w:i/>
          <w:szCs w:val="22"/>
          <w:lang w:val="en-GB"/>
        </w:rPr>
      </w:pPr>
      <w:r>
        <w:rPr>
          <w:i/>
          <w:color w:val="FF0000"/>
          <w:szCs w:val="22"/>
          <w:lang w:val="en-GB"/>
        </w:rPr>
        <w:t>Y</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3" w:name="__RefHeading___Toc150660670"/>
      <w:r>
        <w:rPr>
          <w:rFonts w:cs="Times New Roman" w:ascii="Times New Roman" w:hAnsi="Times New Roman"/>
          <w:bCs/>
          <w:sz w:val="22"/>
          <w:szCs w:val="22"/>
          <w:lang w:val="en-GB"/>
        </w:rPr>
        <w:t>Additional Requirements Re: LAN Bundle (Exhibit 2.3)</w:t>
      </w:r>
      <w:bookmarkEnd w:id="13"/>
      <w:r>
        <w:rPr>
          <w:rFonts w:cs="Times New Roman" w:ascii="Times New Roman" w:hAnsi="Times New Roman"/>
          <w:bCs/>
          <w:sz w:val="22"/>
          <w:szCs w:val="22"/>
          <w:lang w:val="en-GB"/>
        </w:rPr>
        <w:t xml:space="preserve"> </w:t>
      </w:r>
    </w:p>
    <w:p>
      <w:pPr>
        <w:pStyle w:val="Normal"/>
        <w:spacing w:before="0" w:after="0"/>
        <w:ind w:start="1440" w:end="0"/>
        <w:jc w:val="both"/>
        <w:rPr/>
      </w:pPr>
      <w:r>
        <w:rPr>
          <w:color w:val="FF0000"/>
          <w:szCs w:val="22"/>
          <w:lang w:val="en-GB"/>
        </w:rPr>
        <w:t>Items in the following paragraphs of this Section 4 are not applicable to 2IM</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PST Supplier will make sure that no external connections (direct or indirect) are attached to the EuroBank infrastructure unless approved and reviewed by the EuroBank external connections Review Committee. External connections include (but are not limited to) any public networks like dial in facilities and internet</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PST Supplier will appoint specific individuals who are allowed to make network traces and capture EuroBank data from the network. PST Supplier maintains a list of individuals who are allowed to trace and makes this list available to EuroBank on request. PST Supplier will administer who made a network trace where and for what purpose. On request PST Supplier makes this adminstration available to EuroBank.</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PST Supplier will make sure appropriate access control to the network infrastructure as implemented by EuroBank will be maintained</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jc w:val="both"/>
        <w:rPr>
          <w:color w:val="FF0000"/>
          <w:szCs w:val="22"/>
          <w:lang w:val="en-GB"/>
        </w:rPr>
      </w:pPr>
      <w:r>
        <w:rPr>
          <w:color w:val="FF0000"/>
          <w:szCs w:val="22"/>
          <w:lang w:val="en-GB"/>
        </w:rPr>
      </w:r>
    </w:p>
    <w:p>
      <w:pPr>
        <w:pStyle w:val="Normal"/>
        <w:spacing w:before="0" w:after="0"/>
        <w:jc w:val="both"/>
        <w:rPr/>
      </w:pPr>
      <w:r>
        <w:rPr>
          <w:szCs w:val="22"/>
          <w:lang w:val="en-GB"/>
        </w:rPr>
        <w:t>PST Supplier will make sure all network Equipment is within a physically secured area.</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ind w:start="1440" w:end="0"/>
        <w:jc w:val="both"/>
        <w:rPr>
          <w:color w:val="FF0000"/>
          <w:szCs w:val="22"/>
          <w:lang w:val="en-GB"/>
        </w:rPr>
      </w:pPr>
      <w:r>
        <w:rPr>
          <w:color w:val="FF0000"/>
          <w:szCs w:val="22"/>
          <w:lang w:val="en-GB"/>
        </w:rPr>
        <w:t>If the housing does not comply with the safety and security procedures of EuroBank, the PST Supplier will define a project proposal through the Change Control Procedure.</w:t>
      </w:r>
    </w:p>
    <w:p>
      <w:pPr>
        <w:pStyle w:val="Normal"/>
        <w:spacing w:before="0" w:after="0"/>
        <w:ind w:start="1440" w:end="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t>PST Supplier will manage the network components within the EuroBank infrastructure by secure sessions</w:t>
      </w:r>
    </w:p>
    <w:p>
      <w:pPr>
        <w:pStyle w:val="Normal"/>
        <w:spacing w:before="0" w:after="0"/>
        <w:jc w:val="both"/>
        <w:rPr>
          <w:szCs w:val="22"/>
          <w:lang w:val="en-GB"/>
        </w:rPr>
      </w:pPr>
      <w:r>
        <w:rPr>
          <w:szCs w:val="22"/>
          <w:lang w:val="en-GB"/>
        </w:rPr>
      </w:r>
    </w:p>
    <w:p>
      <w:pPr>
        <w:pStyle w:val="Normal"/>
        <w:spacing w:before="0" w:after="0"/>
        <w:ind w:start="1440" w:end="0"/>
        <w:jc w:val="both"/>
        <w:rPr>
          <w:color w:val="FF0000"/>
          <w:szCs w:val="22"/>
          <w:lang w:val="en-GB"/>
        </w:rPr>
      </w:pPr>
      <w:r>
        <w:rPr>
          <w:color w:val="FF0000"/>
          <w:szCs w:val="22"/>
          <w:lang w:val="en-GB"/>
        </w:rPr>
        <w:t>Y</w:t>
      </w:r>
    </w:p>
    <w:p>
      <w:pPr>
        <w:pStyle w:val="Normal"/>
        <w:spacing w:before="0" w:after="0"/>
        <w:jc w:val="both"/>
        <w:rPr>
          <w:color w:val="FF0000"/>
          <w:szCs w:val="22"/>
          <w:lang w:val="en-GB"/>
        </w:rPr>
      </w:pPr>
      <w:r>
        <w:rPr>
          <w:color w:val="FF0000"/>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21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17-C (Compliance) Final v1.7.doc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17-C (Compliance) Final v1.7.doc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17-C (Compliance) Final v1.7.doc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Bold;Times New Roman" w:hAnsi="Times New Roman Bold;Times New Roman" w:cs="Times New Roman Bold;Times New Roman"/>
      <w:b/>
      <w:i w:val="false"/>
      <w:sz w:val="22"/>
      <w:szCs w:val="22"/>
    </w:rPr>
  </w:style>
  <w:style w:type="character" w:styleId="WW8Num11z2">
    <w:name w:val="WW8Num11z2"/>
    <w:qFormat/>
    <w:rPr>
      <w:rFonts w:ascii="Times New Roman" w:hAnsi="Times New Roman" w:cs="Times New Roman"/>
      <w:b/>
      <w:i w:val="false"/>
      <w:sz w:val="24"/>
    </w:rPr>
  </w:style>
  <w:style w:type="character" w:styleId="WW8Num11z3">
    <w:name w:val="WW8Num11z3"/>
    <w:qFormat/>
    <w:rPr>
      <w:rFonts w:ascii="Times New Roman Bold;Times New Roman" w:hAnsi="Times New Roman Bold;Times New Roman" w:cs="Times New Roman Bold;Times New Roman"/>
      <w:b/>
      <w:i w:val="false"/>
      <w:sz w:val="24"/>
    </w:rPr>
  </w:style>
  <w:style w:type="character" w:styleId="WW8Num11z4">
    <w:name w:val="WW8Num11z4"/>
    <w:qFormat/>
    <w:rPr>
      <w:rFonts w:ascii="Times New Roman" w:hAnsi="Times New Roman" w:cs="Times New Roman"/>
      <w:b w:val="false"/>
      <w:i w:val="false"/>
      <w:sz w:val="22"/>
    </w:rPr>
  </w:style>
  <w:style w:type="character" w:styleId="WW8Num11z8">
    <w:name w:val="WW8Num11z8"/>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w:hAnsi="Times New Roman" w:cs="Times New Roman"/>
      <w:b w:val="false"/>
      <w:i w:val="false"/>
      <w:color w:val="000000"/>
      <w:sz w:val="22"/>
    </w:rPr>
  </w:style>
  <w:style w:type="character" w:styleId="WW8Num15z1">
    <w:name w:val="WW8Num15z1"/>
    <w:qFormat/>
    <w:rPr>
      <w:rFonts w:ascii="Times New Roman" w:hAnsi="Times New Roman" w:cs="Times New Roman"/>
      <w:b w:val="false"/>
      <w:i w:val="false"/>
      <w:sz w:val="22"/>
    </w:rPr>
  </w:style>
  <w:style w:type="character" w:styleId="WW8Num15z4">
    <w:name w:val="WW8Num15z4"/>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rFonts w:ascii="Times New Roman" w:hAnsi="Times New Roman" w:cs="Times New Roman"/>
      <w:b w:val="false"/>
      <w:i w:val="false"/>
      <w:color w:val="000000"/>
      <w:sz w:val="22"/>
    </w:rPr>
  </w:style>
  <w:style w:type="character" w:styleId="WW8Num18z1">
    <w:name w:val="WW8Num18z1"/>
    <w:qFormat/>
    <w:rPr>
      <w:rFonts w:ascii="Times New Roman" w:hAnsi="Times New Roman" w:cs="Times New Roman"/>
      <w:b w:val="false"/>
      <w:i w:val="false"/>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Strong">
    <w:name w:val="Strong"/>
    <w:basedOn w:val="DefaultParagraphFont"/>
    <w:qFormat/>
    <w:rPr>
      <w:b/>
      <w:bCs/>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NormalWeb">
    <w:name w:val="Normal (Web)"/>
    <w:basedOn w:val="Normal"/>
    <w:qFormat/>
    <w:pPr>
      <w:spacing w:before="280" w:after="280"/>
    </w:pPr>
    <w:rPr>
      <w:sz w:val="24"/>
      <w:lang w:val="nl-N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2006-11-30T19:57:00Z</dcterms:created>
  <dc:creator> </dc:creator>
  <dc:description/>
  <cp:keywords/>
  <dc:language>en-US</dc:language>
  <cp:lastModifiedBy>Stuart Johnson</cp:lastModifiedBy>
  <cp:lastPrinted>2006-11-03T14:22:00Z</cp:lastPrinted>
  <dcterms:modified xsi:type="dcterms:W3CDTF">2006-11-30T19:58:00Z</dcterms:modified>
  <cp:revision>5</cp:revision>
  <dc:subject/>
  <dc:title> </dc:title>
</cp:coreProperties>
</file>