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240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  <w:t>EuroBank</w:t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  <w:t>Attachment 17-D</w:t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  <w:t>Policies</w:t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729" w:right="1729" w:gutter="0" w:header="720" w:top="776" w:footer="720" w:bottom="1094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Title"/>
        <w:rPr/>
      </w:pPr>
      <w:r>
        <w:rPr/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2"/>
            <w:tabs>
              <w:tab w:val="clear" w:pos="720"/>
              <w:tab w:val="left" w:pos="880" w:leader="none"/>
              <w:tab w:val="right" w:pos="8441" w:leader="dot"/>
            </w:tabs>
            <w:rPr>
              <w:b w:val="false"/>
              <w:sz w:val="18"/>
              <w:szCs w:val="18"/>
              <w:lang w:val="en-US" w:eastAsia="en-US"/>
            </w:rPr>
          </w:pPr>
          <w:r>
            <w:fldChar w:fldCharType="begin"/>
          </w:r>
          <w:r>
            <w:rPr>
              <w:sz w:val="18"/>
              <w:szCs w:val="18"/>
              <w:lang w:val="en-GB" w:eastAsia="en-US"/>
            </w:rPr>
            <w:instrText xml:space="preserve"> TOC \t "Heading 1 Numbered,1,Heading 2 Numbered,2,Heading 3 Numbered,3" </w:instrText>
          </w:r>
          <w:r>
            <w:rPr>
              <w:sz w:val="18"/>
              <w:szCs w:val="18"/>
              <w:lang w:val="en-GB" w:eastAsia="en-US"/>
            </w:rPr>
            <w:fldChar w:fldCharType="separate"/>
          </w:r>
          <w:r>
            <w:rPr>
              <w:sz w:val="18"/>
              <w:szCs w:val="18"/>
              <w:lang w:val="en-GB" w:eastAsia="en-US"/>
            </w:rPr>
            <w:t>1.1</w:t>
          </w:r>
          <w:r>
            <w:rPr>
              <w:b w:val="false"/>
              <w:sz w:val="18"/>
              <w:szCs w:val="18"/>
              <w:lang w:val="en-US" w:eastAsia="en-US"/>
            </w:rPr>
            <w:tab/>
          </w:r>
          <w:r>
            <w:rPr>
              <w:sz w:val="18"/>
              <w:szCs w:val="18"/>
              <w:lang w:val="en-GB" w:eastAsia="en-US"/>
            </w:rPr>
            <w:t>ING Group Policies</w:t>
          </w:r>
          <w:r>
            <w:rPr>
              <w:sz w:val="18"/>
              <w:szCs w:val="18"/>
              <w:lang w:val="en-US" w:eastAsia="en-US"/>
            </w:rPr>
            <w:tab/>
          </w:r>
          <w:hyperlink w:anchor="__RefHeading___Toc150662359">
            <w:r>
              <w:rPr>
                <w:rStyle w:val="IndexLink"/>
                <w:sz w:val="18"/>
                <w:szCs w:val="18"/>
                <w:lang w:val="en-US" w:eastAsia="en-US"/>
              </w:rPr>
              <w:t>1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8441" w:leader="dot"/>
            </w:tabs>
            <w:rPr>
              <w:b w:val="false"/>
              <w:sz w:val="18"/>
              <w:szCs w:val="18"/>
              <w:lang w:val="en-US" w:eastAsia="en-US"/>
            </w:rPr>
          </w:pPr>
          <w:r>
            <w:rPr>
              <w:sz w:val="18"/>
              <w:szCs w:val="18"/>
              <w:lang w:val="en-GB" w:eastAsia="en-US"/>
            </w:rPr>
            <w:t>1.2</w:t>
          </w:r>
          <w:r>
            <w:rPr>
              <w:b w:val="false"/>
              <w:sz w:val="18"/>
              <w:szCs w:val="18"/>
              <w:lang w:val="en-US" w:eastAsia="en-US"/>
            </w:rPr>
            <w:tab/>
          </w:r>
          <w:r>
            <w:rPr>
              <w:sz w:val="18"/>
              <w:szCs w:val="18"/>
              <w:lang w:val="en-GB" w:eastAsia="en-US"/>
            </w:rPr>
            <w:t>SOX content binder</w:t>
          </w:r>
          <w:r>
            <w:rPr>
              <w:sz w:val="18"/>
              <w:szCs w:val="18"/>
              <w:lang w:val="en-US" w:eastAsia="en-US"/>
            </w:rPr>
            <w:tab/>
          </w:r>
          <w:hyperlink w:anchor="__RefHeading___Toc150662360">
            <w:r>
              <w:rPr>
                <w:rStyle w:val="IndexLink"/>
                <w:sz w:val="18"/>
                <w:szCs w:val="18"/>
                <w:lang w:val="en-US" w:eastAsia="en-US"/>
              </w:rPr>
              <w:t>2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8441" w:leader="dot"/>
            </w:tabs>
            <w:rPr>
              <w:b w:val="false"/>
              <w:sz w:val="18"/>
              <w:szCs w:val="18"/>
              <w:lang w:val="en-US" w:eastAsia="en-US"/>
            </w:rPr>
          </w:pPr>
          <w:r>
            <w:rPr>
              <w:bCs/>
              <w:sz w:val="18"/>
              <w:szCs w:val="18"/>
              <w:lang w:val="en-GB" w:eastAsia="en-US"/>
            </w:rPr>
            <w:t>1.3</w:t>
          </w:r>
          <w:r>
            <w:rPr>
              <w:b w:val="false"/>
              <w:sz w:val="18"/>
              <w:szCs w:val="18"/>
              <w:lang w:val="en-US" w:eastAsia="en-US"/>
            </w:rPr>
            <w:tab/>
          </w:r>
          <w:r>
            <w:rPr>
              <w:bCs/>
              <w:sz w:val="18"/>
              <w:szCs w:val="18"/>
              <w:lang w:val="en-GB" w:eastAsia="en-US"/>
            </w:rPr>
            <w:t>ING Sourcing Compliance Internal Policies</w:t>
          </w:r>
          <w:r>
            <w:rPr>
              <w:sz w:val="18"/>
              <w:szCs w:val="18"/>
              <w:lang w:val="en-US" w:eastAsia="en-US"/>
            </w:rPr>
            <w:tab/>
          </w:r>
          <w:hyperlink w:anchor="__RefHeading___Toc150662361">
            <w:r>
              <w:rPr>
                <w:rStyle w:val="IndexLink"/>
                <w:sz w:val="18"/>
                <w:szCs w:val="18"/>
                <w:lang w:val="en-US" w:eastAsia="en-US"/>
              </w:rPr>
              <w:t>5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8441" w:leader="dot"/>
            </w:tabs>
            <w:rPr>
              <w:b w:val="false"/>
              <w:sz w:val="18"/>
              <w:szCs w:val="18"/>
              <w:lang w:val="en-US" w:eastAsia="en-US"/>
            </w:rPr>
          </w:pPr>
          <w:r>
            <w:rPr>
              <w:bCs/>
              <w:sz w:val="18"/>
              <w:szCs w:val="18"/>
              <w:lang w:val="en-GB" w:eastAsia="en-US"/>
            </w:rPr>
            <w:t>1.4</w:t>
          </w:r>
          <w:r>
            <w:rPr>
              <w:b w:val="false"/>
              <w:sz w:val="18"/>
              <w:szCs w:val="18"/>
              <w:lang w:val="en-US" w:eastAsia="en-US"/>
            </w:rPr>
            <w:tab/>
          </w:r>
          <w:r>
            <w:rPr>
              <w:bCs/>
              <w:sz w:val="18"/>
              <w:szCs w:val="18"/>
              <w:lang w:val="en-GB" w:eastAsia="en-US"/>
            </w:rPr>
            <w:t>ING IT Policies</w:t>
          </w:r>
          <w:r>
            <w:rPr>
              <w:sz w:val="18"/>
              <w:szCs w:val="18"/>
              <w:lang w:val="en-US" w:eastAsia="en-US"/>
            </w:rPr>
            <w:tab/>
          </w:r>
          <w:hyperlink w:anchor="__RefHeading___Toc150662362">
            <w:r>
              <w:rPr>
                <w:rStyle w:val="IndexLink"/>
                <w:sz w:val="18"/>
                <w:szCs w:val="18"/>
                <w:lang w:val="en-US" w:eastAsia="en-US"/>
              </w:rPr>
              <w:t>6</w:t>
            </w:r>
          </w:hyperlink>
        </w:p>
        <w:p>
          <w:pPr>
            <w:pStyle w:val="TOC3"/>
            <w:tabs>
              <w:tab w:val="clear" w:pos="720"/>
              <w:tab w:val="left" w:pos="1320" w:leader="none"/>
              <w:tab w:val="right" w:pos="8441" w:leader="dot"/>
            </w:tabs>
            <w:rPr>
              <w:sz w:val="18"/>
              <w:szCs w:val="18"/>
              <w:lang w:val="en-US" w:eastAsia="en-US"/>
            </w:rPr>
          </w:pPr>
          <w:r>
            <w:rPr>
              <w:sz w:val="18"/>
              <w:szCs w:val="18"/>
              <w:lang w:val="en-GB" w:eastAsia="en-US"/>
            </w:rPr>
            <w:t>1.4.1</w:t>
          </w:r>
          <w:r>
            <w:rPr>
              <w:sz w:val="18"/>
              <w:szCs w:val="18"/>
              <w:lang w:val="en-US" w:eastAsia="en-US"/>
            </w:rPr>
            <w:tab/>
          </w:r>
          <w:r>
            <w:rPr>
              <w:sz w:val="18"/>
              <w:szCs w:val="18"/>
              <w:lang w:val="en-GB" w:eastAsia="en-US"/>
            </w:rPr>
            <w:t>Architecture</w:t>
          </w:r>
          <w:r>
            <w:rPr>
              <w:sz w:val="18"/>
              <w:szCs w:val="18"/>
              <w:lang w:val="en-US" w:eastAsia="en-US"/>
            </w:rPr>
            <w:tab/>
          </w:r>
          <w:hyperlink w:anchor="__RefHeading___Toc150662363">
            <w:r>
              <w:rPr>
                <w:rStyle w:val="IndexLink"/>
                <w:sz w:val="18"/>
                <w:szCs w:val="18"/>
                <w:lang w:val="en-US" w:eastAsia="en-US"/>
              </w:rPr>
              <w:t>6</w:t>
            </w:r>
          </w:hyperlink>
        </w:p>
        <w:p>
          <w:pPr>
            <w:pStyle w:val="TOC3"/>
            <w:tabs>
              <w:tab w:val="clear" w:pos="720"/>
              <w:tab w:val="left" w:pos="1320" w:leader="none"/>
              <w:tab w:val="right" w:pos="8441" w:leader="dot"/>
            </w:tabs>
            <w:rPr>
              <w:sz w:val="18"/>
              <w:szCs w:val="18"/>
              <w:lang w:val="en-US" w:eastAsia="en-US"/>
            </w:rPr>
          </w:pPr>
          <w:r>
            <w:rPr>
              <w:sz w:val="18"/>
              <w:szCs w:val="18"/>
              <w:lang w:val="fr-FR" w:eastAsia="en-US"/>
            </w:rPr>
            <w:t>1.4.2</w:t>
          </w:r>
          <w:r>
            <w:rPr>
              <w:sz w:val="18"/>
              <w:szCs w:val="18"/>
              <w:lang w:val="en-US" w:eastAsia="en-US"/>
            </w:rPr>
            <w:tab/>
          </w:r>
          <w:r>
            <w:rPr>
              <w:sz w:val="18"/>
              <w:szCs w:val="18"/>
              <w:lang w:val="fr-FR" w:eastAsia="en-US"/>
            </w:rPr>
            <w:t>E-mail retention</w:t>
          </w:r>
          <w:r>
            <w:rPr>
              <w:sz w:val="18"/>
              <w:szCs w:val="18"/>
              <w:lang w:val="en-US" w:eastAsia="en-US"/>
            </w:rPr>
            <w:tab/>
          </w:r>
          <w:hyperlink w:anchor="__RefHeading___Toc150662364">
            <w:r>
              <w:rPr>
                <w:rStyle w:val="IndexLink"/>
                <w:sz w:val="18"/>
                <w:szCs w:val="18"/>
                <w:lang w:val="en-US" w:eastAsia="en-US"/>
              </w:rPr>
              <w:t>6</w:t>
            </w:r>
          </w:hyperlink>
        </w:p>
        <w:p>
          <w:pPr>
            <w:pStyle w:val="TOC3"/>
            <w:tabs>
              <w:tab w:val="clear" w:pos="720"/>
              <w:tab w:val="left" w:pos="1320" w:leader="none"/>
              <w:tab w:val="right" w:pos="8441" w:leader="dot"/>
            </w:tabs>
            <w:rPr>
              <w:sz w:val="18"/>
              <w:szCs w:val="18"/>
              <w:lang w:val="en-US" w:eastAsia="en-US"/>
            </w:rPr>
          </w:pPr>
          <w:r>
            <w:rPr>
              <w:sz w:val="18"/>
              <w:szCs w:val="18"/>
              <w:lang w:val="fr-FR" w:eastAsia="en-US"/>
            </w:rPr>
            <w:t>1.4.3</w:t>
          </w:r>
          <w:r>
            <w:rPr>
              <w:sz w:val="18"/>
              <w:szCs w:val="18"/>
              <w:lang w:val="en-US" w:eastAsia="en-US"/>
            </w:rPr>
            <w:tab/>
          </w:r>
          <w:r>
            <w:rPr>
              <w:sz w:val="18"/>
              <w:szCs w:val="18"/>
              <w:lang w:val="fr-FR" w:eastAsia="en-US"/>
            </w:rPr>
            <w:t>Information Risk Management</w:t>
          </w:r>
          <w:r>
            <w:rPr>
              <w:sz w:val="18"/>
              <w:szCs w:val="18"/>
              <w:lang w:val="en-US" w:eastAsia="en-US"/>
            </w:rPr>
            <w:tab/>
          </w:r>
          <w:hyperlink w:anchor="__RefHeading___Toc150662365">
            <w:r>
              <w:rPr>
                <w:rStyle w:val="IndexLink"/>
                <w:sz w:val="18"/>
                <w:szCs w:val="18"/>
                <w:lang w:val="en-US" w:eastAsia="en-US"/>
              </w:rPr>
              <w:t>6</w:t>
            </w:r>
          </w:hyperlink>
        </w:p>
        <w:p>
          <w:pPr>
            <w:pStyle w:val="TOC3"/>
            <w:tabs>
              <w:tab w:val="clear" w:pos="720"/>
              <w:tab w:val="left" w:pos="1320" w:leader="none"/>
              <w:tab w:val="right" w:pos="8441" w:leader="dot"/>
            </w:tabs>
            <w:rPr>
              <w:sz w:val="18"/>
              <w:szCs w:val="18"/>
              <w:lang w:val="en-US" w:eastAsia="en-US"/>
            </w:rPr>
          </w:pPr>
          <w:r>
            <w:rPr>
              <w:sz w:val="18"/>
              <w:szCs w:val="18"/>
              <w:lang w:val="en-GB" w:eastAsia="en-US"/>
            </w:rPr>
            <w:t>1.4.4</w:t>
          </w:r>
          <w:r>
            <w:rPr>
              <w:sz w:val="18"/>
              <w:szCs w:val="18"/>
              <w:lang w:val="en-US" w:eastAsia="en-US"/>
            </w:rPr>
            <w:tab/>
          </w:r>
          <w:r>
            <w:rPr>
              <w:sz w:val="18"/>
              <w:szCs w:val="18"/>
              <w:lang w:val="en-GB" w:eastAsia="en-US"/>
            </w:rPr>
            <w:t>Information Risk Management: Operational Policies and Standards</w:t>
          </w:r>
          <w:r>
            <w:rPr>
              <w:sz w:val="18"/>
              <w:szCs w:val="18"/>
              <w:lang w:val="en-US" w:eastAsia="en-US"/>
            </w:rPr>
            <w:tab/>
          </w:r>
          <w:hyperlink w:anchor="__RefHeading___Toc150662366">
            <w:r>
              <w:rPr>
                <w:rStyle w:val="IndexLink"/>
                <w:sz w:val="18"/>
                <w:szCs w:val="18"/>
                <w:lang w:val="en-US" w:eastAsia="en-US"/>
              </w:rPr>
              <w:t>7</w:t>
            </w:r>
          </w:hyperlink>
        </w:p>
        <w:p>
          <w:pPr>
            <w:pStyle w:val="TOC3"/>
            <w:tabs>
              <w:tab w:val="clear" w:pos="720"/>
              <w:tab w:val="left" w:pos="1320" w:leader="none"/>
              <w:tab w:val="right" w:pos="8441" w:leader="dot"/>
            </w:tabs>
            <w:rPr>
              <w:sz w:val="18"/>
              <w:szCs w:val="18"/>
              <w:lang w:val="en-US" w:eastAsia="en-US"/>
            </w:rPr>
          </w:pPr>
          <w:r>
            <w:rPr>
              <w:sz w:val="18"/>
              <w:szCs w:val="18"/>
              <w:lang w:val="en-GB" w:eastAsia="en-US"/>
            </w:rPr>
            <w:t>1.4.5</w:t>
          </w:r>
          <w:r>
            <w:rPr>
              <w:sz w:val="18"/>
              <w:szCs w:val="18"/>
              <w:lang w:val="en-US" w:eastAsia="en-US"/>
            </w:rPr>
            <w:tab/>
          </w:r>
          <w:r>
            <w:rPr>
              <w:sz w:val="18"/>
              <w:szCs w:val="18"/>
              <w:lang w:val="en-GB" w:eastAsia="en-US"/>
            </w:rPr>
            <w:t>Information Risk Management: Operational Security Guidelines and Procedures</w:t>
          </w:r>
          <w:r>
            <w:rPr>
              <w:sz w:val="18"/>
              <w:szCs w:val="18"/>
              <w:lang w:val="en-US" w:eastAsia="en-US"/>
            </w:rPr>
            <w:tab/>
          </w:r>
          <w:hyperlink w:anchor="__RefHeading___Toc150662367">
            <w:r>
              <w:rPr>
                <w:rStyle w:val="IndexLink"/>
                <w:sz w:val="18"/>
                <w:szCs w:val="18"/>
                <w:lang w:val="en-US" w:eastAsia="en-US"/>
              </w:rPr>
              <w:t>9</w:t>
            </w:r>
          </w:hyperlink>
        </w:p>
        <w:p>
          <w:pPr>
            <w:pStyle w:val="TOC3"/>
            <w:tabs>
              <w:tab w:val="clear" w:pos="720"/>
              <w:tab w:val="left" w:pos="1320" w:leader="none"/>
              <w:tab w:val="right" w:pos="8441" w:leader="dot"/>
            </w:tabs>
            <w:rPr>
              <w:sz w:val="18"/>
              <w:szCs w:val="18"/>
              <w:lang w:val="en-US" w:eastAsia="en-US"/>
            </w:rPr>
          </w:pPr>
          <w:r>
            <w:rPr>
              <w:sz w:val="18"/>
              <w:szCs w:val="18"/>
              <w:lang w:val="fr-FR" w:eastAsia="en-US"/>
            </w:rPr>
            <w:t>1.4.6</w:t>
          </w:r>
          <w:r>
            <w:rPr>
              <w:sz w:val="18"/>
              <w:szCs w:val="18"/>
              <w:lang w:val="en-US" w:eastAsia="en-US"/>
            </w:rPr>
            <w:tab/>
          </w:r>
          <w:r>
            <w:rPr>
              <w:sz w:val="18"/>
              <w:szCs w:val="18"/>
              <w:lang w:val="fr-FR" w:eastAsia="en-US"/>
            </w:rPr>
            <w:t>IT effectiveness</w:t>
          </w:r>
          <w:r>
            <w:rPr>
              <w:sz w:val="18"/>
              <w:szCs w:val="18"/>
              <w:lang w:val="en-US" w:eastAsia="en-US"/>
            </w:rPr>
            <w:tab/>
          </w:r>
          <w:hyperlink w:anchor="__RefHeading___Toc150662368">
            <w:r>
              <w:rPr>
                <w:rStyle w:val="IndexLink"/>
                <w:sz w:val="18"/>
                <w:szCs w:val="18"/>
                <w:lang w:val="en-US" w:eastAsia="en-US"/>
              </w:rPr>
              <w:t>9</w:t>
            </w:r>
          </w:hyperlink>
        </w:p>
        <w:p>
          <w:pPr>
            <w:pStyle w:val="TOC3"/>
            <w:tabs>
              <w:tab w:val="clear" w:pos="720"/>
              <w:tab w:val="left" w:pos="1320" w:leader="none"/>
              <w:tab w:val="right" w:pos="8441" w:leader="dot"/>
            </w:tabs>
            <w:rPr>
              <w:sz w:val="18"/>
              <w:szCs w:val="18"/>
              <w:lang w:val="en-US" w:eastAsia="en-US"/>
            </w:rPr>
          </w:pPr>
          <w:r>
            <w:rPr>
              <w:sz w:val="18"/>
              <w:szCs w:val="18"/>
              <w:lang w:val="fr-FR" w:eastAsia="en-US"/>
            </w:rPr>
            <w:t>1.4.7</w:t>
          </w:r>
          <w:r>
            <w:rPr>
              <w:sz w:val="18"/>
              <w:szCs w:val="18"/>
              <w:lang w:val="en-US" w:eastAsia="en-US"/>
            </w:rPr>
            <w:tab/>
          </w:r>
          <w:r>
            <w:rPr>
              <w:sz w:val="18"/>
              <w:szCs w:val="18"/>
              <w:lang w:val="fr-FR" w:eastAsia="en-US"/>
            </w:rPr>
            <w:t>IT Governance</w:t>
          </w:r>
          <w:r>
            <w:rPr>
              <w:sz w:val="18"/>
              <w:szCs w:val="18"/>
              <w:lang w:val="en-US" w:eastAsia="en-US"/>
            </w:rPr>
            <w:tab/>
          </w:r>
          <w:hyperlink w:anchor="__RefHeading___Toc150662369">
            <w:r>
              <w:rPr>
                <w:rStyle w:val="IndexLink"/>
                <w:sz w:val="18"/>
                <w:szCs w:val="18"/>
                <w:lang w:val="en-US" w:eastAsia="en-US"/>
              </w:rPr>
              <w:t>9</w:t>
            </w:r>
          </w:hyperlink>
        </w:p>
        <w:p>
          <w:pPr>
            <w:pStyle w:val="TOC3"/>
            <w:tabs>
              <w:tab w:val="clear" w:pos="720"/>
              <w:tab w:val="left" w:pos="1320" w:leader="none"/>
              <w:tab w:val="right" w:pos="8441" w:leader="dot"/>
            </w:tabs>
            <w:rPr>
              <w:sz w:val="18"/>
              <w:szCs w:val="18"/>
              <w:lang w:val="en-US" w:eastAsia="en-US"/>
            </w:rPr>
          </w:pPr>
          <w:r>
            <w:rPr>
              <w:sz w:val="18"/>
              <w:szCs w:val="18"/>
              <w:lang w:val="fr-FR" w:eastAsia="en-US"/>
            </w:rPr>
            <w:t>1.4.8</w:t>
          </w:r>
          <w:r>
            <w:rPr>
              <w:sz w:val="18"/>
              <w:szCs w:val="18"/>
              <w:lang w:val="en-US" w:eastAsia="en-US"/>
            </w:rPr>
            <w:tab/>
          </w:r>
          <w:r>
            <w:rPr>
              <w:sz w:val="18"/>
              <w:szCs w:val="18"/>
              <w:lang w:val="fr-FR" w:eastAsia="en-US"/>
            </w:rPr>
            <w:t>IT Standards</w:t>
          </w:r>
          <w:r>
            <w:rPr>
              <w:sz w:val="18"/>
              <w:szCs w:val="18"/>
              <w:lang w:val="en-US" w:eastAsia="en-US"/>
            </w:rPr>
            <w:tab/>
          </w:r>
          <w:hyperlink w:anchor="__RefHeading___Toc150662370">
            <w:r>
              <w:rPr>
                <w:rStyle w:val="IndexLink"/>
                <w:sz w:val="18"/>
                <w:szCs w:val="18"/>
                <w:lang w:val="en-US" w:eastAsia="en-US"/>
              </w:rPr>
              <w:t>9</w:t>
            </w:r>
          </w:hyperlink>
        </w:p>
        <w:p>
          <w:pPr>
            <w:pStyle w:val="TOC3"/>
            <w:tabs>
              <w:tab w:val="clear" w:pos="720"/>
              <w:tab w:val="left" w:pos="1320" w:leader="none"/>
              <w:tab w:val="right" w:pos="8441" w:leader="dot"/>
            </w:tabs>
            <w:rPr>
              <w:sz w:val="18"/>
              <w:szCs w:val="18"/>
              <w:lang w:val="en-US" w:eastAsia="en-US"/>
            </w:rPr>
          </w:pPr>
          <w:r>
            <w:rPr>
              <w:sz w:val="18"/>
              <w:szCs w:val="18"/>
              <w:lang w:val="fr-FR" w:eastAsia="en-US"/>
            </w:rPr>
            <w:t>1.4.9</w:t>
          </w:r>
          <w:r>
            <w:rPr>
              <w:sz w:val="18"/>
              <w:szCs w:val="18"/>
              <w:lang w:val="en-US" w:eastAsia="en-US"/>
            </w:rPr>
            <w:tab/>
          </w:r>
          <w:r>
            <w:rPr>
              <w:sz w:val="18"/>
              <w:szCs w:val="18"/>
              <w:lang w:val="fr-FR" w:eastAsia="en-US"/>
            </w:rPr>
            <w:t>Networking</w:t>
          </w:r>
          <w:r>
            <w:rPr>
              <w:sz w:val="18"/>
              <w:szCs w:val="18"/>
              <w:lang w:val="en-US" w:eastAsia="en-US"/>
            </w:rPr>
            <w:tab/>
          </w:r>
          <w:hyperlink w:anchor="__RefHeading___Toc150662371">
            <w:r>
              <w:rPr>
                <w:rStyle w:val="IndexLink"/>
                <w:sz w:val="18"/>
                <w:szCs w:val="18"/>
                <w:lang w:val="en-US" w:eastAsia="en-US"/>
              </w:rPr>
              <w:t>10</w:t>
            </w:r>
          </w:hyperlink>
        </w:p>
        <w:p>
          <w:pPr>
            <w:pStyle w:val="TOC3"/>
            <w:tabs>
              <w:tab w:val="clear" w:pos="720"/>
              <w:tab w:val="left" w:pos="1320" w:leader="none"/>
              <w:tab w:val="right" w:pos="8441" w:leader="dot"/>
            </w:tabs>
            <w:rPr>
              <w:sz w:val="18"/>
              <w:szCs w:val="18"/>
              <w:lang w:val="en-US" w:eastAsia="en-US"/>
            </w:rPr>
          </w:pPr>
          <w:r>
            <w:rPr>
              <w:sz w:val="18"/>
              <w:szCs w:val="18"/>
              <w:lang w:val="fr-FR" w:eastAsia="en-US"/>
            </w:rPr>
            <w:t>1.4.10</w:t>
          </w:r>
          <w:r>
            <w:rPr>
              <w:sz w:val="18"/>
              <w:szCs w:val="18"/>
              <w:lang w:val="en-US" w:eastAsia="en-US"/>
            </w:rPr>
            <w:tab/>
          </w:r>
          <w:r>
            <w:rPr>
              <w:sz w:val="18"/>
              <w:szCs w:val="18"/>
              <w:lang w:val="fr-FR" w:eastAsia="en-US"/>
            </w:rPr>
            <w:t>Outsourcing</w:t>
          </w:r>
          <w:r>
            <w:rPr>
              <w:sz w:val="18"/>
              <w:szCs w:val="18"/>
              <w:lang w:val="en-US" w:eastAsia="en-US"/>
            </w:rPr>
            <w:tab/>
          </w:r>
          <w:hyperlink w:anchor="__RefHeading___Toc150662372">
            <w:r>
              <w:rPr>
                <w:rStyle w:val="IndexLink"/>
                <w:sz w:val="18"/>
                <w:szCs w:val="18"/>
                <w:lang w:val="en-US" w:eastAsia="en-US"/>
              </w:rPr>
              <w:t>10</w:t>
            </w:r>
          </w:hyperlink>
        </w:p>
        <w:p>
          <w:pPr>
            <w:pStyle w:val="TOC3"/>
            <w:tabs>
              <w:tab w:val="clear" w:pos="720"/>
              <w:tab w:val="left" w:pos="1320" w:leader="none"/>
              <w:tab w:val="right" w:pos="8441" w:leader="dot"/>
            </w:tabs>
            <w:rPr>
              <w:sz w:val="18"/>
              <w:szCs w:val="18"/>
              <w:lang w:val="en-US" w:eastAsia="en-US"/>
            </w:rPr>
          </w:pPr>
          <w:r>
            <w:rPr>
              <w:sz w:val="18"/>
              <w:szCs w:val="18"/>
              <w:lang w:val="fr-FR" w:eastAsia="en-US"/>
            </w:rPr>
            <w:t>1.4.11</w:t>
          </w:r>
          <w:r>
            <w:rPr>
              <w:sz w:val="18"/>
              <w:szCs w:val="18"/>
              <w:lang w:val="en-US" w:eastAsia="en-US"/>
            </w:rPr>
            <w:tab/>
          </w:r>
          <w:r>
            <w:rPr>
              <w:sz w:val="18"/>
              <w:szCs w:val="18"/>
              <w:lang w:val="fr-FR" w:eastAsia="en-US"/>
            </w:rPr>
            <w:t>Service Level Agreement</w:t>
          </w:r>
          <w:r>
            <w:rPr>
              <w:sz w:val="18"/>
              <w:szCs w:val="18"/>
              <w:lang w:val="en-US" w:eastAsia="en-US"/>
            </w:rPr>
            <w:tab/>
          </w:r>
          <w:hyperlink w:anchor="__RefHeading___Toc150662373">
            <w:r>
              <w:rPr>
                <w:rStyle w:val="IndexLink"/>
                <w:sz w:val="18"/>
                <w:szCs w:val="18"/>
                <w:lang w:val="en-US" w:eastAsia="en-US"/>
              </w:rPr>
              <w:t>10</w:t>
            </w:r>
          </w:hyperlink>
        </w:p>
        <w:p>
          <w:pPr>
            <w:pStyle w:val="TOC3"/>
            <w:tabs>
              <w:tab w:val="clear" w:pos="720"/>
              <w:tab w:val="left" w:pos="1320" w:leader="none"/>
              <w:tab w:val="right" w:pos="8441" w:leader="dot"/>
            </w:tabs>
            <w:rPr>
              <w:sz w:val="18"/>
              <w:szCs w:val="18"/>
              <w:lang w:val="en-US" w:eastAsia="en-US"/>
            </w:rPr>
          </w:pPr>
          <w:r>
            <w:rPr>
              <w:sz w:val="18"/>
              <w:szCs w:val="18"/>
              <w:lang w:val="fr-FR" w:eastAsia="en-US"/>
            </w:rPr>
            <w:t>1.4.12</w:t>
          </w:r>
          <w:r>
            <w:rPr>
              <w:sz w:val="18"/>
              <w:szCs w:val="18"/>
              <w:lang w:val="en-US" w:eastAsia="en-US"/>
            </w:rPr>
            <w:tab/>
          </w:r>
          <w:r>
            <w:rPr>
              <w:sz w:val="18"/>
              <w:szCs w:val="18"/>
              <w:lang w:val="fr-FR" w:eastAsia="en-US"/>
            </w:rPr>
            <w:t>Voice</w:t>
          </w:r>
          <w:r>
            <w:rPr>
              <w:sz w:val="18"/>
              <w:szCs w:val="18"/>
              <w:lang w:val="en-US" w:eastAsia="en-US"/>
            </w:rPr>
            <w:tab/>
          </w:r>
          <w:hyperlink w:anchor="__RefHeading___Toc150662374">
            <w:r>
              <w:rPr>
                <w:rStyle w:val="IndexLink"/>
                <w:sz w:val="18"/>
                <w:szCs w:val="18"/>
                <w:lang w:val="en-US" w:eastAsia="en-US"/>
              </w:rPr>
              <w:t>10</w:t>
            </w:r>
          </w:hyperlink>
          <w:r>
            <w:rPr>
              <w:rStyle w:val="IndexLink"/>
              <w:sz w:val="18"/>
              <w:szCs w:val="18"/>
              <w:lang w:val="en-US" w:eastAsia="en-US"/>
            </w:rPr>
            <w:fldChar w:fldCharType="end"/>
          </w:r>
        </w:p>
      </w:sdtContent>
    </w:sdt>
    <w:p>
      <w:pPr>
        <w:pStyle w:val="Normal"/>
        <w:rPr>
          <w:caps/>
          <w:sz w:val="18"/>
          <w:szCs w:val="18"/>
          <w:lang w:val="en-GB" w:eastAsia="en-US"/>
        </w:rPr>
      </w:pPr>
      <w:r>
        <w:rPr>
          <w:caps/>
          <w:sz w:val="18"/>
          <w:szCs w:val="18"/>
          <w:lang w:val="en-GB" w:eastAsia="en-US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sectPr>
          <w:headerReference w:type="default" r:id="rId4"/>
          <w:headerReference w:type="first" r:id="rId5"/>
          <w:footerReference w:type="default" r:id="rId6"/>
          <w:footerReference w:type="first" r:id="rId7"/>
          <w:type w:val="nextPage"/>
          <w:pgSz w:w="11906" w:h="16838"/>
          <w:pgMar w:left="1729" w:right="1729" w:gutter="0" w:header="720" w:top="776" w:footer="720" w:bottom="1094"/>
          <w:pgNumType w:start="1" w:fmt="lowerRoman"/>
          <w:formProt w:val="false"/>
          <w:textDirection w:val="lrTb"/>
          <w:docGrid w:type="default" w:linePitch="360" w:charSpace="0"/>
        </w:sect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BodyText"/>
        <w:ind w:start="0" w:end="0"/>
        <w:rPr/>
      </w:pPr>
      <w:r>
        <w:rPr>
          <w:lang w:val="en-GB"/>
        </w:rPr>
        <w:t>All Policies and Procedures mentioned below have been or will be supplied to the PST Supplier on Compact Disk prior to the Effective Date. The Policies shall comprise the following:</w:t>
      </w:r>
    </w:p>
    <w:p>
      <w:pPr>
        <w:pStyle w:val="Heading2Numbered"/>
        <w:numPr>
          <w:ilvl w:val="1"/>
          <w:numId w:val="2"/>
        </w:numPr>
        <w:ind w:hanging="0" w:start="0"/>
        <w:rPr>
          <w:rFonts w:ascii="Times New Roman" w:hAnsi="Times New Roman" w:cs="Times New Roman"/>
          <w:sz w:val="22"/>
          <w:szCs w:val="22"/>
          <w:lang w:val="en-GB"/>
        </w:rPr>
      </w:pPr>
      <w:bookmarkStart w:id="0" w:name="__RefHeading___Toc150662359"/>
      <w:bookmarkEnd w:id="0"/>
      <w:r>
        <w:rPr/>
        <w:t>EuroBank Group Policies</w:t>
      </w:r>
    </w:p>
    <w:tbl>
      <w:tblPr>
        <w:tblW w:w="69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64"/>
        <w:gridCol w:w="2684"/>
      </w:tblGrid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BodyText"/>
              <w:spacing w:before="0" w:after="120"/>
              <w:ind w:start="113" w:end="0"/>
              <w:rPr>
                <w:b/>
                <w:bCs/>
                <w:szCs w:val="22"/>
                <w:lang w:val="en-GB"/>
              </w:rPr>
            </w:pPr>
            <w:r>
              <w:rPr>
                <w:b/>
                <w:bCs/>
                <w:szCs w:val="22"/>
                <w:lang w:val="en-GB"/>
              </w:rPr>
              <w:t>Policy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BodyText"/>
              <w:spacing w:before="0" w:after="120"/>
              <w:ind w:start="113" w:end="0"/>
              <w:rPr>
                <w:b/>
                <w:bCs/>
                <w:szCs w:val="22"/>
                <w:lang w:val="en-GB"/>
              </w:rPr>
            </w:pPr>
            <w:r>
              <w:rPr>
                <w:b/>
                <w:bCs/>
                <w:szCs w:val="22"/>
                <w:lang w:val="en-GB"/>
              </w:rPr>
              <w:t>Date/Version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Policy on Information Security (Strategic Level)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september 1999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Policy on Information Security (Tactical Level)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september 1999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External Connections Policy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september 2002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Data Classification Policy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september 2002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Roles and Responsibilities Standard for Information Security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september 2002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Encryption Policy for Information Security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6 june 2002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e-mail retention policy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4 february 2003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Responsibilities CIRT Europe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05/12/2005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CIRT SWE communication procedure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19 oct 2005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Corporate Policy on Physical Security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25 june 2004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Corporate Policy on Personal Security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 may 2004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Minimum Standards Personal Security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 may 2004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WPS Physical Security Policy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july 7, 2005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Algemene gedragscode EuroBank Groep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11-05-2006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Bewaartermijnen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 april 2003</w:t>
            </w:r>
          </w:p>
        </w:tc>
      </w:tr>
    </w:tbl>
    <w:p>
      <w:pPr>
        <w:pStyle w:val="BodyText"/>
        <w:rPr>
          <w:szCs w:val="22"/>
          <w:lang w:val="en-GB"/>
        </w:rPr>
      </w:pPr>
      <w:r>
        <w:rPr>
          <w:szCs w:val="22"/>
          <w:lang w:val="en-GB"/>
        </w:rPr>
      </w:r>
      <w:r>
        <w:br w:type="page"/>
      </w:r>
    </w:p>
    <w:p>
      <w:pPr>
        <w:pStyle w:val="BodyText"/>
        <w:rPr>
          <w:szCs w:val="22"/>
          <w:lang w:val="en-GB"/>
        </w:rPr>
      </w:pPr>
      <w:r>
        <w:rPr>
          <w:szCs w:val="22"/>
          <w:lang w:val="en-GB"/>
        </w:rPr>
      </w:r>
    </w:p>
    <w:p>
      <w:pPr>
        <w:pStyle w:val="Heading2Numbered"/>
        <w:numPr>
          <w:ilvl w:val="1"/>
          <w:numId w:val="2"/>
        </w:numPr>
        <w:ind w:hanging="0" w:start="0"/>
        <w:rPr>
          <w:sz w:val="22"/>
          <w:szCs w:val="22"/>
          <w:lang w:val="en-GB"/>
        </w:rPr>
      </w:pPr>
      <w:bookmarkStart w:id="1" w:name="__RefHeading___Toc150662360"/>
      <w:r>
        <w:rPr/>
        <w:t>SOX content binder</w:t>
      </w:r>
      <w:bookmarkEnd w:id="1"/>
      <w:r>
        <w:rPr/>
        <w:t xml:space="preserve"> </w:t>
      </w:r>
    </w:p>
    <w:tbl>
      <w:tblPr>
        <w:tblW w:w="69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47"/>
        <w:gridCol w:w="2601"/>
      </w:tblGrid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BodyText"/>
              <w:spacing w:before="0" w:after="120"/>
              <w:ind w:start="113" w:end="0"/>
              <w:rPr>
                <w:b/>
                <w:bCs/>
                <w:szCs w:val="22"/>
                <w:lang w:val="en-GB"/>
              </w:rPr>
            </w:pPr>
            <w:r>
              <w:rPr>
                <w:b/>
                <w:bCs/>
                <w:szCs w:val="22"/>
                <w:lang w:val="en-GB"/>
              </w:rPr>
              <w:t>Policy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BodyText"/>
              <w:spacing w:before="0" w:after="120"/>
              <w:ind w:start="113" w:end="0"/>
              <w:rPr>
                <w:b/>
                <w:bCs/>
                <w:szCs w:val="22"/>
                <w:lang w:val="en-GB"/>
              </w:rPr>
            </w:pPr>
            <w:r>
              <w:rPr>
                <w:b/>
                <w:bCs/>
                <w:szCs w:val="22"/>
                <w:lang w:val="en-GB"/>
              </w:rPr>
              <w:t>Date/Version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10.01 Archiving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1.01 Introduction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1.02 Release management procedure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1.03 Management summary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MAR06 final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2.01 EuroBank Group approach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MAR06 final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3.01 Scoping SOX404 activities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MAR06 final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3.02a Significant BS and PL Accounts Link to PCDM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MAR06 final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3.02b Sign Acc Proc Martices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3.03 Specific scoping items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3.04 Approach re Low risk processes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MAR06 final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4.01 Entity wide controls Approach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4.02a Guid re testing the Quest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 xml:space="preserve">5.01 Documentation Approach 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5.02a Guid on Testing Design eff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MAR06 final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5.02b Guid on Testing Operat eff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MAR06 final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5.03 Risk based test plan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MAR06 final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 xml:space="preserve">6.01a IT Approach 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6.02a Guid on Testing ITGC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6.02b Guid on Testing EUC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6.02c Guid mapping ITGC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7.01 Serv Org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MAR06 final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8.01 Classification of deficiencies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MAR06 final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9.01 Roles and Resp Group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MAR06 final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 xml:space="preserve">9.02 Roles and Resp Corp Dept 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9.03 Roles and Resp Business Lines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MAR06 final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9.04 Roles and Resp Base Entities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MAR06 final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9.05 Roles and Resp Sign Off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MAR06 final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9.06a Role of CAS for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MAR06 final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9.06b Role of ORM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9.06c Role of External Auditors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9.07 Legal Exposure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A Questionaire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APP E.01 2005 SOX404 Statements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MAR06 final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B PCDMs Corporate Departments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v1.0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C PCDMs Business Lines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v1.0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F.01Temp Defic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G.01 Glossary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D.00a Impact IFRS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D.00b PCDM Impact Overview &amp; Summary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D.01 PCDM Group FSCP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D.02 PCDM Group Real Estate Investing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D.03 PCDM Group Securities Trading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D.04 PCDM Group Corporate Lending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D.05 PCDM Group Derivatives Trading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D.06 PCDM Group Treasury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D.07 PCDM Cash Management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14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D.08 PCDM Bank Consumer Lending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50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D.09 PCDM Bank Current Accounts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50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D.10 PCDM Bank Mortgage Lending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50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D.11 PCDM Insurance Life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50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D.12 PCDM Insurance Non-Life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780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D.13 PCDM Insurance Cash rec and paym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50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D.14 PCDM AM CM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50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D.15 PCDM AM Consumer Lending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50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D.16 PCDM AM Current Accounts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50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D.17 PCDM AM Mortgage Lending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50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D.18 PCDM TAX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50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D.19 PCDM ITGC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50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D.20 PCDM EUC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50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D.21 PCDM Pensions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50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D.22 PCDM commission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50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D.23 PCDM salaries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50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D.24 PCDM other income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515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D.25 PCDM procurement of assets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50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D.26 PCDM Hedge Accounting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50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D.27 PCDM LLP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50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D.28 PCDM Share based payments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  <w:tr>
        <w:trPr>
          <w:trHeight w:val="501" w:hRule="atLeast"/>
        </w:trPr>
        <w:tc>
          <w:tcPr>
            <w:tcW w:w="43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D.29 Dummy PCDM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05 v1.0</w:t>
            </w:r>
          </w:p>
        </w:tc>
      </w:tr>
    </w:tbl>
    <w:p>
      <w:pPr>
        <w:pStyle w:val="FWOutL2"/>
        <w:numPr>
          <w:ilvl w:val="0"/>
          <w:numId w:val="0"/>
        </w:numPr>
        <w:ind w:hanging="0" w:start="0"/>
        <w:rPr>
          <w:szCs w:val="22"/>
          <w:lang w:val="en-GB"/>
        </w:rPr>
      </w:pPr>
      <w:r>
        <w:rPr>
          <w:szCs w:val="22"/>
          <w:lang w:val="en-GB"/>
        </w:rPr>
      </w:r>
      <w:r>
        <w:br w:type="page"/>
      </w:r>
    </w:p>
    <w:p>
      <w:pPr>
        <w:pStyle w:val="FWOutL2"/>
        <w:numPr>
          <w:ilvl w:val="0"/>
          <w:numId w:val="0"/>
        </w:numPr>
        <w:ind w:hanging="0" w:start="0"/>
        <w:rPr>
          <w:szCs w:val="22"/>
          <w:lang w:val="en-GB"/>
        </w:rPr>
      </w:pPr>
      <w:r>
        <w:rPr>
          <w:szCs w:val="22"/>
          <w:lang w:val="en-GB"/>
        </w:rPr>
      </w:r>
    </w:p>
    <w:p>
      <w:pPr>
        <w:pStyle w:val="Heading2Numbered"/>
        <w:numPr>
          <w:ilvl w:val="1"/>
          <w:numId w:val="2"/>
        </w:numPr>
        <w:ind w:hanging="0" w:start="0"/>
        <w:rPr>
          <w:bCs/>
          <w:sz w:val="22"/>
          <w:lang w:val="en-GB"/>
        </w:rPr>
      </w:pPr>
      <w:bookmarkStart w:id="2" w:name="__RefHeading___Toc150662361"/>
      <w:bookmarkEnd w:id="2"/>
      <w:r>
        <w:rPr/>
        <w:t>EuroBank Sourcing Compliance Internal Policies</w:t>
      </w:r>
    </w:p>
    <w:tbl>
      <w:tblPr>
        <w:tblW w:w="69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64"/>
        <w:gridCol w:w="2684"/>
      </w:tblGrid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BodyText"/>
              <w:spacing w:before="0" w:after="120"/>
              <w:ind w:start="113" w:end="0"/>
              <w:rPr>
                <w:b/>
                <w:bCs/>
                <w:szCs w:val="22"/>
                <w:lang w:val="en-GB"/>
              </w:rPr>
            </w:pPr>
            <w:r>
              <w:rPr>
                <w:b/>
                <w:bCs/>
                <w:szCs w:val="22"/>
                <w:lang w:val="en-GB"/>
              </w:rPr>
              <w:t>Policy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BodyText"/>
              <w:spacing w:before="0" w:after="120"/>
              <w:ind w:start="113" w:end="0"/>
              <w:rPr>
                <w:b/>
                <w:bCs/>
                <w:szCs w:val="22"/>
                <w:lang w:val="en-GB"/>
              </w:rPr>
            </w:pPr>
            <w:r>
              <w:rPr>
                <w:b/>
                <w:bCs/>
                <w:szCs w:val="22"/>
                <w:lang w:val="en-GB"/>
              </w:rPr>
              <w:t>Date/Version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Insider Regulation new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 october 2005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Whistleblower Proc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11-05-2006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Policies Investigation Policy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january 2004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IT Outsourcing guidelines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08 october 2002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Corporate Policy on FEC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12 nov 2003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Immediate Incident Reporting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2005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Incident Reporting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 2005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 xml:space="preserve">EuroBank General Business Principles </w:t>
            </w:r>
          </w:p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 xml:space="preserve">(syn: Statement of Business Principles) 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nov 2004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Compliance Policy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 july 2005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Policy Chinese Walls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 july 2005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Procedure bezoek handhavingsinstelling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24 januari 2003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Policies explanatory pre-employment screening UK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03-01-05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Policies pre-employment screening gb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03-01-05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Policies pre-employment screening nl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06-07-04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Policies toelichting PES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06-07-04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Policy crisismanagement at EuroBank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14 january 2003</w:t>
            </w:r>
          </w:p>
        </w:tc>
      </w:tr>
    </w:tbl>
    <w:p>
      <w:pPr>
        <w:pStyle w:val="BodyText"/>
        <w:rPr>
          <w:szCs w:val="22"/>
          <w:lang w:val="en-GB"/>
        </w:rPr>
      </w:pPr>
      <w:r>
        <w:rPr>
          <w:szCs w:val="22"/>
          <w:lang w:val="en-GB"/>
        </w:rPr>
      </w:r>
      <w:r>
        <w:br w:type="page"/>
      </w:r>
    </w:p>
    <w:p>
      <w:pPr>
        <w:pStyle w:val="BodyText"/>
        <w:rPr>
          <w:szCs w:val="22"/>
          <w:lang w:val="en-GB"/>
        </w:rPr>
      </w:pPr>
      <w:r>
        <w:rPr>
          <w:szCs w:val="22"/>
          <w:lang w:val="en-GB"/>
        </w:rPr>
      </w:r>
    </w:p>
    <w:p>
      <w:pPr>
        <w:pStyle w:val="Heading2Numbered"/>
        <w:numPr>
          <w:ilvl w:val="1"/>
          <w:numId w:val="2"/>
        </w:numPr>
        <w:ind w:hanging="0" w:start="0"/>
        <w:rPr>
          <w:bCs/>
          <w:sz w:val="22"/>
          <w:lang w:val="en-GB"/>
        </w:rPr>
      </w:pPr>
      <w:bookmarkStart w:id="3" w:name="__RefHeading___Toc150662362"/>
      <w:bookmarkEnd w:id="3"/>
      <w:r>
        <w:rPr>
          <w:bCs/>
          <w:sz w:val="22"/>
          <w:lang w:val="en-GB"/>
        </w:rPr>
        <w:t>EuroBank IT Policies</w:t>
      </w:r>
    </w:p>
    <w:p>
      <w:pPr>
        <w:pStyle w:val="Heading3Numbered"/>
        <w:numPr>
          <w:ilvl w:val="2"/>
          <w:numId w:val="2"/>
        </w:numPr>
        <w:ind w:hanging="0" w:start="0"/>
        <w:rPr>
          <w:sz w:val="22"/>
          <w:szCs w:val="22"/>
          <w:lang w:val="en-GB"/>
        </w:rPr>
      </w:pPr>
      <w:bookmarkStart w:id="4" w:name="__RefHeading___Toc150662363"/>
      <w:bookmarkEnd w:id="4"/>
      <w:r>
        <w:rPr/>
        <w:t>Architecture</w:t>
      </w:r>
    </w:p>
    <w:tbl>
      <w:tblPr>
        <w:tblW w:w="69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64"/>
        <w:gridCol w:w="2684"/>
      </w:tblGrid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BodyText"/>
              <w:spacing w:before="0" w:after="120"/>
              <w:ind w:start="113" w:end="0"/>
              <w:rPr>
                <w:b/>
                <w:bCs/>
                <w:szCs w:val="22"/>
                <w:lang w:val="en-GB"/>
              </w:rPr>
            </w:pPr>
            <w:r>
              <w:rPr>
                <w:b/>
                <w:bCs/>
                <w:szCs w:val="22"/>
                <w:lang w:val="en-GB"/>
              </w:rPr>
              <w:t>Policy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BodyText"/>
              <w:spacing w:before="0" w:after="120"/>
              <w:ind w:start="113" w:end="0"/>
              <w:rPr>
                <w:b/>
                <w:bCs/>
                <w:szCs w:val="22"/>
                <w:lang w:val="en-GB"/>
              </w:rPr>
            </w:pPr>
            <w:r>
              <w:rPr>
                <w:b/>
                <w:bCs/>
                <w:szCs w:val="22"/>
                <w:lang w:val="en-GB"/>
              </w:rPr>
              <w:t>Date/Version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Architecture Framework: Architecture Governance and Organization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04-nov-03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Architecture Framework: Architecture process standards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22-nov-02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Architecture Framework: Architecture product standards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22-feb-02</w:t>
            </w:r>
          </w:p>
        </w:tc>
      </w:tr>
    </w:tbl>
    <w:p>
      <w:pPr>
        <w:pStyle w:val="FWOutL3"/>
        <w:numPr>
          <w:ilvl w:val="0"/>
          <w:numId w:val="0"/>
        </w:numPr>
        <w:ind w:hanging="0" w:start="0"/>
        <w:rPr>
          <w:szCs w:val="22"/>
          <w:lang w:val="en-GB"/>
        </w:rPr>
      </w:pPr>
      <w:r>
        <w:rPr>
          <w:szCs w:val="22"/>
          <w:lang w:val="en-GB"/>
        </w:rPr>
      </w:r>
    </w:p>
    <w:p>
      <w:pPr>
        <w:pStyle w:val="Heading3Numbered"/>
        <w:numPr>
          <w:ilvl w:val="2"/>
          <w:numId w:val="2"/>
        </w:numPr>
        <w:ind w:hanging="0" w:start="0"/>
        <w:rPr>
          <w:sz w:val="22"/>
          <w:szCs w:val="22"/>
          <w:lang w:val="fr-FR"/>
        </w:rPr>
      </w:pPr>
      <w:bookmarkStart w:id="5" w:name="__RefHeading___Toc150662364"/>
      <w:bookmarkEnd w:id="5"/>
      <w:r>
        <w:rPr/>
        <w:t>E-mail retention</w:t>
      </w:r>
    </w:p>
    <w:tbl>
      <w:tblPr>
        <w:tblW w:w="69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64"/>
        <w:gridCol w:w="2684"/>
      </w:tblGrid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BodyText"/>
              <w:spacing w:before="0" w:after="120"/>
              <w:ind w:start="113" w:end="0"/>
              <w:rPr>
                <w:b/>
                <w:bCs/>
                <w:szCs w:val="22"/>
                <w:lang w:val="en-GB"/>
              </w:rPr>
            </w:pPr>
            <w:r>
              <w:rPr>
                <w:b/>
                <w:bCs/>
                <w:szCs w:val="22"/>
                <w:lang w:val="en-GB"/>
              </w:rPr>
              <w:t>Policy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BodyText"/>
              <w:spacing w:before="0" w:after="120"/>
              <w:ind w:start="113" w:end="0"/>
              <w:rPr>
                <w:b/>
                <w:bCs/>
                <w:szCs w:val="22"/>
                <w:lang w:val="en-GB"/>
              </w:rPr>
            </w:pPr>
            <w:r>
              <w:rPr>
                <w:b/>
                <w:bCs/>
                <w:szCs w:val="22"/>
                <w:lang w:val="en-GB"/>
              </w:rPr>
              <w:t>Date/Version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e-mail retention policy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10-jun-03</w:t>
            </w:r>
          </w:p>
        </w:tc>
      </w:tr>
    </w:tbl>
    <w:p>
      <w:pPr>
        <w:pStyle w:val="FWOutL3"/>
        <w:numPr>
          <w:ilvl w:val="0"/>
          <w:numId w:val="0"/>
        </w:numPr>
        <w:ind w:hanging="0" w:start="0"/>
        <w:rPr>
          <w:szCs w:val="22"/>
          <w:lang w:val="en-GB"/>
        </w:rPr>
      </w:pPr>
      <w:r>
        <w:rPr>
          <w:szCs w:val="22"/>
          <w:lang w:val="en-GB"/>
        </w:rPr>
      </w:r>
    </w:p>
    <w:p>
      <w:pPr>
        <w:pStyle w:val="Heading3Numbered"/>
        <w:numPr>
          <w:ilvl w:val="2"/>
          <w:numId w:val="2"/>
        </w:numPr>
        <w:ind w:hanging="0" w:start="0"/>
        <w:rPr>
          <w:sz w:val="22"/>
          <w:szCs w:val="22"/>
          <w:lang w:val="fr-FR"/>
        </w:rPr>
      </w:pPr>
      <w:bookmarkStart w:id="6" w:name="__RefHeading___Toc150662365"/>
      <w:bookmarkEnd w:id="6"/>
      <w:r>
        <w:rPr/>
        <w:t>Information Risk Management</w:t>
      </w:r>
    </w:p>
    <w:tbl>
      <w:tblPr>
        <w:tblW w:w="69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64"/>
        <w:gridCol w:w="2684"/>
      </w:tblGrid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BodyText"/>
              <w:spacing w:before="0" w:after="120"/>
              <w:ind w:start="113" w:end="0"/>
              <w:rPr>
                <w:b/>
                <w:bCs/>
                <w:szCs w:val="22"/>
                <w:lang w:val="en-GB"/>
              </w:rPr>
            </w:pPr>
            <w:r>
              <w:rPr>
                <w:b/>
                <w:bCs/>
                <w:szCs w:val="22"/>
                <w:lang w:val="en-GB"/>
              </w:rPr>
              <w:t>Policy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BodyText"/>
              <w:spacing w:before="0" w:after="120"/>
              <w:ind w:start="113" w:end="0"/>
              <w:rPr>
                <w:b/>
                <w:bCs/>
                <w:szCs w:val="22"/>
                <w:lang w:val="en-GB"/>
              </w:rPr>
            </w:pPr>
            <w:r>
              <w:rPr>
                <w:b/>
                <w:bCs/>
                <w:szCs w:val="22"/>
                <w:lang w:val="en-GB"/>
              </w:rPr>
              <w:t>Date/Version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British Standards ISO/IEC: Code of practice for information security management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01-oct-01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British Standards Information security management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07-may-03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Global WAN access compliance form level 1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01-mar-02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Global WAN access compliance form level 2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01-mar-02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Global WAN access Policy March 2002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01-mar-02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Governance Model for IRM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08-nov-04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Policy on Information Security (Strategic Level)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01-sep-99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Policy on Information Security (Tactical Level) – External connections policy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01-sep-99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Security Process for Outsourcing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22-jul-04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Strategic Global CIRT Framework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14-jul-05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Letter Executive Board regarding information security directives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12-sep-02</w:t>
            </w:r>
          </w:p>
        </w:tc>
      </w:tr>
    </w:tbl>
    <w:p>
      <w:pPr>
        <w:pStyle w:val="FWOutL3"/>
        <w:numPr>
          <w:ilvl w:val="0"/>
          <w:numId w:val="0"/>
        </w:numPr>
        <w:ind w:hanging="0" w:start="0"/>
        <w:rPr>
          <w:szCs w:val="22"/>
          <w:lang w:val="en-GB"/>
        </w:rPr>
      </w:pPr>
      <w:r>
        <w:rPr>
          <w:szCs w:val="22"/>
          <w:lang w:val="en-GB"/>
        </w:rPr>
      </w:r>
    </w:p>
    <w:p>
      <w:pPr>
        <w:pStyle w:val="FWOutL3"/>
        <w:numPr>
          <w:ilvl w:val="0"/>
          <w:numId w:val="0"/>
        </w:numPr>
        <w:ind w:hanging="0" w:start="0"/>
        <w:rPr>
          <w:szCs w:val="22"/>
          <w:lang w:val="en-GB"/>
        </w:rPr>
      </w:pPr>
      <w:r>
        <w:rPr>
          <w:szCs w:val="22"/>
          <w:lang w:val="en-GB"/>
        </w:rPr>
      </w:r>
    </w:p>
    <w:p>
      <w:pPr>
        <w:pStyle w:val="Heading3Numbered"/>
        <w:numPr>
          <w:ilvl w:val="2"/>
          <w:numId w:val="2"/>
        </w:numPr>
        <w:ind w:hanging="0" w:start="0"/>
        <w:rPr>
          <w:sz w:val="22"/>
          <w:szCs w:val="22"/>
          <w:lang w:val="en-GB"/>
        </w:rPr>
      </w:pPr>
      <w:bookmarkStart w:id="7" w:name="__RefHeading___Toc150662366"/>
      <w:bookmarkEnd w:id="7"/>
      <w:r>
        <w:rPr/>
        <w:t>Information Risk Management: Operational Policies and Standards</w:t>
      </w:r>
    </w:p>
    <w:tbl>
      <w:tblPr>
        <w:tblW w:w="69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64"/>
        <w:gridCol w:w="2684"/>
      </w:tblGrid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BodyText"/>
              <w:spacing w:before="0" w:after="120"/>
              <w:ind w:start="113" w:end="0"/>
              <w:rPr>
                <w:b/>
                <w:bCs/>
                <w:szCs w:val="22"/>
                <w:lang w:val="en-GB"/>
              </w:rPr>
            </w:pPr>
            <w:r>
              <w:rPr>
                <w:b/>
                <w:bCs/>
                <w:szCs w:val="22"/>
                <w:lang w:val="en-GB"/>
              </w:rPr>
              <w:t>Policy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BodyText"/>
              <w:spacing w:before="0" w:after="120"/>
              <w:ind w:start="113" w:end="0"/>
              <w:rPr>
                <w:b/>
                <w:bCs/>
                <w:szCs w:val="22"/>
                <w:lang w:val="en-GB"/>
              </w:rPr>
            </w:pPr>
            <w:r>
              <w:rPr>
                <w:b/>
                <w:bCs/>
                <w:szCs w:val="22"/>
                <w:lang w:val="en-GB"/>
              </w:rPr>
              <w:t>Date/Version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Anti-Virus Standard for Information Security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september 2002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Asset Management and Control Policy for Information Security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september 2002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Audit and Individual Accountability Standard for Information Security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september 2002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Authentication and Access Control Policy for Information Security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september 2002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Authentication Token Standard for Information Security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september 2002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Backup and Restore Standard for Information Security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september 2002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Business Continuity Management Information Security Policy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september 2002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Computer Policy for Information Security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september 2002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Data Classification Policy for Information Security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12 july 2002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Disposal Policy for Information Security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september 2002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e-Commerce Policy for Information Security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september 2002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Encryption Policy for Information Security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september 2002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End User Computing Standard for Information Security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september 2002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External Connections Policy for Information Security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14 april 2004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External Connection Review Standard for Information Security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12 july 2002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Firewall Standard for Information Security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12 july 2002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Information Risk Management (IRM) Policy for Information Security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september 2002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Monitoring Policy for Information Security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september 2002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Network Policy for Information Security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12 july 2002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Information Security Policy, Operation Level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6 september 2002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Outside Party Policy for Information Security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14 april 2004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Password Management Standard for Information Security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september 2002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Personnel Policy for Information Security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6 september 2001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Physical and Environmental Policy for Information Security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6 september 2002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Portable Computer Policy for Information Security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6 september 2002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Public Key Infrastructure (PKI) Policy for Information Security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6 september 2002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Remote Access Services (RAS) Policy for Information Security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12 july 2002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Revision and Deviation Procedure for Information Security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6 september 2002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Risk Assessment Standard for Information Security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6 september 2002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Roles and Responsibilities Standards for Information Security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6 september 2002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Security Incident Reporting and Response Policy for Information Security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6 september 2002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Software Licensing Policy for Information Security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6 september 2002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Software Release Processing and Change Control Management Policy for Information Security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6 september 2002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Software Development and Maintenance Policy for Information Security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6 september 2002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Group User Account Management Standard for Information Security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6 september 2002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/>
              <w:t>EuroBank Group Operational Risk Management Framework Policy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January 2004</w:t>
            </w:r>
          </w:p>
        </w:tc>
      </w:tr>
    </w:tbl>
    <w:p>
      <w:pPr>
        <w:pStyle w:val="FWOutL3"/>
        <w:numPr>
          <w:ilvl w:val="0"/>
          <w:numId w:val="0"/>
        </w:numPr>
        <w:ind w:hanging="0" w:start="0"/>
        <w:rPr>
          <w:szCs w:val="22"/>
          <w:lang w:val="en-GB"/>
        </w:rPr>
      </w:pPr>
      <w:r>
        <w:rPr>
          <w:szCs w:val="22"/>
          <w:lang w:val="en-GB"/>
        </w:rPr>
      </w:r>
      <w:r>
        <w:br w:type="page"/>
      </w:r>
    </w:p>
    <w:p>
      <w:pPr>
        <w:pStyle w:val="FWOutL3"/>
        <w:numPr>
          <w:ilvl w:val="0"/>
          <w:numId w:val="0"/>
        </w:numPr>
        <w:ind w:hanging="0" w:start="0"/>
        <w:rPr>
          <w:szCs w:val="22"/>
          <w:lang w:val="en-GB"/>
        </w:rPr>
      </w:pPr>
      <w:r>
        <w:rPr>
          <w:szCs w:val="22"/>
          <w:lang w:val="en-GB"/>
        </w:rPr>
      </w:r>
    </w:p>
    <w:p>
      <w:pPr>
        <w:pStyle w:val="Heading3Numbered"/>
        <w:numPr>
          <w:ilvl w:val="2"/>
          <w:numId w:val="2"/>
        </w:numPr>
        <w:ind w:hanging="0" w:start="0"/>
        <w:rPr>
          <w:sz w:val="22"/>
          <w:szCs w:val="22"/>
          <w:lang w:val="en-GB"/>
        </w:rPr>
      </w:pPr>
      <w:bookmarkStart w:id="8" w:name="__RefHeading___Toc150662367"/>
      <w:bookmarkEnd w:id="8"/>
      <w:r>
        <w:rPr/>
        <w:t>Information Risk Management: Operational Security Guidelines and Procedures</w:t>
      </w:r>
    </w:p>
    <w:tbl>
      <w:tblPr>
        <w:tblW w:w="69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64"/>
        <w:gridCol w:w="2684"/>
      </w:tblGrid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BodyText"/>
              <w:spacing w:before="0" w:after="120"/>
              <w:ind w:start="113" w:end="0"/>
              <w:rPr>
                <w:b/>
                <w:bCs/>
                <w:szCs w:val="22"/>
                <w:lang w:val="en-GB"/>
              </w:rPr>
            </w:pPr>
            <w:r>
              <w:rPr>
                <w:b/>
                <w:bCs/>
                <w:szCs w:val="22"/>
                <w:lang w:val="en-GB"/>
              </w:rPr>
              <w:t>Policy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BodyText"/>
              <w:spacing w:before="0" w:after="120"/>
              <w:ind w:start="113" w:end="0"/>
              <w:rPr>
                <w:b/>
                <w:bCs/>
                <w:szCs w:val="22"/>
                <w:lang w:val="en-GB"/>
              </w:rPr>
            </w:pPr>
            <w:r>
              <w:rPr>
                <w:b/>
                <w:bCs/>
                <w:szCs w:val="22"/>
                <w:lang w:val="en-GB"/>
              </w:rPr>
              <w:t>Date/Version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OSG- Checkpoint Firewall –1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22-sep-01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OSG- Cisco Routers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07-may-03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OSG- Databases: SQL, Oracle, Sybase and Db2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22-sep-01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OSG- Exchange Server 2003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15-sep-05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OSG- Penetration Testing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05-dec-05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OSG- Spoofed Websites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30-oct-03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OSG- Switches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22-sep-04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OSG- UNIX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03-feb-04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OSG- Web Application Development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21-mar-06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OSG- Webservers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22-sep-04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OSG- Windows 2000 Professional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30-nov-05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OSG-Windows 2000 Server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30-nov-05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OSG- Windows Server 2003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15-sep-05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OSG- Windows Server 2003 Addendum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15-sep-05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OSG- Windows XP Service Pack 2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30-nov-05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List of approved OSGs within OPS&amp;IT Banking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09-jan-06</w:t>
            </w:r>
          </w:p>
        </w:tc>
      </w:tr>
    </w:tbl>
    <w:p>
      <w:pPr>
        <w:pStyle w:val="FWOutL3"/>
        <w:numPr>
          <w:ilvl w:val="0"/>
          <w:numId w:val="0"/>
        </w:numPr>
        <w:ind w:hanging="0" w:start="0"/>
        <w:rPr>
          <w:szCs w:val="22"/>
          <w:lang w:val="en-GB"/>
        </w:rPr>
      </w:pPr>
      <w:r>
        <w:rPr>
          <w:szCs w:val="22"/>
          <w:lang w:val="en-GB"/>
        </w:rPr>
      </w:r>
    </w:p>
    <w:p>
      <w:pPr>
        <w:pStyle w:val="Heading3Numbered"/>
        <w:numPr>
          <w:ilvl w:val="2"/>
          <w:numId w:val="2"/>
        </w:numPr>
        <w:ind w:hanging="0" w:start="0"/>
        <w:rPr>
          <w:sz w:val="22"/>
          <w:szCs w:val="22"/>
          <w:lang w:val="fr-FR"/>
        </w:rPr>
      </w:pPr>
      <w:bookmarkStart w:id="9" w:name="__RefHeading___Toc150662368"/>
      <w:bookmarkEnd w:id="9"/>
      <w:r>
        <w:rPr/>
        <w:t>IT effectiveness</w:t>
      </w:r>
    </w:p>
    <w:tbl>
      <w:tblPr>
        <w:tblW w:w="69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64"/>
        <w:gridCol w:w="2684"/>
      </w:tblGrid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BodyText"/>
              <w:spacing w:before="0" w:after="120"/>
              <w:ind w:start="113" w:end="0"/>
              <w:rPr>
                <w:b/>
                <w:bCs/>
                <w:szCs w:val="22"/>
                <w:lang w:val="en-GB"/>
              </w:rPr>
            </w:pPr>
            <w:r>
              <w:rPr>
                <w:b/>
                <w:bCs/>
                <w:szCs w:val="22"/>
                <w:lang w:val="en-GB"/>
              </w:rPr>
              <w:t>Policy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BodyText"/>
              <w:spacing w:before="0" w:after="120"/>
              <w:ind w:start="113" w:end="0"/>
              <w:rPr>
                <w:b/>
                <w:bCs/>
                <w:szCs w:val="22"/>
                <w:lang w:val="en-GB"/>
              </w:rPr>
            </w:pPr>
            <w:r>
              <w:rPr>
                <w:b/>
                <w:bCs/>
                <w:szCs w:val="22"/>
                <w:lang w:val="en-GB"/>
              </w:rPr>
              <w:t>Date/Version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Letter Executive Board regarding Solution Delivery Capability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23-aug-02</w:t>
            </w:r>
          </w:p>
        </w:tc>
      </w:tr>
    </w:tbl>
    <w:p>
      <w:pPr>
        <w:pStyle w:val="FWOutL3"/>
        <w:numPr>
          <w:ilvl w:val="0"/>
          <w:numId w:val="0"/>
        </w:numPr>
        <w:ind w:hanging="0" w:start="0"/>
        <w:rPr>
          <w:szCs w:val="22"/>
          <w:lang w:val="en-GB"/>
        </w:rPr>
      </w:pPr>
      <w:r>
        <w:rPr>
          <w:szCs w:val="22"/>
          <w:lang w:val="en-GB"/>
        </w:rPr>
      </w:r>
    </w:p>
    <w:p>
      <w:pPr>
        <w:pStyle w:val="Heading3Numbered"/>
        <w:numPr>
          <w:ilvl w:val="2"/>
          <w:numId w:val="2"/>
        </w:numPr>
        <w:ind w:hanging="0" w:start="0"/>
        <w:rPr>
          <w:sz w:val="22"/>
          <w:szCs w:val="22"/>
          <w:lang w:val="fr-FR"/>
        </w:rPr>
      </w:pPr>
      <w:bookmarkStart w:id="10" w:name="__RefHeading___Toc150662369"/>
      <w:bookmarkEnd w:id="10"/>
      <w:r>
        <w:rPr/>
        <w:t>IT Governance</w:t>
      </w:r>
    </w:p>
    <w:tbl>
      <w:tblPr>
        <w:tblW w:w="69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64"/>
        <w:gridCol w:w="2684"/>
      </w:tblGrid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BodyText"/>
              <w:spacing w:before="0" w:after="120"/>
              <w:ind w:start="113" w:end="0"/>
              <w:rPr>
                <w:b/>
                <w:bCs/>
                <w:szCs w:val="22"/>
                <w:lang w:val="en-GB"/>
              </w:rPr>
            </w:pPr>
            <w:r>
              <w:rPr>
                <w:b/>
                <w:bCs/>
                <w:szCs w:val="22"/>
                <w:lang w:val="en-GB"/>
              </w:rPr>
              <w:t>Policy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BodyText"/>
              <w:spacing w:before="0" w:after="120"/>
              <w:ind w:start="113" w:end="0"/>
              <w:rPr>
                <w:b/>
                <w:bCs/>
                <w:szCs w:val="22"/>
                <w:lang w:val="en-GB"/>
              </w:rPr>
            </w:pPr>
            <w:r>
              <w:rPr>
                <w:b/>
                <w:bCs/>
                <w:szCs w:val="22"/>
                <w:lang w:val="en-GB"/>
              </w:rPr>
              <w:t>Date/Version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IT Governance Release 1.0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21-dec-00</w:t>
            </w:r>
          </w:p>
        </w:tc>
      </w:tr>
    </w:tbl>
    <w:p>
      <w:pPr>
        <w:pStyle w:val="FWOutL3"/>
        <w:numPr>
          <w:ilvl w:val="0"/>
          <w:numId w:val="0"/>
        </w:numPr>
        <w:ind w:hanging="0" w:start="0"/>
        <w:rPr>
          <w:szCs w:val="22"/>
          <w:lang w:val="en-GB"/>
        </w:rPr>
      </w:pPr>
      <w:r>
        <w:rPr>
          <w:szCs w:val="22"/>
          <w:lang w:val="en-GB"/>
        </w:rPr>
      </w:r>
    </w:p>
    <w:p>
      <w:pPr>
        <w:pStyle w:val="Heading3Numbered"/>
        <w:numPr>
          <w:ilvl w:val="2"/>
          <w:numId w:val="2"/>
        </w:numPr>
        <w:ind w:hanging="0" w:start="0"/>
        <w:rPr>
          <w:sz w:val="22"/>
          <w:szCs w:val="22"/>
          <w:lang w:val="fr-FR"/>
        </w:rPr>
      </w:pPr>
      <w:bookmarkStart w:id="11" w:name="__RefHeading___Toc150662370"/>
      <w:bookmarkEnd w:id="11"/>
      <w:r>
        <w:rPr/>
        <w:t>IT Standards</w:t>
      </w:r>
    </w:p>
    <w:tbl>
      <w:tblPr>
        <w:tblW w:w="69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64"/>
        <w:gridCol w:w="2684"/>
      </w:tblGrid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BodyText"/>
              <w:spacing w:before="0" w:after="120"/>
              <w:ind w:start="113" w:end="0"/>
              <w:rPr>
                <w:b/>
                <w:bCs/>
                <w:szCs w:val="22"/>
                <w:lang w:val="en-GB"/>
              </w:rPr>
            </w:pPr>
            <w:r>
              <w:rPr>
                <w:b/>
                <w:bCs/>
                <w:szCs w:val="22"/>
                <w:lang w:val="en-GB"/>
              </w:rPr>
              <w:t>Policy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BodyText"/>
              <w:spacing w:before="0" w:after="120"/>
              <w:ind w:start="113" w:end="0"/>
              <w:rPr>
                <w:b/>
                <w:bCs/>
                <w:szCs w:val="22"/>
                <w:lang w:val="en-GB"/>
              </w:rPr>
            </w:pPr>
            <w:r>
              <w:rPr>
                <w:b/>
                <w:bCs/>
                <w:szCs w:val="22"/>
                <w:lang w:val="en-GB"/>
              </w:rPr>
              <w:t>Date/Version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IT Standards Release 4.4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01-dec-04</w:t>
            </w:r>
          </w:p>
        </w:tc>
      </w:tr>
    </w:tbl>
    <w:p>
      <w:pPr>
        <w:pStyle w:val="FWOutL3"/>
        <w:numPr>
          <w:ilvl w:val="0"/>
          <w:numId w:val="0"/>
        </w:numPr>
        <w:ind w:hanging="0" w:start="0"/>
        <w:rPr>
          <w:szCs w:val="22"/>
          <w:lang w:val="en-GB"/>
        </w:rPr>
      </w:pPr>
      <w:r>
        <w:rPr>
          <w:szCs w:val="22"/>
          <w:lang w:val="en-GB"/>
        </w:rPr>
      </w:r>
    </w:p>
    <w:p>
      <w:pPr>
        <w:pStyle w:val="Heading3Numbered"/>
        <w:numPr>
          <w:ilvl w:val="2"/>
          <w:numId w:val="2"/>
        </w:numPr>
        <w:ind w:hanging="0" w:start="0"/>
        <w:rPr>
          <w:sz w:val="22"/>
          <w:szCs w:val="22"/>
          <w:lang w:val="fr-FR"/>
        </w:rPr>
      </w:pPr>
      <w:bookmarkStart w:id="12" w:name="__RefHeading___Toc150662371"/>
      <w:bookmarkEnd w:id="12"/>
      <w:r>
        <w:rPr/>
        <w:t>Networking</w:t>
      </w:r>
    </w:p>
    <w:tbl>
      <w:tblPr>
        <w:tblW w:w="69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64"/>
        <w:gridCol w:w="2684"/>
      </w:tblGrid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BodyText"/>
              <w:spacing w:before="0" w:after="120"/>
              <w:ind w:start="113" w:end="0"/>
              <w:rPr>
                <w:b/>
                <w:bCs/>
                <w:szCs w:val="22"/>
                <w:lang w:val="en-GB"/>
              </w:rPr>
            </w:pPr>
            <w:r>
              <w:rPr>
                <w:b/>
                <w:bCs/>
                <w:szCs w:val="22"/>
                <w:lang w:val="en-GB"/>
              </w:rPr>
              <w:t>Policy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BodyText"/>
              <w:spacing w:before="0" w:after="120"/>
              <w:ind w:start="113" w:end="0"/>
              <w:rPr>
                <w:b/>
                <w:bCs/>
                <w:szCs w:val="22"/>
                <w:lang w:val="en-GB"/>
              </w:rPr>
            </w:pPr>
            <w:r>
              <w:rPr>
                <w:b/>
                <w:bCs/>
                <w:szCs w:val="22"/>
                <w:lang w:val="en-GB"/>
              </w:rPr>
              <w:t>Date/Version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Network naming and addressing Release 1.2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03-nov-00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Network naming and addressing summary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01-may-02</w:t>
            </w:r>
          </w:p>
        </w:tc>
      </w:tr>
    </w:tbl>
    <w:p>
      <w:pPr>
        <w:pStyle w:val="FWOutL3"/>
        <w:numPr>
          <w:ilvl w:val="0"/>
          <w:numId w:val="0"/>
        </w:numPr>
        <w:ind w:hanging="0" w:start="0"/>
        <w:rPr>
          <w:szCs w:val="22"/>
          <w:lang w:val="en-GB"/>
        </w:rPr>
      </w:pPr>
      <w:r>
        <w:rPr>
          <w:szCs w:val="22"/>
          <w:lang w:val="en-GB"/>
        </w:rPr>
      </w:r>
    </w:p>
    <w:p>
      <w:pPr>
        <w:pStyle w:val="Heading3Numbered"/>
        <w:numPr>
          <w:ilvl w:val="2"/>
          <w:numId w:val="2"/>
        </w:numPr>
        <w:ind w:hanging="0" w:start="0"/>
        <w:rPr>
          <w:sz w:val="22"/>
          <w:szCs w:val="22"/>
          <w:lang w:val="fr-FR"/>
        </w:rPr>
      </w:pPr>
      <w:bookmarkStart w:id="13" w:name="__RefHeading___Toc150662372"/>
      <w:bookmarkEnd w:id="13"/>
      <w:r>
        <w:rPr/>
        <w:t>Outsourcing</w:t>
      </w:r>
    </w:p>
    <w:tbl>
      <w:tblPr>
        <w:tblW w:w="69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64"/>
        <w:gridCol w:w="2684"/>
      </w:tblGrid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BodyText"/>
              <w:spacing w:before="0" w:after="120"/>
              <w:ind w:start="113" w:end="0"/>
              <w:rPr>
                <w:b/>
                <w:bCs/>
                <w:szCs w:val="22"/>
                <w:lang w:val="en-GB"/>
              </w:rPr>
            </w:pPr>
            <w:r>
              <w:rPr>
                <w:b/>
                <w:bCs/>
                <w:szCs w:val="22"/>
                <w:lang w:val="en-GB"/>
              </w:rPr>
              <w:t>Policy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BodyText"/>
              <w:spacing w:before="0" w:after="120"/>
              <w:ind w:start="113" w:end="0"/>
              <w:rPr>
                <w:b/>
                <w:bCs/>
                <w:szCs w:val="22"/>
                <w:lang w:val="en-GB"/>
              </w:rPr>
            </w:pPr>
            <w:r>
              <w:rPr>
                <w:b/>
                <w:bCs/>
                <w:szCs w:val="22"/>
                <w:lang w:val="en-GB"/>
              </w:rPr>
              <w:t>Date/Version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Outsourcing Guidelines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08-oct-02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CBFA outsourcing compliance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22 juni 2004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CBFA ppb 2005_2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10 maart 2005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Circulaire CBFA beheerspraktijken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22 juni 2004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Compliance be – outsourcing0004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11-05-2006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Compliance be – outsourcing0005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11-05-2006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Compliance be – outsourcing0006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15 november 2004</w:t>
            </w:r>
          </w:p>
        </w:tc>
      </w:tr>
    </w:tbl>
    <w:p>
      <w:pPr>
        <w:pStyle w:val="FWOutL3"/>
        <w:numPr>
          <w:ilvl w:val="0"/>
          <w:numId w:val="0"/>
        </w:numPr>
        <w:ind w:hanging="0" w:start="0"/>
        <w:rPr>
          <w:szCs w:val="22"/>
          <w:lang w:val="en-GB"/>
        </w:rPr>
      </w:pPr>
      <w:r>
        <w:rPr>
          <w:szCs w:val="22"/>
          <w:lang w:val="en-GB"/>
        </w:rPr>
      </w:r>
    </w:p>
    <w:p>
      <w:pPr>
        <w:pStyle w:val="Heading3Numbered"/>
        <w:numPr>
          <w:ilvl w:val="2"/>
          <w:numId w:val="2"/>
        </w:numPr>
        <w:ind w:hanging="0" w:start="0"/>
        <w:rPr>
          <w:sz w:val="22"/>
          <w:szCs w:val="22"/>
          <w:lang w:val="fr-FR"/>
        </w:rPr>
      </w:pPr>
      <w:bookmarkStart w:id="14" w:name="__RefHeading___Toc150662373"/>
      <w:bookmarkEnd w:id="14"/>
      <w:r>
        <w:rPr/>
        <w:t>Service Level Agreement</w:t>
      </w:r>
    </w:p>
    <w:tbl>
      <w:tblPr>
        <w:tblW w:w="69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64"/>
        <w:gridCol w:w="2684"/>
      </w:tblGrid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BodyText"/>
              <w:spacing w:before="0" w:after="120"/>
              <w:ind w:start="113" w:end="0"/>
              <w:rPr>
                <w:b/>
                <w:bCs/>
                <w:szCs w:val="22"/>
                <w:lang w:val="en-GB"/>
              </w:rPr>
            </w:pPr>
            <w:r>
              <w:rPr>
                <w:b/>
                <w:bCs/>
                <w:szCs w:val="22"/>
                <w:lang w:val="en-GB"/>
              </w:rPr>
              <w:t>Policy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BodyText"/>
              <w:spacing w:before="0" w:after="120"/>
              <w:ind w:start="113" w:end="0"/>
              <w:rPr>
                <w:b/>
                <w:bCs/>
                <w:szCs w:val="22"/>
                <w:lang w:val="en-GB"/>
              </w:rPr>
            </w:pPr>
            <w:r>
              <w:rPr>
                <w:b/>
                <w:bCs/>
                <w:szCs w:val="22"/>
                <w:lang w:val="en-GB"/>
              </w:rPr>
              <w:t>Date/Version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EuroBank Service Level Agreement Framework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26-may-03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 xml:space="preserve">EuroBank Service Level Agreement Template 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26-may-03</w:t>
            </w:r>
          </w:p>
        </w:tc>
      </w:tr>
    </w:tbl>
    <w:p>
      <w:pPr>
        <w:pStyle w:val="FWOutL3"/>
        <w:numPr>
          <w:ilvl w:val="0"/>
          <w:numId w:val="0"/>
        </w:numPr>
        <w:ind w:hanging="0" w:start="0"/>
        <w:rPr>
          <w:szCs w:val="22"/>
          <w:lang w:val="en-GB"/>
        </w:rPr>
      </w:pPr>
      <w:r>
        <w:rPr>
          <w:szCs w:val="22"/>
          <w:lang w:val="en-GB"/>
        </w:rPr>
      </w:r>
    </w:p>
    <w:p>
      <w:pPr>
        <w:pStyle w:val="Heading3Numbered"/>
        <w:numPr>
          <w:ilvl w:val="2"/>
          <w:numId w:val="2"/>
        </w:numPr>
        <w:ind w:hanging="0" w:start="0"/>
        <w:rPr>
          <w:sz w:val="22"/>
          <w:szCs w:val="22"/>
          <w:lang w:val="fr-FR"/>
        </w:rPr>
      </w:pPr>
      <w:bookmarkStart w:id="15" w:name="__RefHeading___Toc150662374"/>
      <w:r>
        <w:rPr/>
        <w:t>Voice</w:t>
      </w:r>
      <w:bookmarkEnd w:id="15"/>
      <w:r>
        <w:rPr/>
        <w:t xml:space="preserve"> </w:t>
      </w:r>
    </w:p>
    <w:tbl>
      <w:tblPr>
        <w:tblW w:w="69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64"/>
        <w:gridCol w:w="2684"/>
      </w:tblGrid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BodyText"/>
              <w:spacing w:before="0" w:after="120"/>
              <w:ind w:start="113" w:end="0"/>
              <w:rPr>
                <w:b/>
                <w:bCs/>
                <w:szCs w:val="22"/>
                <w:lang w:val="en-GB"/>
              </w:rPr>
            </w:pPr>
            <w:r>
              <w:rPr>
                <w:b/>
                <w:bCs/>
                <w:szCs w:val="22"/>
                <w:lang w:val="en-GB"/>
              </w:rPr>
              <w:t>Policy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BodyText"/>
              <w:spacing w:before="0" w:after="120"/>
              <w:ind w:start="113" w:end="0"/>
              <w:rPr>
                <w:b/>
                <w:bCs/>
                <w:szCs w:val="22"/>
                <w:lang w:val="en-GB"/>
              </w:rPr>
            </w:pPr>
            <w:r>
              <w:rPr>
                <w:b/>
                <w:bCs/>
                <w:szCs w:val="22"/>
                <w:lang w:val="en-GB"/>
              </w:rPr>
              <w:t>Date/Version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Regeling monitoring voice logging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 maart 2006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nl-NL"/>
              </w:rPr>
            </w:pPr>
            <w:r>
              <w:rPr>
                <w:szCs w:val="22"/>
                <w:lang w:val="nl-NL"/>
              </w:rPr>
              <w:t>Brief medewerkers monitoring voice logging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 maart 2006</w:t>
            </w:r>
          </w:p>
        </w:tc>
      </w:tr>
      <w:tr>
        <w:trPr/>
        <w:tc>
          <w:tcPr>
            <w:tcW w:w="42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nl-NL"/>
              </w:rPr>
            </w:pPr>
            <w:r>
              <w:rPr>
                <w:szCs w:val="22"/>
                <w:lang w:val="nl-NL"/>
              </w:rPr>
              <w:t>Regeling monitoring voice logging effecten dienstverlening EuroBank Bank</w:t>
            </w:r>
          </w:p>
        </w:tc>
        <w:tc>
          <w:tcPr>
            <w:tcW w:w="2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120"/>
              <w:ind w:start="113" w:end="0"/>
              <w:rPr>
                <w:szCs w:val="22"/>
                <w:lang w:val="en-GB"/>
              </w:rPr>
            </w:pPr>
            <w:r>
              <w:rPr>
                <w:szCs w:val="22"/>
                <w:lang w:val="en-GB"/>
              </w:rPr>
              <w:t>1 maart 2006</w:t>
            </w:r>
          </w:p>
        </w:tc>
      </w:tr>
    </w:tbl>
    <w:p>
      <w:pPr>
        <w:pStyle w:val="FWOutL3"/>
        <w:numPr>
          <w:ilvl w:val="0"/>
          <w:numId w:val="0"/>
        </w:numPr>
        <w:ind w:hanging="0" w:start="0"/>
        <w:rPr>
          <w:szCs w:val="22"/>
        </w:rPr>
      </w:pPr>
      <w:r>
        <w:rPr>
          <w:szCs w:val="22"/>
        </w:rPr>
      </w:r>
    </w:p>
    <w:p>
      <w:pPr>
        <w:pStyle w:val="FWOutL3"/>
        <w:numPr>
          <w:ilvl w:val="0"/>
          <w:numId w:val="0"/>
        </w:numPr>
        <w:ind w:hanging="0" w:start="0"/>
        <w:rPr>
          <w:szCs w:val="22"/>
        </w:rPr>
      </w:pPr>
      <w:r>
        <w:rPr>
          <w:szCs w:val="22"/>
        </w:rPr>
      </w:r>
    </w:p>
    <w:p>
      <w:pPr>
        <w:pStyle w:val="Normal"/>
        <w:spacing w:before="0" w:after="0"/>
        <w:rPr>
          <w:szCs w:val="22"/>
          <w:lang w:val="en-GB"/>
        </w:rPr>
      </w:pPr>
      <w:r>
        <w:rPr>
          <w:szCs w:val="22"/>
          <w:lang w:val="en-GB"/>
        </w:rPr>
      </w:r>
    </w:p>
    <w:p>
      <w:pPr>
        <w:pStyle w:val="Normal"/>
        <w:spacing w:before="0" w:after="0"/>
        <w:rPr>
          <w:szCs w:val="22"/>
          <w:lang w:val="en-GB"/>
        </w:rPr>
      </w:pPr>
      <w:r>
        <w:rPr>
          <w:szCs w:val="22"/>
          <w:lang w:val="en-GB"/>
        </w:rPr>
      </w:r>
    </w:p>
    <w:sectPr>
      <w:headerReference w:type="default" r:id="rId8"/>
      <w:headerReference w:type="first" r:id="rId9"/>
      <w:footerReference w:type="default" r:id="rId10"/>
      <w:footerReference w:type="first" r:id="rId11"/>
      <w:type w:val="nextPage"/>
      <w:pgSz w:w="11906" w:h="16838"/>
      <w:pgMar w:left="1729" w:right="1729" w:gutter="0" w:header="720" w:top="776" w:footer="720" w:bottom="1094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 Bold">
    <w:altName w:val="Times New Roman"/>
    <w:charset w:val="00" w:characterSet="windows-1252"/>
    <w:family w:val="roman"/>
    <w:pitch w:val="default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120"/>
      <w:rPr>
        <w:sz w:val="16"/>
        <w:szCs w:val="16"/>
      </w:rPr>
    </w:pPr>
    <w:r>
      <w:rPr>
        <w:sz w:val="16"/>
        <w:szCs w:val="16"/>
      </w:rPr>
      <w:t>Ops&amp;IT Banking Confidential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640"/>
        <w:tab w:val="left" w:pos="4320" w:leader="none"/>
        <w:tab w:val="left" w:pos="7560" w:leader="none"/>
      </w:tabs>
      <w:spacing w:before="120" w:after="120"/>
      <w:rPr/>
    </w:pPr>
    <w:r>
      <w:rPr>
        <w:sz w:val="16"/>
        <w:szCs w:val="16"/>
      </w:rPr>
      <w:t>Ops&amp;IT Banking Confidential</w:t>
      <w:tab/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i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-</w:t>
      <w:tab/>
      <w:t>30/11/2006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640"/>
        <w:tab w:val="left" w:pos="4320" w:leader="none"/>
        <w:tab w:val="left" w:pos="7560" w:leader="none"/>
      </w:tabs>
      <w:spacing w:before="120" w:after="120"/>
      <w:rPr>
        <w:sz w:val="16"/>
        <w:szCs w:val="16"/>
      </w:rPr>
    </w:pPr>
    <w:r>
      <w:rPr>
        <w:sz w:val="16"/>
        <w:szCs w:val="16"/>
      </w:rPr>
    </w:r>
  </w:p>
  <w:p>
    <w:pPr>
      <w:pStyle w:val="Footer"/>
      <w:tabs>
        <w:tab w:val="clear" w:pos="8640"/>
        <w:tab w:val="left" w:pos="4320" w:leader="none"/>
        <w:tab w:val="left" w:pos="7560" w:leader="none"/>
      </w:tabs>
      <w:spacing w:before="120" w:after="120"/>
      <w:rPr/>
    </w:pPr>
    <w:r>
      <w:rPr>
        <w:sz w:val="16"/>
        <w:szCs w:val="16"/>
      </w:rPr>
      <w:t>Ops&amp;IT Banking Confidential</w:t>
      <w:tab/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10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-</w:t>
      <w:tab/>
      <w:t>30/11/2006</w: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8640"/>
        <w:tab w:val="center" w:pos="4320" w:leader="none"/>
        <w:tab w:val="right" w:pos="8460" w:leader="none"/>
      </w:tabs>
      <w:spacing w:before="120" w:after="120"/>
      <w:rPr/>
    </w:pPr>
    <w:r>
      <w:rPr>
        <w:sz w:val="20"/>
      </w:rPr>
      <w:drawing>
        <wp:inline distT="0" distB="0" distL="0" distR="0">
          <wp:extent cx="965200" cy="284480"/>
          <wp:effectExtent l="0" t="0" r="0" b="0"/>
          <wp:docPr id="1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" t="-97" r="-28" b="-97"/>
                  <a:stretch>
                    <a:fillRect/>
                  </a:stretch>
                </pic:blipFill>
                <pic:spPr bwMode="auto">
                  <a:xfrm>
                    <a:off x="0" y="0"/>
                    <a:ext cx="965200" cy="284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sz w:val="20"/>
      </w:rPr>
      <w:tab/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FILENAME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Attachment 17-D (Policies) Final v1.4.doc</w:t>
    </w:r>
    <w:r>
      <w:rPr>
        <w:sz w:val="16"/>
        <w:szCs w:val="16"/>
      </w:rPr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8640"/>
        <w:tab w:val="center" w:pos="4320" w:leader="none"/>
        <w:tab w:val="right" w:pos="8460" w:leader="none"/>
      </w:tabs>
      <w:spacing w:before="120" w:after="120"/>
      <w:rPr/>
    </w:pPr>
    <w:r>
      <w:rPr>
        <w:sz w:val="20"/>
      </w:rPr>
      <w:drawing>
        <wp:inline distT="0" distB="0" distL="0" distR="0">
          <wp:extent cx="965200" cy="284480"/>
          <wp:effectExtent l="0" t="0" r="0" b="0"/>
          <wp:docPr id="2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" t="-97" r="-28" b="-97"/>
                  <a:stretch>
                    <a:fillRect/>
                  </a:stretch>
                </pic:blipFill>
                <pic:spPr bwMode="auto">
                  <a:xfrm>
                    <a:off x="0" y="0"/>
                    <a:ext cx="965200" cy="284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sz w:val="20"/>
      </w:rPr>
      <w:tab/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FILENAME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Attachment 17-D (Policies) Final v1.4.doc</w:t>
    </w:r>
    <w:r>
      <w:rPr>
        <w:sz w:val="16"/>
        <w:szCs w:val="16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8640"/>
        <w:tab w:val="center" w:pos="4320" w:leader="none"/>
        <w:tab w:val="right" w:pos="8460" w:leader="none"/>
      </w:tabs>
      <w:spacing w:before="120" w:after="120"/>
      <w:rPr/>
    </w:pPr>
    <w:r>
      <w:rPr>
        <w:sz w:val="20"/>
      </w:rPr>
      <w:drawing>
        <wp:inline distT="0" distB="0" distL="0" distR="0">
          <wp:extent cx="965200" cy="284480"/>
          <wp:effectExtent l="0" t="0" r="0" b="0"/>
          <wp:docPr id="3" name="Image1 Copy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 Copy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" t="-97" r="-28" b="-97"/>
                  <a:stretch>
                    <a:fillRect/>
                  </a:stretch>
                </pic:blipFill>
                <pic:spPr bwMode="auto">
                  <a:xfrm>
                    <a:off x="0" y="0"/>
                    <a:ext cx="965200" cy="284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sz w:val="20"/>
      </w:rPr>
      <w:tab/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FILENAME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Attachment 17-D (Policies) Final v1.4.doc</w:t>
    </w:r>
    <w:r>
      <w:rPr>
        <w:sz w:val="16"/>
        <w:szCs w:val="16"/>
      </w:rPr>
      <w:fldChar w:fldCharType="end"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720"/>
      </w:pPr>
      <w:rPr>
        <w:sz w:val="22"/>
        <w:i w:val="false"/>
        <w:b/>
        <w:szCs w:val="22"/>
        <w:rFonts w:ascii="Times New Roman Bold;Times New Roman" w:hAnsi="Times New Roman Bold;Times New Roman" w:cs="Times New Roman Bold;Times New Roman"/>
      </w:rPr>
    </w:lvl>
    <w:lvl w:ilvl="1">
      <w:start w:val="1"/>
      <w:numFmt w:val="decimal"/>
      <w:lvlText w:val="%1.%2"/>
      <w:lvlJc w:val="start"/>
      <w:pPr>
        <w:tabs>
          <w:tab w:val="num" w:pos="720"/>
        </w:tabs>
        <w:ind w:start="720" w:hanging="720"/>
      </w:pPr>
      <w:rPr>
        <w:sz w:val="22"/>
        <w:i w:val="false"/>
        <w:b/>
        <w:szCs w:val="22"/>
        <w:rFonts w:ascii="Times New Roman Bold;Times New Roman" w:hAnsi="Times New Roman Bold;Times New Roman" w:cs="Times New Roman Bold;Times New Roman"/>
      </w:rPr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  <w:rPr>
        <w:sz w:val="22"/>
        <w:i w:val="false"/>
        <w:b/>
        <w:szCs w:val="22"/>
        <w:rFonts w:ascii="Times New Roman" w:hAnsi="Times New Roman" w:cs="Times New Roman"/>
      </w:rPr>
    </w:lvl>
    <w:lvl w:ilvl="3">
      <w:start w:val="1"/>
      <w:numFmt w:val="decimal"/>
      <w:lvlText w:val="%1.%2.%3.%4"/>
      <w:lvlJc w:val="start"/>
      <w:pPr>
        <w:tabs>
          <w:tab w:val="num" w:pos="720"/>
        </w:tabs>
        <w:ind w:start="720" w:hanging="720"/>
      </w:pPr>
      <w:rPr>
        <w:sz w:val="24"/>
        <w:i w:val="false"/>
        <w:b/>
        <w:rFonts w:ascii="Times New Roman Bold;Times New Roman" w:hAnsi="Times New Roman Bold;Times New Roman" w:cs="Times New Roman Bold;Times New Roman"/>
      </w:rPr>
    </w:lvl>
    <w:lvl w:ilvl="4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5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6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7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8">
      <w:start w:val="1"/>
      <w:numFmt w:val="none"/>
      <w:suff w:val="nothing"/>
      <w:lvlText w:val="%8"/>
      <w:lvlJc w:val="start"/>
      <w:pPr>
        <w:tabs>
          <w:tab w:val="num" w:pos="4320"/>
        </w:tabs>
        <w:ind w:start="4320" w:hanging="144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0" w:hanging="0"/>
      </w:pPr>
      <w:rPr>
        <w:smallCaps w:val="false"/>
        <w:caps w:val="false"/>
        <w:sz w:val="22"/>
        <w:i w:val="false"/>
        <w:u w:val="none"/>
        <w:b/>
        <w:rFonts w:ascii="Times New Roman" w:hAnsi="Times New Roman" w:cs="Times New Roman"/>
        <w:color w:val="000000"/>
      </w:rPr>
    </w:lvl>
    <w:lvl w:ilvl="1">
      <w:start w:val="1"/>
      <w:numFmt w:val="decimal"/>
      <w:lvlText w:val="%1.%2"/>
      <w:lvlJc w:val="start"/>
      <w:pPr>
        <w:tabs>
          <w:tab w:val="num" w:pos="720"/>
        </w:tabs>
        <w:ind w:start="0" w:hanging="0"/>
      </w:pPr>
      <w:rPr>
        <w:smallCaps w:val="false"/>
        <w:caps w:val="false"/>
        <w:sz w:val="22"/>
        <w:i w:val="false"/>
        <w:u w:val="none"/>
        <w:b/>
        <w:rFonts w:ascii="Times New Roman" w:hAnsi="Times New Roman" w:cs="Times New Roman"/>
        <w:color w:val="000000"/>
      </w:rPr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0" w:hanging="0"/>
      </w:pPr>
      <w:rPr>
        <w:smallCaps w:val="false"/>
        <w:caps w:val="false"/>
        <w:sz w:val="22"/>
        <w:i w:val="false"/>
        <w:u w:val="none"/>
        <w:b w:val="false"/>
        <w:rFonts w:ascii="Times New Roman" w:hAnsi="Times New Roman" w:cs="Times New Roman"/>
        <w:color w:val="000000"/>
      </w:rPr>
    </w:lvl>
    <w:lvl w:ilvl="3">
      <w:start w:val="1"/>
      <w:numFmt w:val="lowerLetter"/>
      <w:lvlText w:val="(%4)"/>
      <w:lvlJc w:val="start"/>
      <w:pPr>
        <w:tabs>
          <w:tab w:val="num" w:pos="720"/>
        </w:tabs>
        <w:ind w:start="720" w:hanging="720"/>
      </w:pPr>
      <w:rPr>
        <w:smallCaps w:val="false"/>
        <w:caps w:val="false"/>
        <w:sz w:val="22"/>
        <w:i w:val="false"/>
        <w:u w:val="none"/>
        <w:b w:val="false"/>
        <w:rFonts w:ascii="Times New Roman" w:hAnsi="Times New Roman" w:cs="Times New Roman"/>
        <w:color w:val="000000"/>
      </w:rPr>
    </w:lvl>
    <w:lvl w:ilvl="4">
      <w:start w:val="1"/>
      <w:numFmt w:val="lowerRoman"/>
      <w:lvlText w:val="(%5)"/>
      <w:lvlJc w:val="end"/>
      <w:pPr>
        <w:tabs>
          <w:tab w:val="num" w:pos="1440"/>
        </w:tabs>
        <w:ind w:start="1440" w:hanging="216"/>
      </w:pPr>
      <w:rPr>
        <w:smallCaps w:val="false"/>
        <w:caps w:val="false"/>
        <w:sz w:val="22"/>
        <w:i w:val="false"/>
        <w:u w:val="none"/>
        <w:b w:val="false"/>
        <w:rFonts w:ascii="Times New Roman" w:hAnsi="Times New Roman" w:cs="Times New Roman"/>
        <w:color w:val="000000"/>
      </w:rPr>
    </w:lvl>
    <w:lvl w:ilvl="5">
      <w:start w:val="1"/>
      <w:numFmt w:val="upperLetter"/>
      <w:lvlText w:val="(%6)"/>
      <w:lvlJc w:val="start"/>
      <w:pPr>
        <w:tabs>
          <w:tab w:val="num" w:pos="2160"/>
        </w:tabs>
        <w:ind w:start="2160" w:hanging="720"/>
      </w:pPr>
      <w:rPr>
        <w:smallCaps w:val="false"/>
        <w:caps w:val="false"/>
        <w:sz w:val="22"/>
        <w:i w:val="false"/>
        <w:u w:val="none"/>
        <w:b w:val="false"/>
        <w:rFonts w:ascii="Times New Roman" w:hAnsi="Times New Roman" w:cs="Times New Roman"/>
        <w:color w:val="000000"/>
      </w:rPr>
    </w:lvl>
    <w:lvl w:ilvl="6">
      <w:start w:val="1"/>
      <w:numFmt w:val="upperRoman"/>
      <w:lvlText w:val="(%7)"/>
      <w:lvlJc w:val="end"/>
      <w:pPr>
        <w:tabs>
          <w:tab w:val="num" w:pos="2880"/>
        </w:tabs>
        <w:ind w:start="2880" w:hanging="216"/>
      </w:pPr>
      <w:rPr>
        <w:smallCaps w:val="false"/>
        <w:caps w:val="false"/>
        <w:sz w:val="22"/>
        <w:i w:val="false"/>
        <w:u w:val="none"/>
        <w:b w:val="false"/>
        <w:rFonts w:ascii="Times New Roman" w:hAnsi="Times New Roman" w:cs="Times New Roman"/>
        <w:color w:val="000000"/>
      </w:rPr>
    </w:lvl>
    <w:lvl w:ilvl="7">
      <w:start w:val="27"/>
      <w:numFmt w:val="lowerLetter"/>
      <w:lvlText w:val="(%8)"/>
      <w:lvlJc w:val="start"/>
      <w:pPr>
        <w:tabs>
          <w:tab w:val="num" w:pos="3600"/>
        </w:tabs>
        <w:ind w:start="3600" w:hanging="720"/>
      </w:pPr>
      <w:rPr>
        <w:smallCaps w:val="false"/>
        <w:caps w:val="false"/>
        <w:sz w:val="22"/>
        <w:i w:val="false"/>
        <w:u w:val="none"/>
        <w:b w:val="false"/>
        <w:rFonts w:ascii="Times New Roman" w:hAnsi="Times New Roman" w:cs="Times New Roman"/>
        <w:color w:val="000000"/>
      </w:rPr>
    </w:lvl>
    <w:lvl w:ilvl="8">
      <w:start w:val="1"/>
      <w:numFmt w:val="decimal"/>
      <w:lvlText w:val="(%9)"/>
      <w:lvlJc w:val="start"/>
      <w:pPr>
        <w:tabs>
          <w:tab w:val="num" w:pos="4320"/>
        </w:tabs>
        <w:ind w:start="4320" w:hanging="720"/>
      </w:pPr>
      <w:rPr>
        <w:smallCaps w:val="false"/>
        <w:caps w:val="false"/>
        <w:sz w:val="22"/>
        <w:i w:val="false"/>
        <w:u w:val="none"/>
        <w:b w:val="false"/>
        <w:rFonts w:ascii="Times New Roman" w:hAnsi="Times New Roman" w:cs="Times New Roman"/>
        <w:color w:val="000000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  <w:rPr>
        <w:sz w:val="22"/>
        <w:i w:val="false"/>
        <w:b w:val="false"/>
        <w:rFonts w:ascii="Times New Roman" w:hAnsi="Times New Roman" w:cs="Times New Roman"/>
        <w:color w:val="000000"/>
      </w:rPr>
    </w:lvl>
    <w:lvl w:ilvl="1">
      <w:start w:val="1"/>
      <w:numFmt w:val="decimal"/>
      <w:lvlText w:val="%1.%2."/>
      <w:lvlJc w:val="start"/>
      <w:pPr>
        <w:tabs>
          <w:tab w:val="num" w:pos="1728"/>
        </w:tabs>
        <w:ind w:start="1728" w:hanging="619"/>
      </w:pPr>
      <w:rPr>
        <w:sz w:val="22"/>
        <w:i w:val="false"/>
        <w:b w:val="false"/>
        <w:rFonts w:ascii="Times New Roman" w:hAnsi="Times New Roman" w:cs="Times New Roman"/>
      </w:rPr>
    </w:lvl>
    <w:lvl w:ilvl="2">
      <w:start w:val="1"/>
      <w:numFmt w:val="decimal"/>
      <w:lvlText w:val="%1.%2.%3."/>
      <w:lvlJc w:val="start"/>
      <w:pPr>
        <w:tabs>
          <w:tab w:val="num" w:pos="2016"/>
        </w:tabs>
        <w:ind w:start="2016" w:hanging="878"/>
      </w:pPr>
      <w:rPr>
        <w:sz w:val="22"/>
        <w:i w:val="false"/>
        <w:b w:val="false"/>
        <w:rFonts w:ascii="Times New Roman" w:hAnsi="Times New Roman" w:cs="Times New Roman"/>
      </w:rPr>
    </w:lvl>
    <w:lvl w:ilvl="3">
      <w:start w:val="1"/>
      <w:numFmt w:val="decimal"/>
      <w:lvlText w:val="%1.%2.%3.%4."/>
      <w:lvlJc w:val="start"/>
      <w:pPr>
        <w:tabs>
          <w:tab w:val="num" w:pos="2304"/>
        </w:tabs>
        <w:ind w:start="2304" w:hanging="1138"/>
      </w:pPr>
      <w:rPr>
        <w:sz w:val="22"/>
        <w:i w:val="false"/>
        <w:b w:val="false"/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sz w:val="22"/>
        <w:i w:val="false"/>
        <w:b w:val="false"/>
        <w:rFonts w:ascii="Times New Roman" w:hAnsi="Times New Roman" w:cs="Times New Roman"/>
        <w:color w:val="000000"/>
      </w:rPr>
    </w:lvl>
    <w:lvl w:ilvl="1">
      <w:start w:val="1"/>
      <w:numFmt w:val="decimal"/>
      <w:lvlText w:val="%1.%2."/>
      <w:lvlJc w:val="start"/>
      <w:pPr>
        <w:tabs>
          <w:tab w:val="num" w:pos="1008"/>
        </w:tabs>
        <w:ind w:start="1008" w:hanging="619"/>
      </w:pPr>
      <w:rPr>
        <w:sz w:val="22"/>
        <w:i w:val="false"/>
        <w:b w:val="false"/>
        <w:rFonts w:ascii="Times New Roman" w:hAnsi="Times New Roman" w:cs="Times New Roman"/>
      </w:rPr>
    </w:lvl>
    <w:lvl w:ilvl="2">
      <w:start w:val="1"/>
      <w:numFmt w:val="decimal"/>
      <w:lvlText w:val="%1.%2.%3."/>
      <w:lvlJc w:val="start"/>
      <w:pPr>
        <w:tabs>
          <w:tab w:val="num" w:pos="1296"/>
        </w:tabs>
        <w:ind w:start="1296" w:hanging="878"/>
      </w:pPr>
      <w:rPr>
        <w:sz w:val="22"/>
        <w:i w:val="false"/>
        <w:b w:val="false"/>
        <w:rFonts w:ascii="Times New Roman" w:hAnsi="Times New Roman" w:cs="Times New Roman"/>
      </w:rPr>
    </w:lvl>
    <w:lvl w:ilvl="3">
      <w:start w:val="1"/>
      <w:numFmt w:val="decimal"/>
      <w:lvlText w:val="%1.%2.%3.%4."/>
      <w:lvlJc w:val="start"/>
      <w:pPr>
        <w:tabs>
          <w:tab w:val="num" w:pos="1440"/>
        </w:tabs>
        <w:ind w:start="1440" w:hanging="994"/>
      </w:pPr>
      <w:rPr>
        <w:sz w:val="22"/>
        <w:i w:val="false"/>
        <w:b w:val="false"/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120" w:after="120"/>
    </w:pPr>
    <w:rPr>
      <w:rFonts w:ascii="Times New Roman" w:hAnsi="Times New Roman" w:eastAsia="Times New Roman" w:cs="Times New Roman"/>
      <w:color w:val="auto"/>
      <w:sz w:val="22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tabs>
        <w:tab w:val="clear" w:pos="720"/>
        <w:tab w:val="left" w:pos="360" w:leader="none"/>
      </w:tabs>
      <w:spacing w:before="240" w:after="240"/>
      <w:outlineLvl w:val="0"/>
    </w:pPr>
    <w:rPr>
      <w:rFonts w:ascii="Times New Roman Bold;Times New Roman" w:hAnsi="Times New Roman Bold;Times New Roman" w:cs="Arial"/>
      <w:b/>
      <w:bCs/>
      <w:caps/>
      <w:kern w:val="2"/>
      <w:sz w:val="28"/>
      <w:szCs w:val="32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outlineLvl w:val="1"/>
    </w:pPr>
    <w:rPr>
      <w:bCs w:val="false"/>
      <w:iCs/>
      <w:caps w:val="false"/>
      <w:smallCaps w:val="false"/>
      <w:szCs w:val="28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>
      <w:bCs/>
      <w:sz w:val="24"/>
      <w:szCs w:val="26"/>
    </w:rPr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>
      <w:bCs w:val="false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tabs>
        <w:tab w:val="clear" w:pos="720"/>
        <w:tab w:val="left" w:pos="360" w:leader="none"/>
      </w:tabs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tabs>
        <w:tab w:val="clear" w:pos="720"/>
        <w:tab w:val="left" w:pos="360" w:leader="none"/>
      </w:tabs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tabs>
        <w:tab w:val="clear" w:pos="720"/>
        <w:tab w:val="left" w:pos="360" w:leader="none"/>
      </w:tabs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tabs>
        <w:tab w:val="clear" w:pos="720"/>
        <w:tab w:val="left" w:pos="360" w:leader="none"/>
      </w:tabs>
      <w:spacing w:before="240" w:after="60"/>
      <w:outlineLvl w:val="7"/>
    </w:pPr>
    <w:rPr>
      <w:i/>
      <w:iCs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tabs>
        <w:tab w:val="clear" w:pos="720"/>
        <w:tab w:val="left" w:pos="360" w:leader="none"/>
      </w:tabs>
      <w:spacing w:before="240" w:after="60"/>
      <w:outlineLvl w:val="8"/>
    </w:pPr>
    <w:rPr>
      <w:rFonts w:ascii="Arial" w:hAnsi="Arial" w:cs="Arial"/>
      <w:szCs w:val="22"/>
    </w:rPr>
  </w:style>
  <w:style w:type="character" w:styleId="WW8Num1z0">
    <w:name w:val="WW8Num1z0"/>
    <w:qFormat/>
    <w:rPr>
      <w:rFonts w:ascii="Times New Roman Bold;Times New Roman" w:hAnsi="Times New Roman Bold;Times New Roman" w:cs="Times New Roman Bold;Times New Roman"/>
      <w:b/>
      <w:i w:val="false"/>
      <w:sz w:val="22"/>
      <w:szCs w:val="22"/>
    </w:rPr>
  </w:style>
  <w:style w:type="character" w:styleId="WW8Num1z2">
    <w:name w:val="WW8Num1z2"/>
    <w:qFormat/>
    <w:rPr>
      <w:rFonts w:ascii="Times New Roman" w:hAnsi="Times New Roman" w:cs="Times New Roman"/>
      <w:b/>
      <w:i w:val="false"/>
      <w:sz w:val="22"/>
      <w:szCs w:val="22"/>
    </w:rPr>
  </w:style>
  <w:style w:type="character" w:styleId="WW8Num1z3">
    <w:name w:val="WW8Num1z3"/>
    <w:qFormat/>
    <w:rPr>
      <w:rFonts w:ascii="Times New Roman Bold;Times New Roman" w:hAnsi="Times New Roman Bold;Times New Roman" w:cs="Times New Roman Bold;Times New Roman"/>
      <w:b/>
      <w:i w:val="false"/>
      <w:sz w:val="24"/>
    </w:rPr>
  </w:style>
  <w:style w:type="character" w:styleId="WW8Num1z4">
    <w:name w:val="WW8Num1z4"/>
    <w:qFormat/>
    <w:rPr>
      <w:rFonts w:ascii="Times New Roman" w:hAnsi="Times New Roman" w:cs="Times New Roman"/>
      <w:b w:val="false"/>
      <w:i w:val="false"/>
      <w:sz w:val="22"/>
    </w:rPr>
  </w:style>
  <w:style w:type="character" w:styleId="WW8Num1z8">
    <w:name w:val="WW8Num1z8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Times New Roman" w:hAnsi="Times New Roman" w:cs="Times New Roman"/>
      <w:b/>
      <w:i w:val="false"/>
      <w:caps w:val="false"/>
      <w:smallCaps w:val="false"/>
      <w:color w:val="000000"/>
      <w:sz w:val="22"/>
      <w:u w:val="none"/>
    </w:rPr>
  </w:style>
  <w:style w:type="character" w:styleId="WW8Num4z2">
    <w:name w:val="WW8Num4z2"/>
    <w:qFormat/>
    <w:rPr>
      <w:rFonts w:ascii="Times New Roman" w:hAnsi="Times New Roman" w:cs="Times New Roman"/>
      <w:b w:val="false"/>
      <w:i w:val="false"/>
      <w:caps w:val="false"/>
      <w:smallCaps w:val="false"/>
      <w:color w:val="000000"/>
      <w:sz w:val="22"/>
      <w:u w:val="none"/>
    </w:rPr>
  </w:style>
  <w:style w:type="character" w:styleId="WW8Num5z0">
    <w:name w:val="WW8Num5z0"/>
    <w:qFormat/>
    <w:rPr>
      <w:rFonts w:ascii="Times New Roman" w:hAnsi="Times New Roman" w:cs="Times New Roman"/>
      <w:b w:val="false"/>
      <w:i w:val="false"/>
      <w:color w:val="000000"/>
      <w:sz w:val="22"/>
    </w:rPr>
  </w:style>
  <w:style w:type="character" w:styleId="WW8Num5z1">
    <w:name w:val="WW8Num5z1"/>
    <w:qFormat/>
    <w:rPr>
      <w:rFonts w:ascii="Times New Roman" w:hAnsi="Times New Roman" w:cs="Times New Roman"/>
      <w:b w:val="false"/>
      <w:i w:val="false"/>
      <w:sz w:val="22"/>
    </w:rPr>
  </w:style>
  <w:style w:type="character" w:styleId="WW8Num5z4">
    <w:name w:val="WW8Num5z4"/>
    <w:qFormat/>
    <w:rPr/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color w:val="000000"/>
      <w:sz w:val="22"/>
    </w:rPr>
  </w:style>
  <w:style w:type="character" w:styleId="WW8Num6z1">
    <w:name w:val="WW8Num6z1"/>
    <w:qFormat/>
    <w:rPr>
      <w:rFonts w:ascii="Times New Roman" w:hAnsi="Times New Roman" w:cs="Times New Roman"/>
      <w:b w:val="false"/>
      <w:i w:val="false"/>
      <w:sz w:val="22"/>
    </w:rPr>
  </w:style>
  <w:style w:type="character" w:styleId="WW8Num6z4">
    <w:name w:val="WW8Num6z4"/>
    <w:qFormat/>
    <w:rPr/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CharChar">
    <w:name w:val=" Char Char"/>
    <w:basedOn w:val="DefaultParagraphFont"/>
    <w:qFormat/>
    <w:rPr>
      <w:rFonts w:ascii="Times New Roman Bold;Times New Roman" w:hAnsi="Times New Roman Bold;Times New Roman" w:cs="Arial"/>
      <w:b/>
      <w:iCs/>
      <w:kern w:val="2"/>
      <w:sz w:val="28"/>
      <w:szCs w:val="28"/>
      <w:lang w:val="en-US" w:bidi="ar-SA"/>
    </w:rPr>
  </w:style>
  <w:style w:type="character" w:styleId="CommentReference">
    <w:name w:val="Comment Reference"/>
    <w:basedOn w:val="DefaultParagraphFont"/>
    <w:qFormat/>
    <w:rPr>
      <w:sz w:val="16"/>
      <w:szCs w:val="16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spacing w:before="240" w:after="120"/>
      <w:jc w:val="center"/>
    </w:pPr>
    <w:rPr>
      <w:b/>
      <w:caps/>
      <w:sz w:val="28"/>
    </w:rPr>
  </w:style>
  <w:style w:type="paragraph" w:styleId="BodyText">
    <w:name w:val="Body Text"/>
    <w:basedOn w:val="Normal"/>
    <w:pPr>
      <w:spacing w:before="360" w:after="360"/>
      <w:ind w:hanging="0" w:start="720" w:end="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basedOn w:val="BodyText"/>
    <w:pPr>
      <w:ind w:hanging="0" w:start="108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left" w:pos="4320" w:leader="none"/>
        <w:tab w:val="right" w:pos="8640" w:leader="none"/>
      </w:tabs>
    </w:pPr>
    <w:rPr>
      <w:sz w:val="12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sz w:val="18"/>
    </w:rPr>
  </w:style>
  <w:style w:type="paragraph" w:styleId="HeadingTable">
    <w:name w:val="Heading Table"/>
    <w:basedOn w:val="Normal"/>
    <w:qFormat/>
    <w:pPr>
      <w:jc w:val="center"/>
    </w:pPr>
    <w:rPr>
      <w:rFonts w:ascii="Times New Roman Bold;Times New Roman" w:hAnsi="Times New Roman Bold;Times New Roman" w:cs="Times New Roman Bold;Times New Roman"/>
      <w:b/>
    </w:rPr>
  </w:style>
  <w:style w:type="paragraph" w:styleId="Title">
    <w:name w:val="Title"/>
    <w:basedOn w:val="Normal"/>
    <w:next w:val="BodyText"/>
    <w:qFormat/>
    <w:pPr>
      <w:spacing w:before="240" w:after="240"/>
      <w:jc w:val="center"/>
      <w:outlineLvl w:val="0"/>
    </w:pPr>
    <w:rPr>
      <w:rFonts w:cs="Arial"/>
      <w:b/>
      <w:bCs/>
      <w:caps/>
      <w:kern w:val="2"/>
      <w:sz w:val="32"/>
      <w:szCs w:val="32"/>
    </w:rPr>
  </w:style>
  <w:style w:type="paragraph" w:styleId="TOC1">
    <w:name w:val="toc 1"/>
    <w:basedOn w:val="Normal"/>
    <w:next w:val="Normal"/>
    <w:pPr/>
    <w:rPr>
      <w:b/>
      <w:sz w:val="24"/>
    </w:rPr>
  </w:style>
  <w:style w:type="paragraph" w:styleId="TOC2">
    <w:name w:val="toc 2"/>
    <w:basedOn w:val="Normal"/>
    <w:next w:val="Normal"/>
    <w:pPr>
      <w:ind w:hanging="0" w:start="220" w:end="0"/>
    </w:pPr>
    <w:rPr>
      <w:b/>
    </w:rPr>
  </w:style>
  <w:style w:type="paragraph" w:styleId="TOC3">
    <w:name w:val="toc 3"/>
    <w:basedOn w:val="Normal"/>
    <w:next w:val="Normal"/>
    <w:pPr>
      <w:ind w:hanging="0" w:start="440" w:end="0"/>
    </w:pPr>
    <w:rPr/>
  </w:style>
  <w:style w:type="paragraph" w:styleId="TOC4">
    <w:name w:val="toc 4"/>
    <w:basedOn w:val="Normal"/>
    <w:next w:val="Normal"/>
    <w:pPr>
      <w:ind w:hanging="0" w:start="660" w:end="0"/>
    </w:pPr>
    <w:rPr/>
  </w:style>
  <w:style w:type="paragraph" w:styleId="Subtitle">
    <w:name w:val="Subtitle"/>
    <w:basedOn w:val="Normal"/>
    <w:next w:val="BodyText"/>
    <w:qFormat/>
    <w:pPr>
      <w:spacing w:before="240" w:after="240"/>
    </w:pPr>
    <w:rPr>
      <w:rFonts w:ascii="Times New Roman Bold;Times New Roman" w:hAnsi="Times New Roman Bold;Times New Roman" w:cs="Arial"/>
      <w:b/>
      <w:sz w:val="28"/>
    </w:rPr>
  </w:style>
  <w:style w:type="paragraph" w:styleId="TOC5">
    <w:name w:val="toc 5"/>
    <w:basedOn w:val="Normal"/>
    <w:next w:val="Normal"/>
    <w:pPr>
      <w:ind w:hanging="0" w:start="880" w:end="0"/>
    </w:pPr>
    <w:rPr/>
  </w:style>
  <w:style w:type="paragraph" w:styleId="TOC6">
    <w:name w:val="toc 6"/>
    <w:basedOn w:val="Normal"/>
    <w:next w:val="Normal"/>
    <w:pPr>
      <w:ind w:hanging="0" w:start="1100" w:end="0"/>
    </w:pPr>
    <w:rPr/>
  </w:style>
  <w:style w:type="paragraph" w:styleId="TOC7">
    <w:name w:val="toc 7"/>
    <w:basedOn w:val="Normal"/>
    <w:next w:val="Normal"/>
    <w:pPr>
      <w:ind w:hanging="0" w:start="1320" w:end="0"/>
    </w:pPr>
    <w:rPr/>
  </w:style>
  <w:style w:type="paragraph" w:styleId="TOC8">
    <w:name w:val="toc 8"/>
    <w:basedOn w:val="Normal"/>
    <w:next w:val="Normal"/>
    <w:pPr>
      <w:ind w:hanging="0" w:start="1540" w:end="0"/>
    </w:pPr>
    <w:rPr/>
  </w:style>
  <w:style w:type="paragraph" w:styleId="TOC9">
    <w:name w:val="toc 9"/>
    <w:basedOn w:val="Normal"/>
    <w:next w:val="Normal"/>
    <w:pPr>
      <w:ind w:hanging="0" w:start="1760" w:end="0"/>
    </w:pPr>
    <w:rPr/>
  </w:style>
  <w:style w:type="paragraph" w:styleId="Bullet1BodyText">
    <w:name w:val="Bullet 1 Body Text"/>
    <w:basedOn w:val="Normal"/>
    <w:qFormat/>
    <w:pPr>
      <w:numPr>
        <w:ilvl w:val="0"/>
        <w:numId w:val="3"/>
      </w:numPr>
      <w:spacing w:before="240" w:after="240"/>
    </w:pPr>
    <w:rPr/>
  </w:style>
  <w:style w:type="paragraph" w:styleId="TableLevel1Numbered">
    <w:name w:val="Table Level 1 Numbered"/>
    <w:basedOn w:val="Normal"/>
    <w:qFormat/>
    <w:pPr/>
    <w:rPr>
      <w:bCs/>
    </w:rPr>
  </w:style>
  <w:style w:type="paragraph" w:styleId="Bullet1Table">
    <w:name w:val="Bullet 1 Table"/>
    <w:basedOn w:val="Normal"/>
    <w:qFormat/>
    <w:pPr>
      <w:numPr>
        <w:ilvl w:val="0"/>
        <w:numId w:val="7"/>
      </w:numPr>
    </w:pPr>
    <w:rPr/>
  </w:style>
  <w:style w:type="paragraph" w:styleId="Heading1Numbered">
    <w:name w:val="Heading 1 Numbered"/>
    <w:basedOn w:val="Normal"/>
    <w:qFormat/>
    <w:pPr>
      <w:numPr>
        <w:ilvl w:val="0"/>
        <w:numId w:val="2"/>
      </w:numPr>
      <w:spacing w:before="240" w:after="240"/>
    </w:pPr>
    <w:rPr>
      <w:rFonts w:ascii="Times New Roman Bold;Times New Roman" w:hAnsi="Times New Roman Bold;Times New Roman" w:cs="Times New Roman Bold;Times New Roman"/>
      <w:b/>
      <w:caps/>
      <w:sz w:val="28"/>
    </w:rPr>
  </w:style>
  <w:style w:type="paragraph" w:styleId="Heading2Numbered">
    <w:name w:val="Heading 2 Numbered"/>
    <w:basedOn w:val="Normal"/>
    <w:qFormat/>
    <w:pPr>
      <w:numPr>
        <w:ilvl w:val="0"/>
        <w:numId w:val="2"/>
      </w:numPr>
      <w:spacing w:before="240" w:after="240"/>
    </w:pPr>
    <w:rPr>
      <w:rFonts w:ascii="Times New Roman Bold;Times New Roman" w:hAnsi="Times New Roman Bold;Times New Roman" w:cs="Times New Roman Bold;Times New Roman"/>
      <w:b/>
      <w:sz w:val="28"/>
    </w:rPr>
  </w:style>
  <w:style w:type="paragraph" w:styleId="Heading3Numbered">
    <w:name w:val="Heading 3 Numbered"/>
    <w:basedOn w:val="Normal"/>
    <w:qFormat/>
    <w:pPr>
      <w:numPr>
        <w:ilvl w:val="0"/>
        <w:numId w:val="2"/>
      </w:numPr>
      <w:spacing w:before="240" w:after="240"/>
    </w:pPr>
    <w:rPr>
      <w:rFonts w:ascii="Times New Roman Bold;Times New Roman" w:hAnsi="Times New Roman Bold;Times New Roman" w:cs="Times New Roman Bold;Times New Roman"/>
      <w:b/>
      <w:sz w:val="24"/>
    </w:rPr>
  </w:style>
  <w:style w:type="paragraph" w:styleId="Heading4Numbered">
    <w:name w:val="Heading 4 Numbered"/>
    <w:basedOn w:val="Normal"/>
    <w:qFormat/>
    <w:pPr>
      <w:numPr>
        <w:ilvl w:val="0"/>
        <w:numId w:val="2"/>
      </w:numPr>
      <w:spacing w:before="240" w:after="240"/>
    </w:pPr>
    <w:rPr>
      <w:rFonts w:ascii="Times New Roman Bold;Times New Roman" w:hAnsi="Times New Roman Bold;Times New Roman" w:cs="Times New Roman Bold;Times New Roman"/>
      <w:b/>
      <w:sz w:val="24"/>
    </w:rPr>
  </w:style>
  <w:style w:type="paragraph" w:styleId="TableText">
    <w:name w:val="Table Text"/>
    <w:basedOn w:val="Normal"/>
    <w:qFormat/>
    <w:pPr/>
    <w:rPr/>
  </w:style>
  <w:style w:type="paragraph" w:styleId="TableLevel2Numbered">
    <w:name w:val="Table Level 2 Numbered"/>
    <w:basedOn w:val="Normal"/>
    <w:qFormat/>
    <w:pPr>
      <w:numPr>
        <w:ilvl w:val="0"/>
        <w:numId w:val="6"/>
      </w:numPr>
    </w:pPr>
    <w:rPr>
      <w:bCs/>
    </w:rPr>
  </w:style>
  <w:style w:type="paragraph" w:styleId="TableLevel3Numbered">
    <w:name w:val="Table Level 3 Numbered"/>
    <w:basedOn w:val="Normal"/>
    <w:qFormat/>
    <w:pPr>
      <w:numPr>
        <w:ilvl w:val="0"/>
        <w:numId w:val="6"/>
      </w:numPr>
    </w:pPr>
    <w:rPr/>
  </w:style>
  <w:style w:type="paragraph" w:styleId="TableLevel4Numbered">
    <w:name w:val="Table Level 4 Numbered"/>
    <w:basedOn w:val="Normal"/>
    <w:qFormat/>
    <w:pPr>
      <w:numPr>
        <w:ilvl w:val="0"/>
        <w:numId w:val="6"/>
      </w:numPr>
    </w:pPr>
    <w:rPr/>
  </w:style>
  <w:style w:type="paragraph" w:styleId="TableLevel1Text">
    <w:name w:val="Table Level 1 Text"/>
    <w:basedOn w:val="BodyText"/>
    <w:qFormat/>
    <w:pPr/>
    <w:rPr>
      <w:iCs/>
    </w:rPr>
  </w:style>
  <w:style w:type="paragraph" w:styleId="TableLevel2Text">
    <w:name w:val="Table Level 2 Text"/>
    <w:basedOn w:val="BodyText"/>
    <w:qFormat/>
    <w:pPr>
      <w:ind w:hanging="0" w:start="1008" w:end="0"/>
    </w:pPr>
    <w:rPr/>
  </w:style>
  <w:style w:type="paragraph" w:styleId="TableLevel3Text">
    <w:name w:val="Table Level 3 Text"/>
    <w:basedOn w:val="BodyText"/>
    <w:qFormat/>
    <w:pPr>
      <w:ind w:hanging="0" w:start="1296" w:end="0"/>
    </w:pPr>
    <w:rPr/>
  </w:style>
  <w:style w:type="paragraph" w:styleId="TableLevel4Text">
    <w:name w:val="Table Level 4 Text"/>
    <w:basedOn w:val="BodyText"/>
    <w:qFormat/>
    <w:pPr>
      <w:ind w:hanging="0" w:start="1440" w:end="0"/>
    </w:pPr>
    <w:rPr/>
  </w:style>
  <w:style w:type="paragraph" w:styleId="BodyLevel1Numbered">
    <w:name w:val="Body Level 1 Numbered"/>
    <w:basedOn w:val="Normal"/>
    <w:qFormat/>
    <w:pPr>
      <w:numPr>
        <w:ilvl w:val="0"/>
        <w:numId w:val="5"/>
      </w:numPr>
      <w:spacing w:before="240" w:after="240"/>
    </w:pPr>
    <w:rPr/>
  </w:style>
  <w:style w:type="paragraph" w:styleId="BodyLevel2Numbered">
    <w:name w:val="Body Level 2 Numbered"/>
    <w:basedOn w:val="Normal"/>
    <w:qFormat/>
    <w:pPr>
      <w:numPr>
        <w:ilvl w:val="0"/>
        <w:numId w:val="5"/>
      </w:numPr>
      <w:spacing w:before="240" w:after="240"/>
    </w:pPr>
    <w:rPr/>
  </w:style>
  <w:style w:type="paragraph" w:styleId="BodyLevel3Numbered">
    <w:name w:val="Body Level 3 Numbered"/>
    <w:basedOn w:val="Normal"/>
    <w:qFormat/>
    <w:pPr>
      <w:numPr>
        <w:ilvl w:val="0"/>
        <w:numId w:val="5"/>
      </w:numPr>
      <w:spacing w:before="240" w:after="240"/>
    </w:pPr>
    <w:rPr/>
  </w:style>
  <w:style w:type="paragraph" w:styleId="BodyLevel4Numbered">
    <w:name w:val="Body Level 4 Numbered"/>
    <w:basedOn w:val="Normal"/>
    <w:qFormat/>
    <w:pPr>
      <w:numPr>
        <w:ilvl w:val="0"/>
        <w:numId w:val="5"/>
      </w:numPr>
      <w:spacing w:before="240" w:after="240"/>
    </w:pPr>
    <w:rPr/>
  </w:style>
  <w:style w:type="paragraph" w:styleId="BodyLevel1Text">
    <w:name w:val="Body Level 1 Text"/>
    <w:basedOn w:val="BodyText"/>
    <w:qFormat/>
    <w:pPr>
      <w:ind w:hanging="0" w:start="1440" w:end="0"/>
    </w:pPr>
    <w:rPr/>
  </w:style>
  <w:style w:type="paragraph" w:styleId="BodyLevel2Text">
    <w:name w:val="Body Level 2 Text"/>
    <w:basedOn w:val="BodyText"/>
    <w:qFormat/>
    <w:pPr>
      <w:ind w:hanging="0" w:start="1728" w:end="0"/>
    </w:pPr>
    <w:rPr/>
  </w:style>
  <w:style w:type="paragraph" w:styleId="BodyLevel3Text">
    <w:name w:val="Body Level 3 Text"/>
    <w:basedOn w:val="BodyText"/>
    <w:qFormat/>
    <w:pPr>
      <w:ind w:hanging="0" w:start="2016" w:end="0"/>
    </w:pPr>
    <w:rPr/>
  </w:style>
  <w:style w:type="paragraph" w:styleId="BodyLevel4Text">
    <w:name w:val="Body Level 4 Text"/>
    <w:basedOn w:val="BodyText"/>
    <w:qFormat/>
    <w:pPr>
      <w:ind w:hanging="0" w:start="2304" w:end="0"/>
    </w:pPr>
    <w:rPr/>
  </w:style>
  <w:style w:type="paragraph" w:styleId="Bullet1Level1">
    <w:name w:val="Bullet 1 Level 1"/>
    <w:basedOn w:val="Normal"/>
    <w:qFormat/>
    <w:pPr>
      <w:tabs>
        <w:tab w:val="clear" w:pos="720"/>
        <w:tab w:val="left" w:pos="1080" w:leader="none"/>
      </w:tabs>
      <w:ind w:hanging="360" w:start="1080" w:end="0"/>
    </w:pPr>
    <w:rPr/>
  </w:style>
  <w:style w:type="paragraph" w:styleId="FWOutL1">
    <w:name w:val="FWOut_L1"/>
    <w:basedOn w:val="Normal"/>
    <w:next w:val="FWOutL2"/>
    <w:qFormat/>
    <w:pPr>
      <w:keepNext w:val="true"/>
      <w:keepLines/>
      <w:numPr>
        <w:ilvl w:val="0"/>
        <w:numId w:val="4"/>
      </w:numPr>
      <w:spacing w:before="0" w:after="240"/>
      <w:jc w:val="center"/>
      <w:outlineLvl w:val="0"/>
    </w:pPr>
    <w:rPr>
      <w:b/>
      <w:caps/>
      <w:szCs w:val="20"/>
      <w:lang w:val="nl-NL"/>
    </w:rPr>
  </w:style>
  <w:style w:type="paragraph" w:styleId="FWOutL2">
    <w:name w:val="FWOut_L2"/>
    <w:basedOn w:val="FWOutL1"/>
    <w:qFormat/>
    <w:pPr>
      <w:numPr>
        <w:ilvl w:val="0"/>
        <w:numId w:val="4"/>
      </w:numPr>
      <w:jc w:val="start"/>
      <w:outlineLvl w:val="1"/>
    </w:pPr>
    <w:rPr>
      <w:caps w:val="false"/>
      <w:smallCaps w:val="false"/>
    </w:rPr>
  </w:style>
  <w:style w:type="paragraph" w:styleId="FWOutL3">
    <w:name w:val="FWOut_L3"/>
    <w:basedOn w:val="FWOutL2"/>
    <w:qFormat/>
    <w:pPr>
      <w:keepNext w:val="false"/>
      <w:keepLines w:val="false"/>
      <w:numPr>
        <w:ilvl w:val="0"/>
        <w:numId w:val="4"/>
      </w:numPr>
      <w:jc w:val="both"/>
      <w:outlineLvl w:val="9"/>
    </w:pPr>
    <w:rPr>
      <w:b w:val="false"/>
    </w:rPr>
  </w:style>
  <w:style w:type="paragraph" w:styleId="FWOutL4">
    <w:name w:val="FWOut_L4"/>
    <w:basedOn w:val="FWOutL3"/>
    <w:qFormat/>
    <w:pPr>
      <w:numPr>
        <w:ilvl w:val="0"/>
        <w:numId w:val="4"/>
      </w:numPr>
    </w:pPr>
    <w:rPr/>
  </w:style>
  <w:style w:type="paragraph" w:styleId="FWOutL5">
    <w:name w:val="FWOut_L5"/>
    <w:basedOn w:val="FWOutL4"/>
    <w:qFormat/>
    <w:pPr>
      <w:numPr>
        <w:ilvl w:val="0"/>
        <w:numId w:val="4"/>
      </w:numPr>
    </w:pPr>
    <w:rPr/>
  </w:style>
  <w:style w:type="paragraph" w:styleId="FWOutL6">
    <w:name w:val="FWOut_L6"/>
    <w:basedOn w:val="FWOutL5"/>
    <w:qFormat/>
    <w:pPr>
      <w:numPr>
        <w:ilvl w:val="0"/>
        <w:numId w:val="4"/>
      </w:numPr>
    </w:pPr>
    <w:rPr/>
  </w:style>
  <w:style w:type="paragraph" w:styleId="FWOutL7">
    <w:name w:val="FWOut_L7"/>
    <w:basedOn w:val="FWOutL6"/>
    <w:qFormat/>
    <w:pPr>
      <w:numPr>
        <w:ilvl w:val="0"/>
        <w:numId w:val="4"/>
      </w:numPr>
    </w:pPr>
    <w:rPr/>
  </w:style>
  <w:style w:type="paragraph" w:styleId="FWOutL8">
    <w:name w:val="FWOut_L8"/>
    <w:basedOn w:val="FWOutL7"/>
    <w:qFormat/>
    <w:pPr>
      <w:numPr>
        <w:ilvl w:val="0"/>
        <w:numId w:val="4"/>
      </w:numPr>
    </w:pPr>
    <w:rPr/>
  </w:style>
  <w:style w:type="paragraph" w:styleId="FWOutL9">
    <w:name w:val="FWOut_L9"/>
    <w:basedOn w:val="FWOutL8"/>
    <w:qFormat/>
    <w:pPr>
      <w:numPr>
        <w:ilvl w:val="0"/>
        <w:numId w:val="4"/>
      </w:numPr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2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2006-11-30T19:59:00Z</dcterms:created>
  <dc:creator> </dc:creator>
  <dc:description/>
  <cp:keywords/>
  <dc:language>en-US</dc:language>
  <cp:lastModifiedBy>Stuart Johnson</cp:lastModifiedBy>
  <cp:lastPrinted>2006-11-03T14:23:00Z</cp:lastPrinted>
  <dcterms:modified xsi:type="dcterms:W3CDTF">2006-11-30T20:01:00Z</dcterms:modified>
  <cp:revision>4</cp:revision>
  <dc:subject/>
  <dc:title> </dc:title>
</cp:coreProperties>
</file>