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Attachment 22-A</w:t>
      </w:r>
    </w:p>
    <w:p>
      <w:pPr>
        <w:pStyle w:val="Title"/>
        <w:rPr>
          <w:lang w:val="en-GB"/>
        </w:rPr>
      </w:pPr>
      <w:r>
        <w:rPr>
          <w:lang w:val="en-GB"/>
        </w:rPr>
      </w:r>
    </w:p>
    <w:p>
      <w:pPr>
        <w:pStyle w:val="Title"/>
        <w:rPr>
          <w:lang w:val="en-GB"/>
        </w:rPr>
      </w:pPr>
      <w:r>
        <w:rPr>
          <w:lang w:val="en-GB"/>
        </w:rPr>
        <w:t>Procedural Change Management Procedure</w:t>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rPr>
          <w:lang w:val="en-GB"/>
        </w:rPr>
      </w:pPr>
      <w:r>
        <w:rPr>
          <w:lang w:val="en-GB"/>
        </w:rPr>
      </w:r>
    </w:p>
    <w:p>
      <w:pPr>
        <w:pStyle w:val="Normal"/>
        <w:rPr>
          <w:lang w:val="en-GB"/>
        </w:rPr>
      </w:pPr>
      <w:r>
        <w:rPr>
          <w:lang w:val="en-GB"/>
        </w:rPr>
      </w:r>
    </w:p>
    <w:p>
      <w:pPr>
        <w:pStyle w:val="Title"/>
        <w:rPr/>
      </w:pPr>
      <w:r>
        <w:rPr/>
        <w:t>Table of Contents</w:t>
      </w:r>
    </w:p>
    <w:sdt>
      <w:sdtPr>
        <w:docPartObj>
          <w:docPartGallery w:val="Table of Contents"/>
          <w:docPartUnique w:val="true"/>
        </w:docPartObj>
      </w:sdtPr>
      <w:sdtContent>
        <w:p>
          <w:pPr>
            <w:pStyle w:val="TOC1"/>
            <w:tabs>
              <w:tab w:val="clear" w:pos="720"/>
              <w:tab w:val="left" w:pos="440" w:leader="none"/>
              <w:tab w:val="right" w:pos="8441" w:leader="dot"/>
            </w:tabs>
            <w:rPr>
              <w:b w:val="false"/>
              <w:sz w:val="18"/>
              <w:szCs w:val="18"/>
              <w:lang w:val="en-US" w:eastAsia="en-US"/>
            </w:rPr>
          </w:pPr>
          <w:r>
            <w:fldChar w:fldCharType="begin"/>
          </w:r>
          <w:r>
            <w:rPr>
              <w:sz w:val="18"/>
              <w:szCs w:val="18"/>
              <w:lang w:val="en-GB" w:eastAsia="en-US"/>
            </w:rPr>
            <w:instrText xml:space="preserve"> TOC \t "Heading 1 Numbered,1,Heading 2 Numbered,2" </w:instrText>
          </w:r>
          <w:r>
            <w:rPr>
              <w:sz w:val="18"/>
              <w:szCs w:val="18"/>
              <w:lang w:val="en-GB" w:eastAsia="en-US"/>
            </w:rPr>
            <w:fldChar w:fldCharType="separate"/>
          </w:r>
          <w:r>
            <w:rPr>
              <w:sz w:val="18"/>
              <w:szCs w:val="18"/>
              <w:lang w:val="en-GB" w:eastAsia="en-US"/>
            </w:rPr>
            <w:t>1.</w:t>
          </w:r>
          <w:r>
            <w:rPr>
              <w:b w:val="false"/>
              <w:sz w:val="18"/>
              <w:szCs w:val="18"/>
              <w:lang w:val="en-US" w:eastAsia="en-US"/>
            </w:rPr>
            <w:tab/>
          </w:r>
          <w:r>
            <w:rPr>
              <w:sz w:val="18"/>
              <w:szCs w:val="18"/>
              <w:lang w:val="en-GB" w:eastAsia="en-US"/>
            </w:rPr>
            <w:t>DEVELOPMENT, IMPLEMENTATION AND ADMINISTRATION.</w:t>
          </w:r>
          <w:r>
            <w:rPr>
              <w:sz w:val="18"/>
              <w:szCs w:val="18"/>
              <w:lang w:val="en-US" w:eastAsia="en-US"/>
            </w:rPr>
            <w:tab/>
          </w:r>
          <w:hyperlink w:anchor="__RefHeading___Toc152142126">
            <w:r>
              <w:rPr>
                <w:rStyle w:val="IndexLink"/>
                <w:sz w:val="18"/>
                <w:szCs w:val="18"/>
                <w:lang w:val="en-US" w:eastAsia="en-US"/>
              </w:rPr>
              <w:t>1</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2.</w:t>
          </w:r>
          <w:r>
            <w:rPr>
              <w:b w:val="false"/>
              <w:sz w:val="18"/>
              <w:szCs w:val="18"/>
              <w:lang w:val="en-US" w:eastAsia="en-US"/>
            </w:rPr>
            <w:tab/>
          </w:r>
          <w:r>
            <w:rPr>
              <w:bCs/>
              <w:sz w:val="18"/>
              <w:szCs w:val="18"/>
              <w:lang w:val="en-GB" w:eastAsia="en-US"/>
            </w:rPr>
            <w:t>REQUIREMENTS.</w:t>
          </w:r>
          <w:r>
            <w:rPr>
              <w:sz w:val="18"/>
              <w:szCs w:val="18"/>
              <w:lang w:val="en-US" w:eastAsia="en-US"/>
            </w:rPr>
            <w:tab/>
          </w:r>
          <w:hyperlink w:anchor="__RefHeading___Toc152142127">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2.1</w:t>
          </w:r>
          <w:r>
            <w:rPr>
              <w:b w:val="false"/>
              <w:sz w:val="18"/>
              <w:szCs w:val="18"/>
              <w:lang w:val="en-US" w:eastAsia="en-US"/>
            </w:rPr>
            <w:tab/>
          </w:r>
          <w:r>
            <w:rPr>
              <w:sz w:val="18"/>
              <w:szCs w:val="18"/>
              <w:lang w:val="en-GB" w:eastAsia="en-US"/>
            </w:rPr>
            <w:t>Requirements</w:t>
          </w:r>
          <w:r>
            <w:rPr>
              <w:sz w:val="18"/>
              <w:szCs w:val="18"/>
              <w:lang w:val="en-US" w:eastAsia="en-US"/>
            </w:rPr>
            <w:tab/>
          </w:r>
          <w:hyperlink w:anchor="__RefHeading___Toc152142128">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2.2</w:t>
          </w:r>
          <w:r>
            <w:rPr>
              <w:b w:val="false"/>
              <w:sz w:val="18"/>
              <w:szCs w:val="18"/>
              <w:lang w:val="en-US" w:eastAsia="en-US"/>
            </w:rPr>
            <w:tab/>
          </w:r>
          <w:r>
            <w:rPr>
              <w:bCs/>
              <w:sz w:val="18"/>
              <w:szCs w:val="18"/>
              <w:lang w:val="en-GB" w:eastAsia="en-US"/>
            </w:rPr>
            <w:t>The PST’s responsibilities</w:t>
          </w:r>
          <w:r>
            <w:rPr>
              <w:sz w:val="18"/>
              <w:szCs w:val="18"/>
              <w:lang w:val="en-US" w:eastAsia="en-US"/>
            </w:rPr>
            <w:tab/>
          </w:r>
          <w:hyperlink w:anchor="__RefHeading___Toc152142129">
            <w:r>
              <w:rPr>
                <w:rStyle w:val="IndexLink"/>
                <w:sz w:val="18"/>
                <w:szCs w:val="18"/>
                <w:lang w:val="en-US" w:eastAsia="en-US"/>
              </w:rPr>
              <w:t>1</w:t>
            </w:r>
          </w:hyperlink>
        </w:p>
        <w:p>
          <w:pPr>
            <w:pStyle w:val="TOC2"/>
            <w:tabs>
              <w:tab w:val="clear" w:pos="720"/>
              <w:tab w:val="left" w:pos="880" w:leader="none"/>
              <w:tab w:val="right" w:pos="8441" w:leader="dot"/>
            </w:tabs>
            <w:rPr>
              <w:sz w:val="18"/>
              <w:szCs w:val="18"/>
              <w:lang w:val="en-US" w:eastAsia="en-US"/>
            </w:rPr>
          </w:pPr>
          <w:r>
            <w:rPr>
              <w:b w:val="false"/>
              <w:bCs/>
              <w:sz w:val="18"/>
              <w:szCs w:val="18"/>
              <w:lang w:val="en-GB" w:eastAsia="en-US"/>
            </w:rPr>
            <w:t>2.3</w:t>
          </w:r>
          <w:r>
            <w:rPr>
              <w:b w:val="false"/>
              <w:sz w:val="18"/>
              <w:szCs w:val="18"/>
              <w:lang w:val="en-US" w:eastAsia="en-US"/>
            </w:rPr>
            <w:tab/>
          </w:r>
          <w:r>
            <w:rPr>
              <w:b w:val="false"/>
              <w:bCs/>
              <w:sz w:val="18"/>
              <w:szCs w:val="18"/>
              <w:lang w:val="en-GB" w:eastAsia="en-US"/>
            </w:rPr>
            <w:t>Proposed changes.</w:t>
          </w:r>
          <w:r>
            <w:rPr>
              <w:b w:val="false"/>
              <w:sz w:val="18"/>
              <w:szCs w:val="18"/>
              <w:lang w:val="en-US" w:eastAsia="en-US"/>
            </w:rPr>
            <w:tab/>
          </w:r>
          <w:hyperlink w:anchor="__RefHeading___Toc152142130">
            <w:r>
              <w:rPr>
                <w:rStyle w:val="IndexLink"/>
                <w:b w:val="false"/>
                <w:sz w:val="18"/>
                <w:szCs w:val="18"/>
                <w:lang w:val="en-US" w:eastAsia="en-US"/>
              </w:rPr>
              <w:t>2</w:t>
            </w:r>
          </w:hyperlink>
          <w:r>
            <w:rPr>
              <w:rStyle w:val="IndexLink"/>
              <w:sz w:val="18"/>
              <w:b w:val="false"/>
              <w:szCs w:val="18"/>
              <w:lang w:val="en-US" w:eastAsia="en-US"/>
            </w:rPr>
            <w:fldChar w:fldCharType="end"/>
          </w:r>
        </w:p>
      </w:sdtContent>
    </w:sdt>
    <w:p>
      <w:pPr>
        <w:pStyle w:val="Normal"/>
        <w:rPr>
          <w:b/>
          <w:caps/>
          <w:sz w:val="18"/>
          <w:szCs w:val="18"/>
          <w:lang w:val="en-GB" w:eastAsia="en-US"/>
        </w:rPr>
      </w:pPr>
      <w:r>
        <w:rPr>
          <w:b/>
          <w:caps/>
          <w:sz w:val="18"/>
          <w:szCs w:val="18"/>
          <w:lang w:val="en-GB" w:eastAsia="en-US"/>
        </w:rPr>
      </w:r>
    </w:p>
    <w:p>
      <w:pPr>
        <w:pStyle w:val="Normal"/>
        <w:rPr>
          <w:caps/>
          <w:sz w:val="18"/>
          <w:szCs w:val="18"/>
          <w:lang w:val="en-GB"/>
        </w:rPr>
      </w:pPr>
      <w:r>
        <w:rPr>
          <w:caps/>
          <w:sz w:val="18"/>
          <w:szCs w:val="18"/>
          <w:lang w:val="en-GB"/>
        </w:rPr>
      </w:r>
    </w:p>
    <w:p>
      <w:pPr>
        <w:sectPr>
          <w:headerReference w:type="default" r:id="rId4"/>
          <w:headerReference w:type="first" r:id="rId5"/>
          <w:footerReference w:type="default" r:id="rId6"/>
          <w:footerReference w:type="first" r:id="rId7"/>
          <w:type w:val="nextPage"/>
          <w:pgSz w:w="11906" w:h="16838"/>
          <w:pgMar w:left="1729" w:right="1729" w:gutter="0" w:header="720" w:top="776" w:footer="720" w:bottom="1094"/>
          <w:pgNumType w:start="1" w:fmt="lowerRoman"/>
          <w:formProt w:val="false"/>
          <w:textDirection w:val="lrTb"/>
          <w:docGrid w:type="default" w:linePitch="360" w:charSpace="0"/>
        </w:sectPr>
        <w:pStyle w:val="Normal"/>
        <w:rPr>
          <w:caps/>
          <w:sz w:val="18"/>
          <w:szCs w:val="18"/>
          <w:lang w:val="en-GB"/>
        </w:rPr>
      </w:pPr>
      <w:r>
        <w:rPr>
          <w:caps/>
          <w:sz w:val="18"/>
          <w:szCs w:val="18"/>
          <w:lang w:val="en-GB"/>
        </w:rPr>
      </w:r>
    </w:p>
    <w:p>
      <w:pPr>
        <w:pStyle w:val="Normal"/>
        <w:spacing w:before="0" w:after="0"/>
        <w:jc w:val="both"/>
        <w:rPr>
          <w:szCs w:val="22"/>
          <w:lang w:val="en-GB"/>
        </w:rPr>
      </w:pPr>
      <w:r>
        <w:rPr>
          <w:szCs w:val="22"/>
          <w:lang w:val="en-GB"/>
        </w:rPr>
      </w:r>
    </w:p>
    <w:p>
      <w:pPr>
        <w:pStyle w:val="Heading1Numbered"/>
        <w:numPr>
          <w:ilvl w:val="0"/>
          <w:numId w:val="2"/>
        </w:numPr>
        <w:ind w:hanging="0" w:start="0"/>
        <w:rPr>
          <w:sz w:val="22"/>
          <w:szCs w:val="22"/>
          <w:lang w:val="en-GB"/>
        </w:rPr>
      </w:pPr>
      <w:bookmarkStart w:id="0" w:name="__RefHeading___Toc152142126"/>
      <w:r>
        <w:rPr>
          <w:sz w:val="22"/>
          <w:szCs w:val="22"/>
          <w:lang w:val="en-GB"/>
        </w:rPr>
        <w:t>DEVELOPMENT, IMPLEMENTATION AND ADMINISTRATION.</w:t>
      </w:r>
      <w:bookmarkEnd w:id="0"/>
      <w:r>
        <w:rPr>
          <w:sz w:val="22"/>
          <w:szCs w:val="22"/>
          <w:lang w:val="en-GB"/>
        </w:rPr>
        <w:t xml:space="preserve"> </w:t>
      </w:r>
    </w:p>
    <w:p>
      <w:pPr>
        <w:pStyle w:val="Normal"/>
        <w:spacing w:before="0" w:after="0"/>
        <w:jc w:val="both"/>
        <w:rPr/>
      </w:pPr>
      <w:r>
        <w:rPr>
          <w:szCs w:val="22"/>
          <w:lang w:val="en-GB"/>
        </w:rPr>
        <w:t>The 2IM and PST Supplier shall be responsible for developing, implementing, administrating and adhering to the Procedural Change Management Procedure. In accordance with the Procedural Change Management Procedure, the 2IM shall control and manage Procedural Changes in any and all aspects of the manner in which the Services are performed or provided (including platform configuration changes and changes in telecommunications transport technology). Of particular importance is the production environment and the Procedural Changes initiated by EuroBank, where the 2IM or PST Member must provide an appropriate response and rapid Procedural Change completion while employing reasonable safeguards to maintain continuity of operations when such changes are implemented.</w:t>
      </w:r>
    </w:p>
    <w:p>
      <w:pPr>
        <w:pStyle w:val="Heading1Numbered"/>
        <w:numPr>
          <w:ilvl w:val="0"/>
          <w:numId w:val="2"/>
        </w:numPr>
        <w:ind w:hanging="0" w:start="0"/>
        <w:rPr>
          <w:bCs/>
          <w:sz w:val="22"/>
          <w:lang w:val="en-GB"/>
        </w:rPr>
      </w:pPr>
      <w:bookmarkStart w:id="1" w:name="__RefHeading___Toc152142127"/>
      <w:bookmarkEnd w:id="1"/>
      <w:r>
        <w:rPr>
          <w:bCs/>
          <w:sz w:val="22"/>
          <w:lang w:val="en-GB"/>
        </w:rPr>
        <w:t>REQUIREMENTS.</w:t>
      </w:r>
    </w:p>
    <w:p>
      <w:pPr>
        <w:pStyle w:val="Heading2Numbered"/>
        <w:numPr>
          <w:ilvl w:val="1"/>
          <w:numId w:val="2"/>
        </w:numPr>
        <w:ind w:hanging="0" w:start="0"/>
        <w:rPr>
          <w:sz w:val="22"/>
          <w:szCs w:val="22"/>
          <w:lang w:val="en-GB"/>
        </w:rPr>
      </w:pPr>
      <w:bookmarkStart w:id="2" w:name="__RefHeading___Toc152142128"/>
      <w:bookmarkEnd w:id="2"/>
      <w:r>
        <w:rPr>
          <w:sz w:val="22"/>
          <w:szCs w:val="22"/>
          <w:lang w:val="en-GB"/>
        </w:rPr>
        <w:t>Requirements</w:t>
      </w:r>
    </w:p>
    <w:p>
      <w:pPr>
        <w:pStyle w:val="Normal"/>
        <w:spacing w:before="0" w:after="0"/>
        <w:jc w:val="both"/>
        <w:rPr>
          <w:szCs w:val="22"/>
          <w:lang w:val="en-GB"/>
        </w:rPr>
      </w:pPr>
      <w:r>
        <w:rPr>
          <w:szCs w:val="22"/>
          <w:lang w:val="en-GB"/>
        </w:rPr>
        <w:t>The Procedural Change Management Procedure shall meet the following requirements:</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(1)</w:t>
        <w:tab/>
        <w:t>provide a set of sub-processes designed to:</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a)</w:t>
        <w:tab/>
        <w:t>manage and control the response to planned Procedural Changes (change management);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b)</w:t>
        <w:tab/>
        <w:t>capture the required information from service requests and implementation reports for inclusion in the configuration database (service provisioning);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c)</w:t>
        <w:tab/>
        <w:t>create and control execution of plans for approved projects, reporting on progress and issues (project management);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d)</w:t>
        <w:tab/>
        <w:t>provide that ownership responsibilities for resources will be properly exercised (asset management); and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e)</w:t>
        <w:tab/>
        <w:t>assess the potential business impact to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(2)</w:t>
        <w:tab/>
        <w:t>facilitate coordination and communication across EuroBank Service recipients and facilitate measures to reduce the business impact and risk to EuroBank of any change activity;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(3)</w:t>
        <w:tab/>
        <w:t>provide processes for managing conflicts of timing, resources and priorities;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(4)</w:t>
        <w:tab/>
        <w:t xml:space="preserve">provide processes to establish clear ownership for individual Procedural Changes to be established and maintained throughout the change process, with regular and appropriate progress updates communicated back to those affected. </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3" w:name="__RefHeading___Toc152142129"/>
      <w:bookmarkEnd w:id="3"/>
      <w:r>
        <w:rPr>
          <w:bCs/>
          <w:sz w:val="22"/>
          <w:lang w:val="en-GB"/>
        </w:rPr>
        <w:t>The 2IM and PST Member’s responsibilities</w:t>
      </w:r>
    </w:p>
    <w:p>
      <w:pPr>
        <w:pStyle w:val="Normal"/>
        <w:spacing w:before="0" w:after="0"/>
        <w:jc w:val="both"/>
        <w:rPr/>
      </w:pPr>
      <w:r>
        <w:rPr>
          <w:szCs w:val="22"/>
          <w:lang w:val="en-GB"/>
        </w:rPr>
        <w:t>The 2IM and/or PST Member shall:</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(1)</w:t>
        <w:tab/>
        <w:t>review, schedule and communicate proposed Procedural Changes with EuroBank to minimise disruption of normal business processes;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(2)</w:t>
        <w:tab/>
        <w:t>conduct change management meetings with EuroBank at a frequency set forth in the Policies and Procedures Manual;</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(3)</w:t>
        <w:tab/>
        <w:t>collect data on each change attempted, including the cause of any problems, measures taken to prevent reoccurrence, and impact on end users.  This data will be summarised and reported to EuroBank in the manner and frequency set forth in Exhibit 13 (Reports).  Promptly after being requested by EuroBank, the PST shall provide the details of all instances and records of all Procedural Changes to the production environment so that EuroBank may (i) determine that the Procedural Change Management Procedure was followed, and (ii) identify from whom Procedural Changes were initiated and where and how changes occurred, including all relevant details;</w:t>
      </w:r>
      <w:r>
        <w:rPr>
          <w:i/>
          <w:szCs w:val="22"/>
          <w:lang w:val="en-GB"/>
        </w:rPr>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(4)</w:t>
        <w:tab/>
        <w:t xml:space="preserve">clearly define the roles and responsibilities of the areas and/or functional groups involved in the Procedural Change process, as well as formalise the communication process between affected parties; and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(5)</w:t>
        <w:tab/>
        <w:t>with the assistance of EuroBank, develop a contingency plan for each change to EuroBank’s operations or business, including back-out procedures, notification and escalation lists, work-around plans, affected resources, and risk assessments.</w:t>
      </w:r>
    </w:p>
    <w:p>
      <w:pPr>
        <w:pStyle w:val="Heading2Numbered"/>
        <w:numPr>
          <w:ilvl w:val="1"/>
          <w:numId w:val="2"/>
        </w:numPr>
        <w:ind w:hanging="0" w:start="0"/>
        <w:rPr>
          <w:bCs/>
          <w:sz w:val="22"/>
          <w:lang w:val="en-GB"/>
        </w:rPr>
      </w:pPr>
      <w:bookmarkStart w:id="4" w:name="__RefHeading___Toc152142130"/>
      <w:bookmarkEnd w:id="4"/>
      <w:r>
        <w:rPr>
          <w:bCs/>
          <w:sz w:val="22"/>
          <w:lang w:val="en-GB"/>
        </w:rPr>
        <w:t>Proposed changes.</w:t>
      </w:r>
    </w:p>
    <w:p>
      <w:pPr>
        <w:pStyle w:val="Normal"/>
        <w:spacing w:before="0" w:after="0"/>
        <w:jc w:val="both"/>
        <w:rPr/>
      </w:pPr>
      <w:r>
        <w:rPr>
          <w:szCs w:val="22"/>
          <w:lang w:val="en-GB"/>
        </w:rPr>
        <w:t>Proposed Procedural Changes shall be implemented only after approval by both parties except in emergencies where immediate risk of loss or damage to either party exists; however in such case, the proposed Procedural Change is approved and 2IM shall notify EuroBank as soon as practicable after implementation of the change.  No proposed Procedural Change rejected by EuroBank shall be implemented.</w:t>
      </w:r>
    </w:p>
    <w:p>
      <w:pPr>
        <w:pStyle w:val="Normal"/>
        <w:spacing w:before="0" w:after="0"/>
        <w:rPr>
          <w:szCs w:val="22"/>
          <w:lang w:val="en-GB"/>
        </w:rPr>
      </w:pPr>
      <w:r>
        <w:rPr>
          <w:szCs w:val="22"/>
          <w:lang w:val="en-GB"/>
        </w:rPr>
      </w:r>
    </w:p>
    <w:sectPr>
      <w:headerReference w:type="default" r:id="rId8"/>
      <w:headerReference w:type="first" r:id="rId9"/>
      <w:footerReference w:type="default" r:id="rId10"/>
      <w:footerReference w:type="first" r:id="rId11"/>
      <w:type w:val="nextPage"/>
      <w:pgSz w:w="11906" w:h="16838"/>
      <w:pgMar w:left="1729" w:right="1729"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sz w:val="16"/>
        <w:szCs w:val="16"/>
      </w:rPr>
    </w:pPr>
    <w:r>
      <w:rPr>
        <w:sz w:val="16"/>
        <w:szCs w:val="16"/>
      </w:rPr>
      <w:t>Ops&amp;IT Banking 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2</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22-A (Procedural Change) Final v1.5.doc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22-A (Procedural Change) Final v1.5.doc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3"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22-A (Procedural Change) Final v1.5.doc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Bold;Times New Roman" w:hAnsi="Times New Roman Bold;Times New Roman" w:cs="Times New Roman Bold;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5">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2"/>
      <w:szCs w:val="22"/>
    </w:rPr>
  </w:style>
  <w:style w:type="character" w:styleId="WW8Num1z2">
    <w:name w:val="WW8Num1z2"/>
    <w:qFormat/>
    <w:rPr>
      <w:rFonts w:ascii="Times New Roman" w:hAnsi="Times New Roman" w:cs="Times New Roman"/>
      <w:b/>
      <w:i w:val="false"/>
      <w:sz w:val="24"/>
    </w:rPr>
  </w:style>
  <w:style w:type="character" w:styleId="WW8Num1z3">
    <w:name w:val="WW8Num1z3"/>
    <w:qFormat/>
    <w:rPr>
      <w:rFonts w:ascii="Times New Roman Bold;Times New Roman" w:hAnsi="Times New Roman Bold;Times New Roman" w:cs="Times New Roman Bold;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Times New Roman" w:hAnsi="Times New Roman" w:cs="Times New Roman"/>
      <w:b w:val="false"/>
      <w:i w:val="false"/>
      <w:color w:val="000000"/>
      <w:sz w:val="22"/>
    </w:rPr>
  </w:style>
  <w:style w:type="character" w:styleId="WW8Num4z1">
    <w:name w:val="WW8Num4z1"/>
    <w:qFormat/>
    <w:rPr>
      <w:rFonts w:ascii="Times New Roman" w:hAnsi="Times New Roman" w:cs="Times New Roman"/>
      <w:b w:val="false"/>
      <w:i w:val="false"/>
      <w:sz w:val="22"/>
    </w:rPr>
  </w:style>
  <w:style w:type="character" w:styleId="WW8Num4z4">
    <w:name w:val="WW8Num4z4"/>
    <w:qFormat/>
    <w:rPr/>
  </w:style>
  <w:style w:type="character" w:styleId="WW8Num5z0">
    <w:name w:val="WW8Num5z0"/>
    <w:qFormat/>
    <w:rPr>
      <w:rFonts w:ascii="Times New Roman" w:hAnsi="Times New Roman" w:cs="Times New Roman"/>
      <w:b w:val="false"/>
      <w:i w:val="false"/>
      <w:color w:val="000000"/>
      <w:sz w:val="22"/>
    </w:rPr>
  </w:style>
  <w:style w:type="character" w:styleId="WW8Num5z1">
    <w:name w:val="WW8Num5z1"/>
    <w:qFormat/>
    <w:rPr>
      <w:rFonts w:ascii="Times New Roman" w:hAnsi="Times New Roman" w:cs="Times New Roman"/>
      <w:b w:val="false"/>
      <w:i w:val="false"/>
      <w:sz w:val="22"/>
    </w:rPr>
  </w:style>
  <w:style w:type="character" w:styleId="WW8Num5z4">
    <w:name w:val="WW8Num5z4"/>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6"/>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5"/>
      </w:numPr>
    </w:pPr>
    <w:rPr>
      <w:bCs/>
    </w:rPr>
  </w:style>
  <w:style w:type="paragraph" w:styleId="TableLevel3Numbered">
    <w:name w:val="Table Level 3 Numbered"/>
    <w:basedOn w:val="Normal"/>
    <w:qFormat/>
    <w:pPr>
      <w:numPr>
        <w:ilvl w:val="0"/>
        <w:numId w:val="5"/>
      </w:numPr>
    </w:pPr>
    <w:rPr/>
  </w:style>
  <w:style w:type="paragraph" w:styleId="TableLevel4Numbered">
    <w:name w:val="Table Level 4 Numbered"/>
    <w:basedOn w:val="Normal"/>
    <w:qFormat/>
    <w:pPr>
      <w:numPr>
        <w:ilvl w:val="0"/>
        <w:numId w:val="5"/>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4"/>
      </w:numPr>
      <w:spacing w:before="240" w:after="240"/>
    </w:pPr>
    <w:rPr/>
  </w:style>
  <w:style w:type="paragraph" w:styleId="BodyLevel2Numbered">
    <w:name w:val="Body Level 2 Numbered"/>
    <w:basedOn w:val="Normal"/>
    <w:qFormat/>
    <w:pPr>
      <w:numPr>
        <w:ilvl w:val="0"/>
        <w:numId w:val="4"/>
      </w:numPr>
      <w:spacing w:before="240" w:after="240"/>
    </w:pPr>
    <w:rPr/>
  </w:style>
  <w:style w:type="paragraph" w:styleId="BodyLevel3Numbered">
    <w:name w:val="Body Level 3 Numbered"/>
    <w:basedOn w:val="Normal"/>
    <w:qFormat/>
    <w:pPr>
      <w:numPr>
        <w:ilvl w:val="0"/>
        <w:numId w:val="4"/>
      </w:numPr>
      <w:spacing w:before="240" w:after="240"/>
    </w:pPr>
    <w:rPr/>
  </w:style>
  <w:style w:type="paragraph" w:styleId="BodyLevel4Numbered">
    <w:name w:val="Body Level 4 Numbered"/>
    <w:basedOn w:val="Normal"/>
    <w:qFormat/>
    <w:pPr>
      <w:numPr>
        <w:ilvl w:val="0"/>
        <w:numId w:val="4"/>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BalloonText">
    <w:name w:val="Balloon Text"/>
    <w:basedOn w:val="Normal"/>
    <w:qFormat/>
    <w:pPr/>
    <w:rPr>
      <w:rFonts w:ascii="Tahoma" w:hAnsi="Tahoma" w:cs="Tahoma"/>
      <w:sz w:val="16"/>
      <w:szCs w:val="1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2006-12-01T04:26:00Z</dcterms:created>
  <dc:creator> </dc:creator>
  <dc:description/>
  <cp:keywords/>
  <dc:language>en-US</dc:language>
  <cp:lastModifiedBy>Stuart Johnson</cp:lastModifiedBy>
  <cp:lastPrinted>2005-07-04T16:19:00Z</cp:lastPrinted>
  <dcterms:modified xsi:type="dcterms:W3CDTF">2006-12-01T04:27:00Z</dcterms:modified>
  <cp:revision>5</cp:revision>
  <dc:subject/>
  <dc:title> </dc:title>
</cp:coreProperties>
</file>