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jc w:val="center"/>
        <w:rPr/>
      </w:pPr>
      <w:r>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r>
    </w:p>
    <w:p>
      <w:pPr>
        <w:pStyle w:val="Title"/>
        <w:rPr>
          <w:lang w:val="en-GB"/>
        </w:rPr>
      </w:pPr>
      <w:r>
        <w:rPr>
          <w:lang w:val="en-GB"/>
        </w:rPr>
        <w:t>Attachment 3-B</w:t>
      </w:r>
    </w:p>
    <w:p>
      <w:pPr>
        <w:pStyle w:val="Title"/>
        <w:rPr>
          <w:lang w:val="en-GB"/>
        </w:rPr>
      </w:pPr>
      <w:r>
        <w:rPr>
          <w:lang w:val="en-GB"/>
        </w:rPr>
      </w:r>
    </w:p>
    <w:p>
      <w:pPr>
        <w:pStyle w:val="Title"/>
        <w:rPr>
          <w:lang w:val="en-GB"/>
        </w:rPr>
      </w:pPr>
      <w:r>
        <w:rPr>
          <w:lang w:val="en-GB"/>
        </w:rPr>
        <w:t>Critical Service Levels &amp; Key Measurements</w:t>
      </w:r>
    </w:p>
    <w:p>
      <w:pPr>
        <w:pStyle w:val="Normal"/>
        <w:jc w:val="center"/>
        <w:rPr/>
      </w:pPr>
      <w:r>
        <w:rPr>
          <w:b/>
          <w:sz w:val="32"/>
          <w:szCs w:val="32"/>
          <w:lang w:val="en-GB"/>
        </w:rPr>
        <w:t>Attachment to Exhibit 3 (</w:t>
      </w:r>
      <w:r>
        <w:rPr>
          <w:b/>
          <w:i/>
          <w:sz w:val="32"/>
          <w:szCs w:val="32"/>
          <w:lang w:val="en-GB"/>
        </w:rPr>
        <w:t>Service Levels</w:t>
      </w:r>
      <w:r>
        <w:rPr>
          <w:b/>
          <w:sz w:val="32"/>
          <w:szCs w:val="32"/>
          <w:lang w:val="en-GB"/>
        </w:rPr>
        <w:t>)</w:t>
      </w:r>
    </w:p>
    <w:p>
      <w:pPr>
        <w:pStyle w:val="Title"/>
        <w:rPr>
          <w:b w:val="false"/>
          <w:sz w:val="32"/>
          <w:szCs w:val="32"/>
          <w:lang w:val="en-GB"/>
        </w:rPr>
      </w:pPr>
      <w:r>
        <w:rPr>
          <w:b w:val="false"/>
          <w:sz w:val="32"/>
          <w:szCs w:val="32"/>
          <w:lang w:val="en-GB"/>
        </w:rPr>
      </w:r>
    </w:p>
    <w:p>
      <w:pPr>
        <w:pStyle w:val="Title"/>
        <w:rPr>
          <w:lang w:val="en-GB"/>
        </w:rPr>
      </w:pPr>
      <w:r>
        <w:rPr>
          <w:lang w:val="en-GB"/>
        </w:rPr>
      </w:r>
    </w:p>
    <w:p>
      <w:pPr>
        <w:sectPr>
          <w:headerReference w:type="default" r:id="rId2"/>
          <w:footerReference w:type="default" r:id="rId3"/>
          <w:type w:val="nextPage"/>
          <w:pgSz w:w="11906" w:h="16838"/>
          <w:pgMar w:left="1440" w:right="1440" w:gutter="0" w:header="720" w:top="1729" w:footer="851" w:bottom="1729"/>
          <w:pgNumType w:fmt="decimal"/>
          <w:formProt w:val="false"/>
          <w:textDirection w:val="lrTb"/>
          <w:docGrid w:type="default" w:linePitch="360" w:charSpace="0"/>
        </w:sectPr>
        <w:pStyle w:val="Normal"/>
        <w:rPr>
          <w:lang w:val="en-GB"/>
        </w:rPr>
      </w:pPr>
      <w:r>
        <w:rPr>
          <w:lang w:val="en-GB"/>
        </w:rPr>
      </w:r>
    </w:p>
    <w:p>
      <w:pPr>
        <w:pStyle w:val="Subtitle"/>
        <w:rPr>
          <w:rFonts w:ascii="Times New Roman" w:hAnsi="Times New Roman" w:cs="Times New Roman"/>
          <w:sz w:val="18"/>
          <w:szCs w:val="18"/>
          <w:lang w:val="en-GB"/>
        </w:rPr>
      </w:pPr>
      <w:r>
        <w:rPr>
          <w:rFonts w:cs="Times New Roman" w:ascii="Times New Roman" w:hAnsi="Times New Roman"/>
          <w:sz w:val="18"/>
          <w:szCs w:val="18"/>
          <w:lang w:val="en-GB"/>
        </w:rPr>
        <w:t>Table of Contents</w:t>
      </w:r>
    </w:p>
    <w:sdt>
      <w:sdtPr>
        <w:docPartObj>
          <w:docPartGallery w:val="Table of Contents"/>
          <w:docPartUnique w:val="true"/>
        </w:docPartObj>
      </w:sdtPr>
      <w:sdtContent>
        <w:p>
          <w:pPr>
            <w:pStyle w:val="TOC1"/>
            <w:tabs>
              <w:tab w:val="clear" w:pos="720"/>
              <w:tab w:val="left" w:pos="660" w:leader="none"/>
              <w:tab w:val="right" w:pos="9350" w:leader="dot"/>
            </w:tabs>
            <w:rPr>
              <w:b w:val="false"/>
              <w:bCs w:val="false"/>
              <w:sz w:val="18"/>
              <w:szCs w:val="18"/>
              <w:lang w:val="en-US" w:eastAsia="en-US"/>
            </w:rPr>
          </w:pPr>
          <w:r>
            <w:fldChar w:fldCharType="begin"/>
          </w:r>
          <w:r>
            <w:rPr>
              <w:sz w:val="18"/>
              <w:szCs w:val="18"/>
              <w:lang w:val="en-GB" w:eastAsia="en-US"/>
            </w:rPr>
            <w:instrText xml:space="preserve"> TOC \t "Heading 1 Numbered,1,Heading 2 Numbered,2" </w:instrText>
          </w:r>
          <w:r>
            <w:rPr>
              <w:sz w:val="18"/>
              <w:szCs w:val="18"/>
              <w:lang w:val="en-GB" w:eastAsia="en-US"/>
            </w:rPr>
            <w:fldChar w:fldCharType="separate"/>
          </w:r>
          <w:r>
            <w:rPr>
              <w:sz w:val="18"/>
              <w:szCs w:val="18"/>
              <w:lang w:val="en-GB" w:eastAsia="en-US"/>
            </w:rPr>
            <w:t>1.0</w:t>
          </w:r>
          <w:r>
            <w:rPr>
              <w:b w:val="false"/>
              <w:bCs w:val="false"/>
              <w:sz w:val="18"/>
              <w:szCs w:val="18"/>
              <w:lang w:val="en-US" w:eastAsia="en-US"/>
            </w:rPr>
            <w:tab/>
          </w:r>
          <w:r>
            <w:rPr>
              <w:sz w:val="18"/>
              <w:szCs w:val="18"/>
              <w:lang w:val="en-GB" w:eastAsia="en-US"/>
            </w:rPr>
            <w:t>Introduction</w:t>
          </w:r>
          <w:r>
            <w:rPr>
              <w:sz w:val="18"/>
              <w:szCs w:val="18"/>
              <w:lang w:val="en-US" w:eastAsia="en-US"/>
            </w:rPr>
            <w:tab/>
          </w:r>
          <w:hyperlink w:anchor="__RefHeading___Toc151896969">
            <w:r>
              <w:rPr>
                <w:rStyle w:val="IndexLink"/>
                <w:sz w:val="18"/>
                <w:szCs w:val="18"/>
                <w:lang w:val="en-US" w:eastAsia="en-US"/>
              </w:rPr>
              <w:t>1</w:t>
            </w:r>
          </w:hyperlink>
        </w:p>
        <w:p>
          <w:pPr>
            <w:pStyle w:val="TOC1"/>
            <w:tabs>
              <w:tab w:val="clear" w:pos="720"/>
              <w:tab w:val="left" w:pos="660" w:leader="none"/>
              <w:tab w:val="right" w:pos="9350" w:leader="dot"/>
            </w:tabs>
            <w:rPr>
              <w:b w:val="false"/>
              <w:bCs w:val="false"/>
              <w:sz w:val="18"/>
              <w:szCs w:val="18"/>
              <w:lang w:val="en-US" w:eastAsia="en-US"/>
            </w:rPr>
          </w:pPr>
          <w:r>
            <w:rPr>
              <w:sz w:val="18"/>
              <w:szCs w:val="18"/>
              <w:lang w:val="en-GB" w:eastAsia="en-US"/>
            </w:rPr>
            <w:t>2.0</w:t>
          </w:r>
          <w:r>
            <w:rPr>
              <w:b w:val="false"/>
              <w:bCs w:val="false"/>
              <w:sz w:val="18"/>
              <w:szCs w:val="18"/>
              <w:lang w:val="en-US" w:eastAsia="en-US"/>
            </w:rPr>
            <w:tab/>
          </w:r>
          <w:r>
            <w:rPr>
              <w:sz w:val="18"/>
              <w:szCs w:val="18"/>
              <w:lang w:val="en-GB" w:eastAsia="en-US"/>
            </w:rPr>
            <w:t>Desktop Services – availibility</w:t>
          </w:r>
          <w:r>
            <w:rPr>
              <w:sz w:val="18"/>
              <w:szCs w:val="18"/>
              <w:lang w:val="en-US" w:eastAsia="en-US"/>
            </w:rPr>
            <w:tab/>
          </w:r>
          <w:hyperlink w:anchor="__RefHeading___Toc151896970">
            <w:r>
              <w:rPr>
                <w:rStyle w:val="IndexLink"/>
                <w:sz w:val="18"/>
                <w:szCs w:val="18"/>
                <w:lang w:val="en-US" w:eastAsia="en-US"/>
              </w:rPr>
              <w:t>2</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2.1</w:t>
          </w:r>
          <w:r>
            <w:rPr>
              <w:i w:val="false"/>
              <w:iCs w:val="false"/>
              <w:sz w:val="18"/>
              <w:szCs w:val="18"/>
              <w:lang w:val="en-US" w:eastAsia="en-US"/>
            </w:rPr>
            <w:tab/>
          </w:r>
          <w:r>
            <w:rPr>
              <w:sz w:val="18"/>
              <w:szCs w:val="18"/>
              <w:lang w:val="en-GB" w:eastAsia="en-US"/>
            </w:rPr>
            <w:t>Base Workplace Service - Availability Named Location</w:t>
          </w:r>
          <w:r>
            <w:rPr>
              <w:sz w:val="18"/>
              <w:szCs w:val="18"/>
              <w:lang w:val="en-US" w:eastAsia="en-US"/>
            </w:rPr>
            <w:tab/>
          </w:r>
          <w:hyperlink w:anchor="__RefHeading___Toc151896971">
            <w:r>
              <w:rPr>
                <w:rStyle w:val="IndexLink"/>
                <w:sz w:val="18"/>
                <w:szCs w:val="18"/>
                <w:lang w:val="en-US" w:eastAsia="en-US"/>
              </w:rPr>
              <w:t>2</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2.2</w:t>
          </w:r>
          <w:r>
            <w:rPr>
              <w:i w:val="false"/>
              <w:iCs w:val="false"/>
              <w:sz w:val="18"/>
              <w:szCs w:val="18"/>
              <w:lang w:val="en-US" w:eastAsia="en-US"/>
            </w:rPr>
            <w:tab/>
          </w:r>
          <w:r>
            <w:rPr>
              <w:sz w:val="18"/>
              <w:szCs w:val="18"/>
              <w:lang w:val="en-GB" w:eastAsia="en-US"/>
            </w:rPr>
            <w:t>File &amp; Print Services Named Locations – Availability</w:t>
          </w:r>
          <w:r>
            <w:rPr>
              <w:sz w:val="18"/>
              <w:szCs w:val="18"/>
              <w:lang w:val="en-US" w:eastAsia="en-US"/>
            </w:rPr>
            <w:tab/>
          </w:r>
          <w:hyperlink w:anchor="__RefHeading___Toc151896972">
            <w:r>
              <w:rPr>
                <w:rStyle w:val="IndexLink"/>
                <w:sz w:val="18"/>
                <w:szCs w:val="18"/>
                <w:lang w:val="en-US" w:eastAsia="en-US"/>
              </w:rPr>
              <w:t>3</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2.3</w:t>
          </w:r>
          <w:r>
            <w:rPr>
              <w:i w:val="false"/>
              <w:iCs w:val="false"/>
              <w:sz w:val="18"/>
              <w:szCs w:val="18"/>
              <w:lang w:val="en-US" w:eastAsia="en-US"/>
            </w:rPr>
            <w:tab/>
          </w:r>
          <w:r>
            <w:rPr>
              <w:sz w:val="18"/>
              <w:szCs w:val="18"/>
              <w:lang w:val="en-US" w:eastAsia="en-US"/>
            </w:rPr>
            <w:t>Mail &amp; Agenda Services Named Locations - Availability</w:t>
            <w:tab/>
          </w:r>
          <w:hyperlink w:anchor="__RefHeading___Toc151896973">
            <w:r>
              <w:rPr>
                <w:rStyle w:val="IndexLink"/>
                <w:sz w:val="18"/>
                <w:szCs w:val="18"/>
                <w:lang w:val="en-US" w:eastAsia="en-US"/>
              </w:rPr>
              <w:t>6</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2.4</w:t>
          </w:r>
          <w:r>
            <w:rPr>
              <w:i w:val="false"/>
              <w:iCs w:val="false"/>
              <w:sz w:val="18"/>
              <w:szCs w:val="18"/>
              <w:lang w:val="en-US" w:eastAsia="en-US"/>
            </w:rPr>
            <w:tab/>
          </w:r>
          <w:r>
            <w:rPr>
              <w:sz w:val="18"/>
              <w:szCs w:val="18"/>
              <w:lang w:val="en-GB" w:eastAsia="en-US"/>
            </w:rPr>
            <w:t>File &amp; Print Services – Availability</w:t>
          </w:r>
          <w:r>
            <w:rPr>
              <w:sz w:val="18"/>
              <w:szCs w:val="18"/>
              <w:lang w:val="en-US" w:eastAsia="en-US"/>
            </w:rPr>
            <w:tab/>
          </w:r>
          <w:hyperlink w:anchor="__RefHeading___Toc151896974">
            <w:r>
              <w:rPr>
                <w:rStyle w:val="IndexLink"/>
                <w:sz w:val="18"/>
                <w:szCs w:val="18"/>
                <w:lang w:val="en-US" w:eastAsia="en-US"/>
              </w:rPr>
              <w:t>8</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2.5</w:t>
          </w:r>
          <w:r>
            <w:rPr>
              <w:i w:val="false"/>
              <w:iCs w:val="false"/>
              <w:sz w:val="18"/>
              <w:szCs w:val="18"/>
              <w:lang w:val="en-US" w:eastAsia="en-US"/>
            </w:rPr>
            <w:tab/>
          </w:r>
          <w:r>
            <w:rPr>
              <w:sz w:val="18"/>
              <w:szCs w:val="18"/>
              <w:lang w:val="en-GB" w:eastAsia="en-US"/>
            </w:rPr>
            <w:t>Mail &amp; Agenda Services – Availability</w:t>
          </w:r>
          <w:r>
            <w:rPr>
              <w:sz w:val="18"/>
              <w:szCs w:val="18"/>
              <w:lang w:val="en-US" w:eastAsia="en-US"/>
            </w:rPr>
            <w:tab/>
          </w:r>
          <w:hyperlink w:anchor="__RefHeading___Toc151896975">
            <w:r>
              <w:rPr>
                <w:rStyle w:val="IndexLink"/>
                <w:sz w:val="18"/>
                <w:szCs w:val="18"/>
                <w:lang w:val="en-US" w:eastAsia="en-US"/>
              </w:rPr>
              <w:t>8</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2.6</w:t>
          </w:r>
          <w:r>
            <w:rPr>
              <w:i w:val="false"/>
              <w:iCs w:val="false"/>
              <w:sz w:val="18"/>
              <w:szCs w:val="18"/>
              <w:lang w:val="en-US" w:eastAsia="en-US"/>
            </w:rPr>
            <w:tab/>
          </w:r>
          <w:r>
            <w:rPr>
              <w:sz w:val="18"/>
              <w:szCs w:val="18"/>
              <w:lang w:val="en-GB" w:eastAsia="en-US"/>
            </w:rPr>
            <w:t>Application Integration Service – Availability</w:t>
          </w:r>
          <w:r>
            <w:rPr>
              <w:sz w:val="18"/>
              <w:szCs w:val="18"/>
              <w:lang w:val="en-US" w:eastAsia="en-US"/>
            </w:rPr>
            <w:tab/>
          </w:r>
          <w:hyperlink w:anchor="__RefHeading___Toc151896976">
            <w:r>
              <w:rPr>
                <w:rStyle w:val="IndexLink"/>
                <w:sz w:val="18"/>
                <w:szCs w:val="18"/>
                <w:lang w:val="en-US" w:eastAsia="en-US"/>
              </w:rPr>
              <w:t>9</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2.7</w:t>
          </w:r>
          <w:r>
            <w:rPr>
              <w:i w:val="false"/>
              <w:iCs w:val="false"/>
              <w:sz w:val="18"/>
              <w:szCs w:val="18"/>
              <w:lang w:val="en-US" w:eastAsia="en-US"/>
            </w:rPr>
            <w:tab/>
          </w:r>
          <w:r>
            <w:rPr>
              <w:sz w:val="18"/>
              <w:szCs w:val="18"/>
              <w:lang w:val="en-GB" w:eastAsia="en-US"/>
            </w:rPr>
            <w:t>Collaboration Service – Availability</w:t>
          </w:r>
          <w:r>
            <w:rPr>
              <w:sz w:val="18"/>
              <w:szCs w:val="18"/>
              <w:lang w:val="en-US" w:eastAsia="en-US"/>
            </w:rPr>
            <w:tab/>
          </w:r>
          <w:hyperlink w:anchor="__RefHeading___Toc151896977">
            <w:r>
              <w:rPr>
                <w:rStyle w:val="IndexLink"/>
                <w:sz w:val="18"/>
                <w:szCs w:val="18"/>
                <w:lang w:val="en-US" w:eastAsia="en-US"/>
              </w:rPr>
              <w:t>10</w:t>
            </w:r>
          </w:hyperlink>
        </w:p>
        <w:p>
          <w:pPr>
            <w:pStyle w:val="TOC1"/>
            <w:tabs>
              <w:tab w:val="clear" w:pos="720"/>
              <w:tab w:val="left" w:pos="660" w:leader="none"/>
              <w:tab w:val="right" w:pos="9350" w:leader="dot"/>
            </w:tabs>
            <w:rPr>
              <w:b w:val="false"/>
              <w:bCs w:val="false"/>
              <w:sz w:val="18"/>
              <w:szCs w:val="18"/>
              <w:lang w:val="en-US" w:eastAsia="en-US"/>
            </w:rPr>
          </w:pPr>
          <w:r>
            <w:rPr>
              <w:sz w:val="18"/>
              <w:szCs w:val="18"/>
              <w:lang w:val="en-GB" w:eastAsia="en-US"/>
            </w:rPr>
            <w:t>3.0</w:t>
          </w:r>
          <w:r>
            <w:rPr>
              <w:b w:val="false"/>
              <w:bCs w:val="false"/>
              <w:sz w:val="18"/>
              <w:szCs w:val="18"/>
              <w:lang w:val="en-US" w:eastAsia="en-US"/>
            </w:rPr>
            <w:tab/>
          </w:r>
          <w:r>
            <w:rPr>
              <w:sz w:val="18"/>
              <w:szCs w:val="18"/>
              <w:lang w:val="en-GB" w:eastAsia="en-US"/>
            </w:rPr>
            <w:t>Desktop Services – Performance</w:t>
          </w:r>
          <w:r>
            <w:rPr>
              <w:sz w:val="18"/>
              <w:szCs w:val="18"/>
              <w:lang w:val="en-US" w:eastAsia="en-US"/>
            </w:rPr>
            <w:tab/>
          </w:r>
          <w:hyperlink w:anchor="__RefHeading___Toc151896978">
            <w:r>
              <w:rPr>
                <w:rStyle w:val="IndexLink"/>
                <w:sz w:val="18"/>
                <w:szCs w:val="18"/>
                <w:lang w:val="en-US" w:eastAsia="en-US"/>
              </w:rPr>
              <w:t>13</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3.1</w:t>
          </w:r>
          <w:r>
            <w:rPr>
              <w:i w:val="false"/>
              <w:iCs w:val="false"/>
              <w:sz w:val="18"/>
              <w:szCs w:val="18"/>
              <w:lang w:val="en-US" w:eastAsia="en-US"/>
            </w:rPr>
            <w:tab/>
          </w:r>
          <w:r>
            <w:rPr>
              <w:sz w:val="18"/>
              <w:szCs w:val="18"/>
              <w:lang w:val="en-GB" w:eastAsia="en-US"/>
            </w:rPr>
            <w:t>Workplace Services (File &amp; Print, Mail &amp; Agenda and Collaboration Services) – Performance</w:t>
          </w:r>
          <w:r>
            <w:rPr>
              <w:sz w:val="18"/>
              <w:szCs w:val="18"/>
              <w:lang w:val="en-US" w:eastAsia="en-US"/>
            </w:rPr>
            <w:tab/>
          </w:r>
          <w:hyperlink w:anchor="__RefHeading___Toc151896979">
            <w:r>
              <w:rPr>
                <w:rStyle w:val="IndexLink"/>
                <w:sz w:val="18"/>
                <w:szCs w:val="18"/>
                <w:lang w:val="en-US" w:eastAsia="en-US"/>
              </w:rPr>
              <w:t>13</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3.2</w:t>
          </w:r>
          <w:r>
            <w:rPr>
              <w:i w:val="false"/>
              <w:iCs w:val="false"/>
              <w:sz w:val="18"/>
              <w:szCs w:val="18"/>
              <w:lang w:val="en-US" w:eastAsia="en-US"/>
            </w:rPr>
            <w:tab/>
          </w:r>
          <w:r>
            <w:rPr>
              <w:sz w:val="18"/>
              <w:szCs w:val="18"/>
              <w:lang w:val="en-GB" w:eastAsia="en-US"/>
            </w:rPr>
            <w:t>Application Integration Service – Performance</w:t>
          </w:r>
          <w:r>
            <w:rPr>
              <w:sz w:val="18"/>
              <w:szCs w:val="18"/>
              <w:lang w:val="en-US" w:eastAsia="en-US"/>
            </w:rPr>
            <w:tab/>
          </w:r>
          <w:hyperlink w:anchor="__RefHeading___Toc151896980">
            <w:r>
              <w:rPr>
                <w:rStyle w:val="IndexLink"/>
                <w:sz w:val="18"/>
                <w:szCs w:val="18"/>
                <w:lang w:val="en-US" w:eastAsia="en-US"/>
              </w:rPr>
              <w:t>14</w:t>
            </w:r>
          </w:hyperlink>
        </w:p>
        <w:p>
          <w:pPr>
            <w:pStyle w:val="TOC1"/>
            <w:tabs>
              <w:tab w:val="clear" w:pos="720"/>
              <w:tab w:val="left" w:pos="660" w:leader="none"/>
              <w:tab w:val="right" w:pos="9350" w:leader="dot"/>
            </w:tabs>
            <w:rPr>
              <w:b w:val="false"/>
              <w:bCs w:val="false"/>
              <w:sz w:val="18"/>
              <w:szCs w:val="18"/>
              <w:lang w:val="en-US" w:eastAsia="en-US"/>
            </w:rPr>
          </w:pPr>
          <w:r>
            <w:rPr>
              <w:sz w:val="18"/>
              <w:szCs w:val="18"/>
              <w:lang w:val="en-GB" w:eastAsia="en-US"/>
            </w:rPr>
            <w:t>4.0</w:t>
          </w:r>
          <w:r>
            <w:rPr>
              <w:b w:val="false"/>
              <w:bCs w:val="false"/>
              <w:sz w:val="18"/>
              <w:szCs w:val="18"/>
              <w:lang w:val="en-US" w:eastAsia="en-US"/>
            </w:rPr>
            <w:tab/>
          </w:r>
          <w:r>
            <w:rPr>
              <w:sz w:val="18"/>
              <w:szCs w:val="18"/>
              <w:lang w:val="en-GB" w:eastAsia="en-US"/>
            </w:rPr>
            <w:t>CRITICAL SERVICE LEVELS – Access Services Performance</w:t>
          </w:r>
          <w:r>
            <w:rPr>
              <w:sz w:val="18"/>
              <w:szCs w:val="18"/>
              <w:lang w:val="en-US" w:eastAsia="en-US"/>
            </w:rPr>
            <w:tab/>
          </w:r>
          <w:hyperlink w:anchor="__RefHeading___Toc151896981">
            <w:r>
              <w:rPr>
                <w:rStyle w:val="IndexLink"/>
                <w:sz w:val="18"/>
                <w:szCs w:val="18"/>
                <w:lang w:val="en-US" w:eastAsia="en-US"/>
              </w:rPr>
              <w:t>16</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4.1</w:t>
          </w:r>
          <w:r>
            <w:rPr>
              <w:i w:val="false"/>
              <w:iCs w:val="false"/>
              <w:sz w:val="18"/>
              <w:szCs w:val="18"/>
              <w:lang w:val="en-US" w:eastAsia="en-US"/>
            </w:rPr>
            <w:tab/>
          </w:r>
          <w:r>
            <w:rPr>
              <w:sz w:val="18"/>
              <w:szCs w:val="18"/>
              <w:lang w:val="en-GB" w:eastAsia="en-US"/>
            </w:rPr>
            <w:t>Access Service - Password resets – Performance</w:t>
          </w:r>
          <w:r>
            <w:rPr>
              <w:sz w:val="18"/>
              <w:szCs w:val="18"/>
              <w:lang w:val="en-US" w:eastAsia="en-US"/>
            </w:rPr>
            <w:tab/>
          </w:r>
          <w:hyperlink w:anchor="__RefHeading___Toc151896982">
            <w:r>
              <w:rPr>
                <w:rStyle w:val="IndexLink"/>
                <w:sz w:val="18"/>
                <w:szCs w:val="18"/>
                <w:lang w:val="en-US" w:eastAsia="en-US"/>
              </w:rPr>
              <w:t>16</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4.2</w:t>
          </w:r>
          <w:r>
            <w:rPr>
              <w:i w:val="false"/>
              <w:iCs w:val="false"/>
              <w:sz w:val="18"/>
              <w:szCs w:val="18"/>
              <w:lang w:val="en-US" w:eastAsia="en-US"/>
            </w:rPr>
            <w:tab/>
          </w:r>
          <w:r>
            <w:rPr>
              <w:sz w:val="18"/>
              <w:szCs w:val="18"/>
              <w:lang w:val="en-GB" w:eastAsia="en-US"/>
            </w:rPr>
            <w:t>Access Service - Service requests – Performance</w:t>
          </w:r>
          <w:r>
            <w:rPr>
              <w:sz w:val="18"/>
              <w:szCs w:val="18"/>
              <w:lang w:val="en-US" w:eastAsia="en-US"/>
            </w:rPr>
            <w:tab/>
          </w:r>
          <w:hyperlink w:anchor="__RefHeading___Toc151896983">
            <w:r>
              <w:rPr>
                <w:rStyle w:val="IndexLink"/>
                <w:sz w:val="18"/>
                <w:szCs w:val="18"/>
                <w:lang w:val="en-US" w:eastAsia="en-US"/>
              </w:rPr>
              <w:t>16</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4.3</w:t>
          </w:r>
          <w:r>
            <w:rPr>
              <w:i w:val="false"/>
              <w:iCs w:val="false"/>
              <w:sz w:val="18"/>
              <w:szCs w:val="18"/>
              <w:lang w:val="en-US" w:eastAsia="en-US"/>
            </w:rPr>
            <w:tab/>
          </w:r>
          <w:r>
            <w:rPr>
              <w:sz w:val="18"/>
              <w:szCs w:val="18"/>
              <w:lang w:val="en-GB" w:eastAsia="en-US"/>
            </w:rPr>
            <w:t>Access Service - Accuracy – Performance</w:t>
          </w:r>
          <w:r>
            <w:rPr>
              <w:sz w:val="18"/>
              <w:szCs w:val="18"/>
              <w:lang w:val="en-US" w:eastAsia="en-US"/>
            </w:rPr>
            <w:tab/>
          </w:r>
          <w:hyperlink w:anchor="__RefHeading___Toc151896984">
            <w:r>
              <w:rPr>
                <w:rStyle w:val="IndexLink"/>
                <w:sz w:val="18"/>
                <w:szCs w:val="18"/>
                <w:lang w:val="en-US" w:eastAsia="en-US"/>
              </w:rPr>
              <w:t>18</w:t>
            </w:r>
          </w:hyperlink>
        </w:p>
        <w:p>
          <w:pPr>
            <w:pStyle w:val="TOC1"/>
            <w:tabs>
              <w:tab w:val="clear" w:pos="720"/>
              <w:tab w:val="left" w:pos="660" w:leader="none"/>
              <w:tab w:val="right" w:pos="9350" w:leader="dot"/>
            </w:tabs>
            <w:rPr>
              <w:b w:val="false"/>
              <w:bCs w:val="false"/>
              <w:sz w:val="18"/>
              <w:szCs w:val="18"/>
              <w:lang w:val="en-US" w:eastAsia="en-US"/>
            </w:rPr>
          </w:pPr>
          <w:r>
            <w:rPr>
              <w:sz w:val="18"/>
              <w:szCs w:val="18"/>
              <w:lang w:val="en-GB" w:eastAsia="en-US"/>
            </w:rPr>
            <w:t>5.0</w:t>
          </w:r>
          <w:r>
            <w:rPr>
              <w:b w:val="false"/>
              <w:bCs w:val="false"/>
              <w:sz w:val="18"/>
              <w:szCs w:val="18"/>
              <w:lang w:val="en-US" w:eastAsia="en-US"/>
            </w:rPr>
            <w:tab/>
          </w:r>
          <w:r>
            <w:rPr>
              <w:sz w:val="18"/>
              <w:szCs w:val="18"/>
              <w:lang w:val="en-GB" w:eastAsia="en-US"/>
            </w:rPr>
            <w:t>Voice Services Performance</w:t>
          </w:r>
          <w:r>
            <w:rPr>
              <w:sz w:val="18"/>
              <w:szCs w:val="18"/>
              <w:lang w:val="en-US" w:eastAsia="en-US"/>
            </w:rPr>
            <w:tab/>
          </w:r>
          <w:hyperlink w:anchor="__RefHeading___Toc151896985">
            <w:r>
              <w:rPr>
                <w:rStyle w:val="IndexLink"/>
                <w:sz w:val="18"/>
                <w:szCs w:val="18"/>
                <w:lang w:val="en-US" w:eastAsia="en-US"/>
              </w:rPr>
              <w:t>19</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5.1</w:t>
          </w:r>
          <w:r>
            <w:rPr>
              <w:i w:val="false"/>
              <w:iCs w:val="false"/>
              <w:sz w:val="18"/>
              <w:szCs w:val="18"/>
              <w:lang w:val="en-US" w:eastAsia="en-US"/>
            </w:rPr>
            <w:tab/>
          </w:r>
          <w:r>
            <w:rPr>
              <w:sz w:val="18"/>
              <w:szCs w:val="18"/>
              <w:lang w:val="en-GB" w:eastAsia="en-US"/>
            </w:rPr>
            <w:t>Base Voice Service – Availability</w:t>
          </w:r>
          <w:r>
            <w:rPr>
              <w:sz w:val="18"/>
              <w:szCs w:val="18"/>
              <w:lang w:val="en-US" w:eastAsia="en-US"/>
            </w:rPr>
            <w:tab/>
          </w:r>
          <w:hyperlink w:anchor="__RefHeading___Toc151896986">
            <w:r>
              <w:rPr>
                <w:rStyle w:val="IndexLink"/>
                <w:sz w:val="18"/>
                <w:szCs w:val="18"/>
                <w:lang w:val="en-US" w:eastAsia="en-US"/>
              </w:rPr>
              <w:t>19</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5.2</w:t>
          </w:r>
          <w:r>
            <w:rPr>
              <w:i w:val="false"/>
              <w:iCs w:val="false"/>
              <w:sz w:val="18"/>
              <w:szCs w:val="18"/>
              <w:lang w:val="en-US" w:eastAsia="en-US"/>
            </w:rPr>
            <w:tab/>
          </w:r>
          <w:r>
            <w:rPr>
              <w:sz w:val="18"/>
              <w:szCs w:val="18"/>
              <w:lang w:val="en-GB" w:eastAsia="en-US"/>
            </w:rPr>
            <w:t>Call Centre Voice Service – Availability</w:t>
          </w:r>
          <w:r>
            <w:rPr>
              <w:sz w:val="18"/>
              <w:szCs w:val="18"/>
              <w:lang w:val="en-US" w:eastAsia="en-US"/>
            </w:rPr>
            <w:tab/>
          </w:r>
          <w:hyperlink w:anchor="__RefHeading___Toc151896987">
            <w:r>
              <w:rPr>
                <w:rStyle w:val="IndexLink"/>
                <w:sz w:val="18"/>
                <w:szCs w:val="18"/>
                <w:lang w:val="en-US" w:eastAsia="en-US"/>
              </w:rPr>
              <w:t>19</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5.3</w:t>
          </w:r>
          <w:r>
            <w:rPr>
              <w:i w:val="false"/>
              <w:iCs w:val="false"/>
              <w:sz w:val="18"/>
              <w:szCs w:val="18"/>
              <w:lang w:val="en-US" w:eastAsia="en-US"/>
            </w:rPr>
            <w:tab/>
          </w:r>
          <w:r>
            <w:rPr>
              <w:sz w:val="18"/>
              <w:szCs w:val="18"/>
              <w:lang w:val="en-GB" w:eastAsia="en-US"/>
            </w:rPr>
            <w:t>Mobile Voice Service - Availability</w:t>
          </w:r>
          <w:r>
            <w:rPr>
              <w:sz w:val="18"/>
              <w:szCs w:val="18"/>
              <w:lang w:val="en-US" w:eastAsia="en-US"/>
            </w:rPr>
            <w:tab/>
          </w:r>
          <w:hyperlink w:anchor="__RefHeading___Toc151896988">
            <w:r>
              <w:rPr>
                <w:rStyle w:val="IndexLink"/>
                <w:sz w:val="18"/>
                <w:szCs w:val="18"/>
                <w:lang w:val="en-US" w:eastAsia="en-US"/>
              </w:rPr>
              <w:t>20</w:t>
            </w:r>
          </w:hyperlink>
        </w:p>
        <w:p>
          <w:pPr>
            <w:pStyle w:val="TOC1"/>
            <w:tabs>
              <w:tab w:val="clear" w:pos="720"/>
              <w:tab w:val="left" w:pos="660" w:leader="none"/>
              <w:tab w:val="right" w:pos="9350" w:leader="dot"/>
            </w:tabs>
            <w:rPr>
              <w:b w:val="false"/>
              <w:bCs w:val="false"/>
              <w:sz w:val="18"/>
              <w:szCs w:val="18"/>
              <w:lang w:val="en-US" w:eastAsia="en-US"/>
            </w:rPr>
          </w:pPr>
          <w:r>
            <w:rPr>
              <w:sz w:val="18"/>
              <w:szCs w:val="18"/>
              <w:lang w:val="en-GB" w:eastAsia="en-US"/>
            </w:rPr>
            <w:t>6.0</w:t>
          </w:r>
          <w:r>
            <w:rPr>
              <w:b w:val="false"/>
              <w:bCs w:val="false"/>
              <w:sz w:val="18"/>
              <w:szCs w:val="18"/>
              <w:lang w:val="en-US" w:eastAsia="en-US"/>
            </w:rPr>
            <w:tab/>
          </w:r>
          <w:r>
            <w:rPr>
              <w:sz w:val="18"/>
              <w:szCs w:val="18"/>
              <w:lang w:val="en-GB" w:eastAsia="en-US"/>
            </w:rPr>
            <w:t>Service Desk Services Availability</w:t>
          </w:r>
          <w:r>
            <w:rPr>
              <w:sz w:val="18"/>
              <w:szCs w:val="18"/>
              <w:lang w:val="en-US" w:eastAsia="en-US"/>
            </w:rPr>
            <w:tab/>
          </w:r>
          <w:hyperlink w:anchor="__RefHeading___Toc151896989">
            <w:r>
              <w:rPr>
                <w:rStyle w:val="IndexLink"/>
                <w:sz w:val="18"/>
                <w:szCs w:val="18"/>
                <w:lang w:val="en-US" w:eastAsia="en-US"/>
              </w:rPr>
              <w:t>22</w:t>
            </w:r>
          </w:hyperlink>
        </w:p>
        <w:p>
          <w:pPr>
            <w:pStyle w:val="TOC2"/>
            <w:tabs>
              <w:tab w:val="clear" w:pos="720"/>
              <w:tab w:val="left" w:pos="880" w:leader="none"/>
              <w:tab w:val="right" w:pos="9350" w:leader="dot"/>
            </w:tabs>
            <w:rPr>
              <w:i w:val="false"/>
              <w:i w:val="false"/>
              <w:iCs w:val="false"/>
              <w:sz w:val="18"/>
              <w:szCs w:val="18"/>
              <w:lang w:val="fr-FR" w:eastAsia="en-US"/>
            </w:rPr>
          </w:pPr>
          <w:r>
            <w:rPr>
              <w:sz w:val="18"/>
              <w:szCs w:val="18"/>
              <w:lang w:val="fr-FR" w:eastAsia="en-US"/>
            </w:rPr>
            <w:t>6.1</w:t>
          </w:r>
          <w:r>
            <w:rPr>
              <w:i w:val="false"/>
              <w:iCs w:val="false"/>
              <w:sz w:val="18"/>
              <w:szCs w:val="18"/>
              <w:lang w:val="fr-FR" w:eastAsia="en-US"/>
            </w:rPr>
            <w:tab/>
          </w:r>
          <w:r>
            <w:rPr>
              <w:sz w:val="18"/>
              <w:szCs w:val="18"/>
              <w:lang w:val="fr-FR" w:eastAsia="en-US"/>
            </w:rPr>
            <w:t>Base Service Desk Service – Availability</w:t>
            <w:tab/>
          </w:r>
          <w:hyperlink w:anchor="__RefHeading___Toc151896990">
            <w:r>
              <w:rPr>
                <w:rStyle w:val="IndexLink"/>
                <w:sz w:val="18"/>
                <w:szCs w:val="18"/>
                <w:lang w:val="fr-FR" w:eastAsia="en-US"/>
              </w:rPr>
              <w:t>22</w:t>
            </w:r>
          </w:hyperlink>
        </w:p>
        <w:p>
          <w:pPr>
            <w:pStyle w:val="TOC1"/>
            <w:tabs>
              <w:tab w:val="clear" w:pos="720"/>
              <w:tab w:val="left" w:pos="660" w:leader="none"/>
              <w:tab w:val="right" w:pos="9350" w:leader="dot"/>
            </w:tabs>
            <w:rPr>
              <w:b w:val="false"/>
              <w:bCs w:val="false"/>
              <w:sz w:val="18"/>
              <w:szCs w:val="18"/>
              <w:lang w:val="fr-FR" w:eastAsia="en-US"/>
            </w:rPr>
          </w:pPr>
          <w:r>
            <w:rPr>
              <w:sz w:val="18"/>
              <w:szCs w:val="18"/>
              <w:lang w:val="fr-FR" w:eastAsia="en-US"/>
            </w:rPr>
            <w:t>7.0</w:t>
          </w:r>
          <w:r>
            <w:rPr>
              <w:b w:val="false"/>
              <w:bCs w:val="false"/>
              <w:sz w:val="18"/>
              <w:szCs w:val="18"/>
              <w:lang w:val="fr-FR" w:eastAsia="en-US"/>
            </w:rPr>
            <w:tab/>
          </w:r>
          <w:r>
            <w:rPr>
              <w:sz w:val="18"/>
              <w:szCs w:val="18"/>
              <w:lang w:val="fr-FR" w:eastAsia="en-US"/>
            </w:rPr>
            <w:t>Base Service Desk Services Performance</w:t>
            <w:tab/>
          </w:r>
          <w:hyperlink w:anchor="__RefHeading___Toc151896991">
            <w:r>
              <w:rPr>
                <w:rStyle w:val="IndexLink"/>
                <w:sz w:val="18"/>
                <w:szCs w:val="18"/>
                <w:lang w:val="fr-FR" w:eastAsia="en-US"/>
              </w:rPr>
              <w:t>25</w:t>
            </w:r>
          </w:hyperlink>
        </w:p>
        <w:p>
          <w:pPr>
            <w:pStyle w:val="TOC2"/>
            <w:tabs>
              <w:tab w:val="clear" w:pos="720"/>
              <w:tab w:val="left" w:pos="880" w:leader="none"/>
              <w:tab w:val="right" w:pos="9350" w:leader="dot"/>
            </w:tabs>
            <w:rPr>
              <w:i w:val="false"/>
              <w:i w:val="false"/>
              <w:iCs w:val="false"/>
              <w:sz w:val="18"/>
              <w:szCs w:val="18"/>
              <w:lang w:val="fr-FR" w:eastAsia="en-US"/>
            </w:rPr>
          </w:pPr>
          <w:r>
            <w:rPr>
              <w:sz w:val="18"/>
              <w:szCs w:val="18"/>
              <w:lang w:val="fr-FR" w:eastAsia="en-US"/>
            </w:rPr>
            <w:t>7.1</w:t>
          </w:r>
          <w:r>
            <w:rPr>
              <w:i w:val="false"/>
              <w:iCs w:val="false"/>
              <w:sz w:val="18"/>
              <w:szCs w:val="18"/>
              <w:lang w:val="fr-FR" w:eastAsia="en-US"/>
            </w:rPr>
            <w:tab/>
          </w:r>
          <w:r>
            <w:rPr>
              <w:sz w:val="18"/>
              <w:szCs w:val="18"/>
              <w:lang w:val="fr-FR" w:eastAsia="en-US"/>
            </w:rPr>
            <w:t>Base Service Desk Services – Performance</w:t>
            <w:tab/>
          </w:r>
          <w:hyperlink w:anchor="__RefHeading___Toc151896992">
            <w:r>
              <w:rPr>
                <w:rStyle w:val="IndexLink"/>
                <w:sz w:val="18"/>
                <w:szCs w:val="18"/>
                <w:lang w:val="fr-FR" w:eastAsia="en-US"/>
              </w:rPr>
              <w:t>25</w:t>
            </w:r>
          </w:hyperlink>
        </w:p>
        <w:p>
          <w:pPr>
            <w:pStyle w:val="TOC1"/>
            <w:tabs>
              <w:tab w:val="clear" w:pos="720"/>
              <w:tab w:val="left" w:pos="660" w:leader="none"/>
              <w:tab w:val="right" w:pos="9350" w:leader="dot"/>
            </w:tabs>
            <w:rPr>
              <w:b w:val="false"/>
              <w:bCs w:val="false"/>
              <w:sz w:val="18"/>
              <w:szCs w:val="18"/>
              <w:lang w:val="fr-FR" w:eastAsia="en-US"/>
            </w:rPr>
          </w:pPr>
          <w:r>
            <w:rPr>
              <w:sz w:val="18"/>
              <w:szCs w:val="18"/>
              <w:lang w:val="fr-FR" w:eastAsia="en-US"/>
            </w:rPr>
            <w:t>8.0</w:t>
          </w:r>
          <w:r>
            <w:rPr>
              <w:b w:val="false"/>
              <w:bCs w:val="false"/>
              <w:sz w:val="18"/>
              <w:szCs w:val="18"/>
              <w:lang w:val="fr-FR" w:eastAsia="en-US"/>
            </w:rPr>
            <w:tab/>
          </w:r>
          <w:r>
            <w:rPr>
              <w:sz w:val="18"/>
              <w:szCs w:val="18"/>
              <w:lang w:val="fr-FR" w:eastAsia="en-US"/>
            </w:rPr>
            <w:t>IMAC Services Performance</w:t>
            <w:tab/>
          </w:r>
          <w:hyperlink w:anchor="__RefHeading___Toc151896993">
            <w:r>
              <w:rPr>
                <w:rStyle w:val="IndexLink"/>
                <w:sz w:val="18"/>
                <w:szCs w:val="18"/>
                <w:lang w:val="fr-FR" w:eastAsia="en-US"/>
              </w:rPr>
              <w:t>27</w:t>
            </w:r>
          </w:hyperlink>
        </w:p>
        <w:p>
          <w:pPr>
            <w:pStyle w:val="TOC2"/>
            <w:tabs>
              <w:tab w:val="clear" w:pos="720"/>
              <w:tab w:val="left" w:pos="880" w:leader="none"/>
              <w:tab w:val="right" w:pos="9350" w:leader="dot"/>
            </w:tabs>
            <w:rPr>
              <w:i w:val="false"/>
              <w:i w:val="false"/>
              <w:iCs w:val="false"/>
              <w:sz w:val="18"/>
              <w:szCs w:val="18"/>
              <w:lang w:val="fr-FR" w:eastAsia="en-US"/>
            </w:rPr>
          </w:pPr>
          <w:r>
            <w:rPr>
              <w:sz w:val="18"/>
              <w:szCs w:val="18"/>
              <w:lang w:val="fr-FR" w:eastAsia="en-US"/>
            </w:rPr>
            <w:t>8.1</w:t>
          </w:r>
          <w:r>
            <w:rPr>
              <w:i w:val="false"/>
              <w:iCs w:val="false"/>
              <w:sz w:val="18"/>
              <w:szCs w:val="18"/>
              <w:lang w:val="fr-FR" w:eastAsia="en-US"/>
            </w:rPr>
            <w:tab/>
          </w:r>
          <w:r>
            <w:rPr>
              <w:sz w:val="18"/>
              <w:szCs w:val="18"/>
              <w:lang w:val="fr-FR" w:eastAsia="en-US"/>
            </w:rPr>
            <w:t>IMAC Response &amp; Management Service – Performance</w:t>
            <w:tab/>
          </w:r>
          <w:hyperlink w:anchor="__RefHeading___Toc151896994">
            <w:r>
              <w:rPr>
                <w:rStyle w:val="IndexLink"/>
                <w:sz w:val="18"/>
                <w:szCs w:val="18"/>
                <w:lang w:val="fr-FR" w:eastAsia="en-US"/>
              </w:rPr>
              <w:t>27</w:t>
            </w:r>
          </w:hyperlink>
        </w:p>
        <w:p>
          <w:pPr>
            <w:pStyle w:val="TOC1"/>
            <w:tabs>
              <w:tab w:val="clear" w:pos="720"/>
              <w:tab w:val="left" w:pos="660" w:leader="none"/>
              <w:tab w:val="right" w:pos="9350" w:leader="dot"/>
            </w:tabs>
            <w:rPr>
              <w:b w:val="false"/>
              <w:bCs w:val="false"/>
              <w:sz w:val="18"/>
              <w:szCs w:val="18"/>
              <w:lang w:val="fr-FR" w:eastAsia="en-US"/>
            </w:rPr>
          </w:pPr>
          <w:r>
            <w:rPr>
              <w:sz w:val="18"/>
              <w:szCs w:val="18"/>
              <w:lang w:val="fr-FR" w:eastAsia="en-US"/>
            </w:rPr>
            <w:t>9.0</w:t>
          </w:r>
          <w:r>
            <w:rPr>
              <w:b w:val="false"/>
              <w:bCs w:val="false"/>
              <w:sz w:val="18"/>
              <w:szCs w:val="18"/>
              <w:lang w:val="fr-FR" w:eastAsia="en-US"/>
            </w:rPr>
            <w:tab/>
          </w:r>
          <w:r>
            <w:rPr>
              <w:sz w:val="18"/>
              <w:szCs w:val="18"/>
              <w:lang w:val="fr-FR" w:eastAsia="en-US"/>
            </w:rPr>
            <w:t>Incident Services Performance</w:t>
            <w:tab/>
          </w:r>
          <w:hyperlink w:anchor="__RefHeading___Toc151896995">
            <w:r>
              <w:rPr>
                <w:rStyle w:val="IndexLink"/>
                <w:sz w:val="18"/>
                <w:szCs w:val="18"/>
                <w:lang w:val="fr-FR" w:eastAsia="en-US"/>
              </w:rPr>
              <w:t>30</w:t>
            </w:r>
          </w:hyperlink>
        </w:p>
        <w:p>
          <w:pPr>
            <w:pStyle w:val="TOC2"/>
            <w:tabs>
              <w:tab w:val="clear" w:pos="720"/>
              <w:tab w:val="left" w:pos="880" w:leader="none"/>
              <w:tab w:val="right" w:pos="9350" w:leader="dot"/>
            </w:tabs>
            <w:rPr>
              <w:i w:val="false"/>
              <w:i w:val="false"/>
              <w:iCs w:val="false"/>
              <w:sz w:val="18"/>
              <w:szCs w:val="18"/>
              <w:lang w:val="fr-FR" w:eastAsia="en-US"/>
            </w:rPr>
          </w:pPr>
          <w:r>
            <w:rPr>
              <w:sz w:val="18"/>
              <w:szCs w:val="18"/>
              <w:lang w:val="fr-FR" w:eastAsia="en-US"/>
            </w:rPr>
            <w:t>9.1</w:t>
          </w:r>
          <w:r>
            <w:rPr>
              <w:i w:val="false"/>
              <w:iCs w:val="false"/>
              <w:sz w:val="18"/>
              <w:szCs w:val="18"/>
              <w:lang w:val="fr-FR" w:eastAsia="en-US"/>
            </w:rPr>
            <w:tab/>
          </w:r>
          <w:r>
            <w:rPr>
              <w:sz w:val="18"/>
              <w:szCs w:val="18"/>
              <w:lang w:val="fr-FR" w:eastAsia="en-US"/>
            </w:rPr>
            <w:t>Incident Response &amp; Management Service – Performance</w:t>
            <w:tab/>
          </w:r>
          <w:hyperlink w:anchor="__RefHeading___Toc151896996">
            <w:r>
              <w:rPr>
                <w:rStyle w:val="IndexLink"/>
                <w:sz w:val="18"/>
                <w:szCs w:val="18"/>
                <w:lang w:val="fr-FR" w:eastAsia="en-US"/>
              </w:rPr>
              <w:t>30</w:t>
            </w:r>
          </w:hyperlink>
        </w:p>
        <w:p>
          <w:pPr>
            <w:pStyle w:val="TOC1"/>
            <w:tabs>
              <w:tab w:val="clear" w:pos="720"/>
              <w:tab w:val="left" w:pos="660" w:leader="none"/>
              <w:tab w:val="right" w:pos="9350" w:leader="dot"/>
            </w:tabs>
            <w:rPr>
              <w:b w:val="false"/>
              <w:bCs w:val="false"/>
              <w:sz w:val="18"/>
              <w:szCs w:val="18"/>
              <w:lang w:val="fr-FR" w:eastAsia="en-US"/>
            </w:rPr>
          </w:pPr>
          <w:r>
            <w:rPr>
              <w:sz w:val="18"/>
              <w:szCs w:val="18"/>
              <w:lang w:val="fr-FR" w:eastAsia="en-US"/>
            </w:rPr>
            <w:t>10.0</w:t>
          </w:r>
          <w:r>
            <w:rPr>
              <w:b w:val="false"/>
              <w:bCs w:val="false"/>
              <w:sz w:val="18"/>
              <w:szCs w:val="18"/>
              <w:lang w:val="fr-FR" w:eastAsia="en-US"/>
            </w:rPr>
            <w:tab/>
          </w:r>
          <w:r>
            <w:rPr>
              <w:sz w:val="18"/>
              <w:szCs w:val="18"/>
              <w:lang w:val="fr-FR" w:eastAsia="en-US"/>
            </w:rPr>
            <w:t>Integrator Services</w:t>
            <w:tab/>
          </w:r>
          <w:hyperlink w:anchor="__RefHeading___Toc151896997">
            <w:r>
              <w:rPr>
                <w:rStyle w:val="IndexLink"/>
                <w:sz w:val="18"/>
                <w:szCs w:val="18"/>
                <w:lang w:val="fr-FR" w:eastAsia="en-US"/>
              </w:rPr>
              <w:t>36</w:t>
            </w:r>
          </w:hyperlink>
        </w:p>
        <w:p>
          <w:pPr>
            <w:pStyle w:val="TOC2"/>
            <w:tabs>
              <w:tab w:val="clear" w:pos="720"/>
              <w:tab w:val="left" w:pos="880" w:leader="none"/>
              <w:tab w:val="right" w:pos="9350" w:leader="dot"/>
            </w:tabs>
            <w:rPr>
              <w:i w:val="false"/>
              <w:i w:val="false"/>
              <w:iCs w:val="false"/>
              <w:sz w:val="18"/>
              <w:szCs w:val="18"/>
              <w:lang w:val="fr-FR" w:eastAsia="en-US"/>
            </w:rPr>
          </w:pPr>
          <w:r>
            <w:rPr>
              <w:sz w:val="18"/>
              <w:szCs w:val="18"/>
              <w:lang w:val="fr-FR" w:eastAsia="en-US"/>
            </w:rPr>
            <w:t>10.1</w:t>
          </w:r>
          <w:r>
            <w:rPr>
              <w:i w:val="false"/>
              <w:iCs w:val="false"/>
              <w:sz w:val="18"/>
              <w:szCs w:val="18"/>
              <w:lang w:val="fr-FR" w:eastAsia="en-US"/>
            </w:rPr>
            <w:tab/>
          </w:r>
          <w:r>
            <w:rPr>
              <w:sz w:val="18"/>
              <w:szCs w:val="18"/>
              <w:lang w:val="fr-FR" w:eastAsia="en-US"/>
            </w:rPr>
            <w:t>Service Management Service – Availability</w:t>
            <w:tab/>
          </w:r>
          <w:hyperlink w:anchor="__RefHeading___Toc151896998">
            <w:r>
              <w:rPr>
                <w:rStyle w:val="IndexLink"/>
                <w:sz w:val="18"/>
                <w:szCs w:val="18"/>
                <w:lang w:val="fr-FR" w:eastAsia="en-US"/>
              </w:rPr>
              <w:t>36</w:t>
            </w:r>
          </w:hyperlink>
        </w:p>
        <w:p>
          <w:pPr>
            <w:pStyle w:val="TOC2"/>
            <w:tabs>
              <w:tab w:val="clear" w:pos="720"/>
              <w:tab w:val="left" w:pos="880" w:leader="none"/>
              <w:tab w:val="right" w:pos="9350" w:leader="dot"/>
            </w:tabs>
            <w:rPr>
              <w:i w:val="false"/>
              <w:i w:val="false"/>
              <w:iCs w:val="false"/>
              <w:sz w:val="18"/>
              <w:szCs w:val="18"/>
              <w:lang w:val="fr-FR" w:eastAsia="en-US"/>
            </w:rPr>
          </w:pPr>
          <w:r>
            <w:rPr>
              <w:sz w:val="18"/>
              <w:szCs w:val="18"/>
              <w:lang w:val="fr-FR" w:eastAsia="en-US"/>
            </w:rPr>
            <w:t>10.2</w:t>
          </w:r>
          <w:r>
            <w:rPr>
              <w:i w:val="false"/>
              <w:iCs w:val="false"/>
              <w:sz w:val="18"/>
              <w:szCs w:val="18"/>
              <w:lang w:val="fr-FR" w:eastAsia="en-US"/>
            </w:rPr>
            <w:tab/>
          </w:r>
          <w:r>
            <w:rPr>
              <w:sz w:val="18"/>
              <w:szCs w:val="18"/>
              <w:lang w:val="fr-FR" w:eastAsia="en-US"/>
            </w:rPr>
            <w:t>Service Management Service – Performance</w:t>
            <w:tab/>
          </w:r>
          <w:hyperlink w:anchor="__RefHeading___Toc151896999">
            <w:r>
              <w:rPr>
                <w:rStyle w:val="IndexLink"/>
                <w:sz w:val="18"/>
                <w:szCs w:val="18"/>
                <w:lang w:val="fr-FR" w:eastAsia="en-US"/>
              </w:rPr>
              <w:t>37</w:t>
            </w:r>
          </w:hyperlink>
        </w:p>
        <w:p>
          <w:pPr>
            <w:pStyle w:val="TOC2"/>
            <w:tabs>
              <w:tab w:val="clear" w:pos="720"/>
              <w:tab w:val="left" w:pos="880" w:leader="none"/>
              <w:tab w:val="right" w:pos="9350" w:leader="dot"/>
            </w:tabs>
            <w:rPr>
              <w:i w:val="false"/>
              <w:i w:val="false"/>
              <w:iCs w:val="false"/>
              <w:sz w:val="18"/>
              <w:szCs w:val="18"/>
              <w:lang w:val="fr-FR" w:eastAsia="en-US"/>
            </w:rPr>
          </w:pPr>
          <w:r>
            <w:rPr>
              <w:sz w:val="18"/>
              <w:szCs w:val="18"/>
              <w:lang w:val="fr-FR" w:eastAsia="en-US"/>
            </w:rPr>
            <w:t>10.3</w:t>
          </w:r>
          <w:r>
            <w:rPr>
              <w:i w:val="false"/>
              <w:iCs w:val="false"/>
              <w:sz w:val="18"/>
              <w:szCs w:val="18"/>
              <w:lang w:val="fr-FR" w:eastAsia="en-US"/>
            </w:rPr>
            <w:tab/>
          </w:r>
          <w:r>
            <w:rPr>
              <w:sz w:val="18"/>
              <w:szCs w:val="18"/>
              <w:lang w:val="fr-FR" w:eastAsia="en-US"/>
            </w:rPr>
            <w:t>Security Management Service - Performance (incl audits)</w:t>
            <w:tab/>
          </w:r>
          <w:hyperlink w:anchor="__RefHeading___Toc151897000">
            <w:r>
              <w:rPr>
                <w:rStyle w:val="IndexLink"/>
                <w:sz w:val="18"/>
                <w:szCs w:val="18"/>
                <w:lang w:val="fr-FR" w:eastAsia="en-US"/>
              </w:rPr>
              <w:t>41</w:t>
            </w:r>
          </w:hyperlink>
        </w:p>
        <w:p>
          <w:pPr>
            <w:pStyle w:val="TOC2"/>
            <w:tabs>
              <w:tab w:val="clear" w:pos="720"/>
              <w:tab w:val="left" w:pos="880" w:leader="none"/>
              <w:tab w:val="right" w:pos="9350" w:leader="dot"/>
            </w:tabs>
            <w:rPr>
              <w:i w:val="false"/>
              <w:i w:val="false"/>
              <w:iCs w:val="false"/>
              <w:sz w:val="18"/>
              <w:szCs w:val="18"/>
              <w:lang w:val="fr-FR" w:eastAsia="en-US"/>
            </w:rPr>
          </w:pPr>
          <w:r>
            <w:rPr>
              <w:sz w:val="18"/>
              <w:szCs w:val="18"/>
              <w:lang w:val="fr-FR" w:eastAsia="en-US"/>
            </w:rPr>
            <w:t>10.4</w:t>
          </w:r>
          <w:r>
            <w:rPr>
              <w:i w:val="false"/>
              <w:iCs w:val="false"/>
              <w:sz w:val="18"/>
              <w:szCs w:val="18"/>
              <w:lang w:val="fr-FR" w:eastAsia="en-US"/>
            </w:rPr>
            <w:tab/>
          </w:r>
          <w:r>
            <w:rPr>
              <w:sz w:val="18"/>
              <w:szCs w:val="18"/>
              <w:lang w:val="fr-FR" w:eastAsia="en-US"/>
            </w:rPr>
            <w:t>BCP &amp; DRP Service – Performance</w:t>
            <w:tab/>
          </w:r>
          <w:hyperlink w:anchor="__RefHeading___Toc151897001">
            <w:r>
              <w:rPr>
                <w:rStyle w:val="IndexLink"/>
                <w:sz w:val="18"/>
                <w:szCs w:val="18"/>
                <w:lang w:val="fr-FR" w:eastAsia="en-US"/>
              </w:rPr>
              <w:t>42</w:t>
            </w:r>
          </w:hyperlink>
        </w:p>
        <w:p>
          <w:pPr>
            <w:pStyle w:val="TOC2"/>
            <w:tabs>
              <w:tab w:val="clear" w:pos="720"/>
              <w:tab w:val="left" w:pos="880" w:leader="none"/>
              <w:tab w:val="right" w:pos="9350" w:leader="dot"/>
            </w:tabs>
            <w:rPr>
              <w:i w:val="false"/>
              <w:i w:val="false"/>
              <w:iCs w:val="false"/>
              <w:sz w:val="18"/>
              <w:szCs w:val="18"/>
              <w:lang w:val="fr-FR" w:eastAsia="en-US"/>
            </w:rPr>
          </w:pPr>
          <w:r>
            <w:rPr>
              <w:sz w:val="18"/>
              <w:szCs w:val="18"/>
              <w:lang w:val="fr-FR" w:eastAsia="en-US"/>
            </w:rPr>
            <w:t>10.5</w:t>
          </w:r>
          <w:r>
            <w:rPr>
              <w:i w:val="false"/>
              <w:iCs w:val="false"/>
              <w:sz w:val="18"/>
              <w:szCs w:val="18"/>
              <w:lang w:val="fr-FR" w:eastAsia="en-US"/>
            </w:rPr>
            <w:tab/>
          </w:r>
          <w:r>
            <w:rPr>
              <w:sz w:val="18"/>
              <w:szCs w:val="18"/>
              <w:lang w:val="fr-FR" w:eastAsia="en-US"/>
            </w:rPr>
            <w:t>PMO Service – Performance</w:t>
            <w:tab/>
          </w:r>
          <w:hyperlink w:anchor="__RefHeading___Toc151897002">
            <w:r>
              <w:rPr>
                <w:rStyle w:val="IndexLink"/>
                <w:sz w:val="18"/>
                <w:szCs w:val="18"/>
                <w:lang w:val="fr-FR" w:eastAsia="en-US"/>
              </w:rPr>
              <w:t>43</w:t>
            </w:r>
          </w:hyperlink>
        </w:p>
        <w:p>
          <w:pPr>
            <w:pStyle w:val="TOC2"/>
            <w:tabs>
              <w:tab w:val="clear" w:pos="720"/>
              <w:tab w:val="left" w:pos="880" w:leader="none"/>
              <w:tab w:val="right" w:pos="9350" w:leader="dot"/>
            </w:tabs>
            <w:rPr>
              <w:i w:val="false"/>
              <w:i w:val="false"/>
              <w:iCs w:val="false"/>
              <w:sz w:val="18"/>
              <w:szCs w:val="18"/>
              <w:lang w:val="fr-FR" w:eastAsia="en-US"/>
            </w:rPr>
          </w:pPr>
          <w:r>
            <w:rPr>
              <w:sz w:val="18"/>
              <w:szCs w:val="18"/>
              <w:lang w:val="fr-FR" w:eastAsia="en-US"/>
            </w:rPr>
            <w:t>10.6</w:t>
          </w:r>
          <w:r>
            <w:rPr>
              <w:i w:val="false"/>
              <w:iCs w:val="false"/>
              <w:sz w:val="18"/>
              <w:szCs w:val="18"/>
              <w:lang w:val="fr-FR" w:eastAsia="en-US"/>
            </w:rPr>
            <w:tab/>
          </w:r>
          <w:r>
            <w:rPr>
              <w:sz w:val="18"/>
              <w:szCs w:val="18"/>
              <w:lang w:val="fr-FR" w:eastAsia="en-US"/>
            </w:rPr>
            <w:t>Reporting Service - Performance (e.g. SLA, finance, post-mortem, security/audit, changes)</w:t>
            <w:tab/>
          </w:r>
          <w:hyperlink w:anchor="__RefHeading___Toc151897003">
            <w:r>
              <w:rPr>
                <w:rStyle w:val="IndexLink"/>
                <w:sz w:val="18"/>
                <w:szCs w:val="18"/>
                <w:lang w:val="fr-FR" w:eastAsia="en-US"/>
              </w:rPr>
              <w:t>44</w:t>
            </w:r>
          </w:hyperlink>
        </w:p>
        <w:p>
          <w:pPr>
            <w:pStyle w:val="TOC1"/>
            <w:tabs>
              <w:tab w:val="clear" w:pos="720"/>
              <w:tab w:val="left" w:pos="660" w:leader="none"/>
              <w:tab w:val="right" w:pos="9350" w:leader="dot"/>
            </w:tabs>
            <w:rPr>
              <w:b w:val="false"/>
              <w:bCs w:val="false"/>
              <w:sz w:val="18"/>
              <w:szCs w:val="18"/>
              <w:lang w:val="en-US" w:eastAsia="en-US"/>
            </w:rPr>
          </w:pPr>
          <w:r>
            <w:rPr>
              <w:sz w:val="18"/>
              <w:szCs w:val="18"/>
              <w:lang w:val="en-GB" w:eastAsia="en-US"/>
            </w:rPr>
            <w:t>11.0</w:t>
          </w:r>
          <w:r>
            <w:rPr>
              <w:b w:val="false"/>
              <w:bCs w:val="false"/>
              <w:sz w:val="18"/>
              <w:szCs w:val="18"/>
              <w:lang w:val="en-US" w:eastAsia="en-US"/>
            </w:rPr>
            <w:tab/>
          </w:r>
          <w:r>
            <w:rPr>
              <w:sz w:val="18"/>
              <w:szCs w:val="18"/>
              <w:lang w:val="en-GB" w:eastAsia="en-US"/>
            </w:rPr>
            <w:t>Key Measures</w:t>
          </w:r>
          <w:r>
            <w:rPr>
              <w:sz w:val="18"/>
              <w:szCs w:val="18"/>
              <w:lang w:val="en-US" w:eastAsia="en-US"/>
            </w:rPr>
            <w:tab/>
          </w:r>
          <w:hyperlink w:anchor="__RefHeading___Toc151897004">
            <w:r>
              <w:rPr>
                <w:rStyle w:val="IndexLink"/>
                <w:sz w:val="18"/>
                <w:szCs w:val="18"/>
                <w:lang w:val="en-US" w:eastAsia="en-US"/>
              </w:rPr>
              <w:t>50</w:t>
            </w:r>
          </w:hyperlink>
        </w:p>
        <w:p>
          <w:pPr>
            <w:pStyle w:val="TOC1"/>
            <w:tabs>
              <w:tab w:val="clear" w:pos="720"/>
              <w:tab w:val="left" w:pos="660" w:leader="none"/>
              <w:tab w:val="right" w:pos="9350" w:leader="dot"/>
            </w:tabs>
            <w:rPr>
              <w:b w:val="false"/>
              <w:bCs w:val="false"/>
              <w:sz w:val="18"/>
              <w:szCs w:val="18"/>
              <w:lang w:val="en-US" w:eastAsia="en-US"/>
            </w:rPr>
          </w:pPr>
          <w:r>
            <w:rPr>
              <w:sz w:val="18"/>
              <w:szCs w:val="18"/>
              <w:lang w:val="en-GB" w:eastAsia="en-US"/>
            </w:rPr>
            <w:t>12.0</w:t>
          </w:r>
          <w:r>
            <w:rPr>
              <w:b w:val="false"/>
              <w:bCs w:val="false"/>
              <w:sz w:val="18"/>
              <w:szCs w:val="18"/>
              <w:lang w:val="en-US" w:eastAsia="en-US"/>
            </w:rPr>
            <w:tab/>
          </w:r>
          <w:r>
            <w:rPr>
              <w:sz w:val="18"/>
              <w:szCs w:val="18"/>
              <w:lang w:val="en-GB" w:eastAsia="en-US"/>
            </w:rPr>
            <w:t>CD-CRITICAL SERVICE LEVELs</w:t>
          </w:r>
          <w:r>
            <w:rPr>
              <w:sz w:val="18"/>
              <w:szCs w:val="18"/>
              <w:lang w:val="en-US" w:eastAsia="en-US"/>
            </w:rPr>
            <w:tab/>
          </w:r>
          <w:hyperlink w:anchor="__RefHeading___Toc151897005">
            <w:r>
              <w:rPr>
                <w:rStyle w:val="IndexLink"/>
                <w:sz w:val="18"/>
                <w:szCs w:val="18"/>
                <w:lang w:val="en-US" w:eastAsia="en-US"/>
              </w:rPr>
              <w:t>51</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12.1</w:t>
          </w:r>
          <w:r>
            <w:rPr>
              <w:i w:val="false"/>
              <w:iCs w:val="false"/>
              <w:sz w:val="18"/>
              <w:szCs w:val="18"/>
              <w:lang w:val="en-US" w:eastAsia="en-US"/>
            </w:rPr>
            <w:tab/>
          </w:r>
          <w:r>
            <w:rPr>
              <w:bCs/>
              <w:sz w:val="18"/>
              <w:szCs w:val="18"/>
              <w:lang w:val="en-GB" w:eastAsia="en-US"/>
            </w:rPr>
            <w:t>Reporting Application Integration Service - Performance</w:t>
          </w:r>
          <w:r>
            <w:rPr>
              <w:sz w:val="18"/>
              <w:szCs w:val="18"/>
              <w:lang w:val="en-US" w:eastAsia="en-US"/>
            </w:rPr>
            <w:tab/>
          </w:r>
          <w:hyperlink w:anchor="__RefHeading___Toc151897006">
            <w:r>
              <w:rPr>
                <w:rStyle w:val="IndexLink"/>
                <w:sz w:val="18"/>
                <w:szCs w:val="18"/>
                <w:lang w:val="en-US" w:eastAsia="en-US"/>
              </w:rPr>
              <w:t>51</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12.2</w:t>
          </w:r>
          <w:r>
            <w:rPr>
              <w:i w:val="false"/>
              <w:iCs w:val="false"/>
              <w:sz w:val="18"/>
              <w:szCs w:val="18"/>
              <w:lang w:val="en-US" w:eastAsia="en-US"/>
            </w:rPr>
            <w:tab/>
          </w:r>
          <w:r>
            <w:rPr>
              <w:bCs/>
              <w:sz w:val="18"/>
              <w:szCs w:val="18"/>
              <w:lang w:val="en-GB" w:eastAsia="en-US"/>
            </w:rPr>
            <w:t>Access Service - Service requests - Performance</w:t>
          </w:r>
          <w:r>
            <w:rPr>
              <w:sz w:val="18"/>
              <w:szCs w:val="18"/>
              <w:lang w:val="en-US" w:eastAsia="en-US"/>
            </w:rPr>
            <w:tab/>
          </w:r>
          <w:hyperlink w:anchor="__RefHeading___Toc151897007">
            <w:r>
              <w:rPr>
                <w:rStyle w:val="IndexLink"/>
                <w:sz w:val="18"/>
                <w:szCs w:val="18"/>
                <w:lang w:val="en-US" w:eastAsia="en-US"/>
              </w:rPr>
              <w:t>52</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12.3</w:t>
          </w:r>
          <w:r>
            <w:rPr>
              <w:i w:val="false"/>
              <w:iCs w:val="false"/>
              <w:sz w:val="18"/>
              <w:szCs w:val="18"/>
              <w:lang w:val="en-US" w:eastAsia="en-US"/>
            </w:rPr>
            <w:tab/>
          </w:r>
          <w:r>
            <w:rPr>
              <w:bCs/>
              <w:sz w:val="18"/>
              <w:szCs w:val="18"/>
              <w:lang w:val="en-GB" w:eastAsia="en-US"/>
            </w:rPr>
            <w:t>Base Service Desk Service - Availability</w:t>
          </w:r>
          <w:r>
            <w:rPr>
              <w:sz w:val="18"/>
              <w:szCs w:val="18"/>
              <w:lang w:val="en-US" w:eastAsia="en-US"/>
            </w:rPr>
            <w:tab/>
          </w:r>
          <w:hyperlink w:anchor="__RefHeading___Toc151897008">
            <w:r>
              <w:rPr>
                <w:rStyle w:val="IndexLink"/>
                <w:sz w:val="18"/>
                <w:szCs w:val="18"/>
                <w:lang w:val="en-US" w:eastAsia="en-US"/>
              </w:rPr>
              <w:t>53</w:t>
            </w:r>
          </w:hyperlink>
        </w:p>
        <w:p>
          <w:pPr>
            <w:pStyle w:val="TOC2"/>
            <w:tabs>
              <w:tab w:val="clear" w:pos="720"/>
              <w:tab w:val="left" w:pos="880" w:leader="none"/>
              <w:tab w:val="right" w:pos="9350" w:leader="dot"/>
            </w:tabs>
            <w:rPr>
              <w:i w:val="false"/>
              <w:i w:val="false"/>
              <w:iCs w:val="false"/>
              <w:sz w:val="18"/>
              <w:szCs w:val="18"/>
              <w:lang w:val="en-US" w:eastAsia="en-US"/>
            </w:rPr>
          </w:pPr>
          <w:r>
            <w:rPr>
              <w:sz w:val="18"/>
              <w:szCs w:val="18"/>
              <w:lang w:val="en-US" w:eastAsia="en-US"/>
            </w:rPr>
            <w:t>12.4</w:t>
          </w:r>
          <w:r>
            <w:rPr>
              <w:i w:val="false"/>
              <w:iCs w:val="false"/>
              <w:sz w:val="18"/>
              <w:szCs w:val="18"/>
              <w:lang w:val="en-US" w:eastAsia="en-US"/>
            </w:rPr>
            <w:tab/>
          </w:r>
          <w:r>
            <w:rPr>
              <w:bCs/>
              <w:sz w:val="18"/>
              <w:szCs w:val="18"/>
              <w:lang w:val="en-GB" w:eastAsia="en-US"/>
            </w:rPr>
            <w:t>Base Service Desk Services - Performance</w:t>
          </w:r>
          <w:r>
            <w:rPr>
              <w:sz w:val="18"/>
              <w:szCs w:val="18"/>
              <w:lang w:val="en-US" w:eastAsia="en-US"/>
            </w:rPr>
            <w:tab/>
          </w:r>
          <w:hyperlink w:anchor="__RefHeading___Toc151897019">
            <w:r>
              <w:rPr>
                <w:rStyle w:val="IndexLink"/>
                <w:sz w:val="18"/>
                <w:szCs w:val="18"/>
                <w:lang w:val="en-US" w:eastAsia="en-US"/>
              </w:rPr>
              <w:t>54</w:t>
            </w:r>
          </w:hyperlink>
        </w:p>
        <w:p>
          <w:pPr>
            <w:pStyle w:val="TOC2"/>
            <w:tabs>
              <w:tab w:val="clear" w:pos="720"/>
              <w:tab w:val="left" w:pos="880" w:leader="none"/>
              <w:tab w:val="right" w:pos="9350" w:leader="dot"/>
            </w:tabs>
            <w:rPr>
              <w:sz w:val="18"/>
              <w:szCs w:val="18"/>
              <w:lang w:val="en-US" w:eastAsia="en-US"/>
            </w:rPr>
          </w:pPr>
          <w:r>
            <w:rPr>
              <w:sz w:val="18"/>
              <w:szCs w:val="18"/>
              <w:lang w:val="en-US" w:eastAsia="en-US"/>
            </w:rPr>
            <w:t>12.5</w:t>
          </w:r>
          <w:r>
            <w:rPr>
              <w:i w:val="false"/>
              <w:iCs w:val="false"/>
              <w:sz w:val="18"/>
              <w:szCs w:val="18"/>
              <w:lang w:val="en-US" w:eastAsia="en-US"/>
            </w:rPr>
            <w:tab/>
          </w:r>
          <w:r>
            <w:rPr>
              <w:bCs/>
              <w:sz w:val="18"/>
              <w:szCs w:val="18"/>
              <w:lang w:val="en-GB" w:eastAsia="en-US"/>
            </w:rPr>
            <w:t>Incident Response &amp; Management Service - Performance</w:t>
          </w:r>
          <w:r>
            <w:rPr>
              <w:sz w:val="18"/>
              <w:szCs w:val="18"/>
              <w:lang w:val="en-US" w:eastAsia="en-US"/>
            </w:rPr>
            <w:tab/>
          </w:r>
          <w:hyperlink w:anchor="__RefHeading___Toc151897025">
            <w:r>
              <w:rPr>
                <w:rStyle w:val="IndexLink"/>
                <w:sz w:val="18"/>
                <w:szCs w:val="18"/>
                <w:lang w:val="en-US" w:eastAsia="en-US"/>
              </w:rPr>
              <w:t>54</w:t>
            </w:r>
          </w:hyperlink>
        </w:p>
        <w:p>
          <w:pPr>
            <w:pStyle w:val="Normal"/>
            <w:rPr>
              <w:sz w:val="18"/>
              <w:szCs w:val="18"/>
              <w:lang w:val="en-US" w:eastAsia="en-US"/>
            </w:rPr>
          </w:pPr>
          <w:r>
            <w:rPr>
              <w:sz w:val="18"/>
              <w:szCs w:val="18"/>
              <w:lang w:val="en-US" w:eastAsia="en-US"/>
            </w:rPr>
          </w:r>
        </w:p>
        <w:p>
          <w:pPr>
            <w:pStyle w:val="Normal"/>
            <w:rPr>
              <w:lang w:val="en-US" w:eastAsia="en-US"/>
            </w:rPr>
          </w:pPr>
          <w:r>
            <w:rPr>
              <w:lang w:val="en-US" w:eastAsia="en-US"/>
            </w:rPr>
          </w:r>
        </w:p>
        <w:p>
          <w:pPr>
            <w:pStyle w:val="Normal"/>
            <w:rPr>
              <w:lang w:val="en-US" w:eastAsia="en-US"/>
            </w:rPr>
          </w:pPr>
          <w:r>
            <w:rPr>
              <w:lang w:val="en-US" w:eastAsia="en-US"/>
            </w:rPr>
          </w:r>
          <w:r>
            <w:rPr>
              <w:lang w:val="en-US" w:eastAsia="en-US"/>
            </w:rPr>
            <w:fldChar w:fldCharType="end"/>
          </w:r>
        </w:p>
        <w:p>
          <w:pPr>
            <w:sectPr>
              <w:headerReference w:type="default" r:id="rId4"/>
              <w:headerReference w:type="first" r:id="rId5"/>
              <w:footerReference w:type="default" r:id="rId6"/>
              <w:footerReference w:type="first" r:id="rId7"/>
              <w:type w:val="nextPage"/>
              <w:pgSz w:w="11906" w:h="16838"/>
              <w:pgMar w:left="1440" w:right="1109" w:gutter="0" w:header="720" w:top="1728" w:footer="851" w:bottom="1728"/>
              <w:pgNumType w:start="1" w:fmt="lowerRoman"/>
              <w:formProt w:val="false"/>
              <w:textDirection w:val="lrTb"/>
              <w:docGrid w:type="default" w:linePitch="360" w:charSpace="0"/>
            </w:sectPr>
          </w:pPr>
        </w:p>
      </w:sdtContent>
    </w:sdt>
    <w:p>
      <w:pPr>
        <w:pStyle w:val="Heading1Numbered"/>
        <w:numPr>
          <w:ilvl w:val="0"/>
          <w:numId w:val="4"/>
        </w:numPr>
        <w:ind w:hanging="0" w:start="0"/>
        <w:jc w:val="both"/>
        <w:rPr>
          <w:rFonts w:ascii="Times New Roman" w:hAnsi="Times New Roman" w:cs="Times New Roman"/>
          <w:sz w:val="22"/>
          <w:szCs w:val="22"/>
          <w:lang w:val="en-GB"/>
        </w:rPr>
      </w:pPr>
      <w:bookmarkStart w:id="0" w:name="__RefHeading___Toc151896969"/>
      <w:bookmarkEnd w:id="0"/>
      <w:r>
        <w:rPr>
          <w:rFonts w:cs="Times New Roman" w:ascii="Times New Roman" w:hAnsi="Times New Roman"/>
          <w:sz w:val="22"/>
          <w:szCs w:val="22"/>
          <w:lang w:val="en-GB"/>
        </w:rPr>
        <w:t>Introduction</w:t>
      </w:r>
    </w:p>
    <w:p>
      <w:pPr>
        <w:pStyle w:val="BodyText"/>
        <w:jc w:val="both"/>
        <w:rPr>
          <w:szCs w:val="22"/>
          <w:lang w:val="en-GB"/>
        </w:rPr>
      </w:pPr>
      <w:r>
        <w:rPr>
          <w:szCs w:val="22"/>
          <w:lang w:val="en-GB"/>
        </w:rPr>
        <w:t>This Section sets forth qualitative descriptions of the Critical Service Levels.  The numerical Minimum Service Levels, Expected Service Levels and commencement of obligations associated with such Critical Service Levels are set forth in Attachment 3-A (</w:t>
      </w:r>
      <w:r>
        <w:rPr>
          <w:i/>
          <w:szCs w:val="22"/>
          <w:lang w:val="en-GB"/>
        </w:rPr>
        <w:t>Service Level Matrix</w:t>
      </w:r>
      <w:r>
        <w:rPr>
          <w:szCs w:val="22"/>
          <w:lang w:val="en-GB"/>
        </w:rPr>
        <w:t>) to Exhibit 3 (</w:t>
      </w:r>
      <w:r>
        <w:rPr>
          <w:i/>
          <w:szCs w:val="22"/>
          <w:lang w:val="en-GB"/>
        </w:rPr>
        <w:t>Service Levels</w:t>
      </w:r>
      <w:r>
        <w:rPr>
          <w:szCs w:val="22"/>
          <w:lang w:val="en-GB"/>
        </w:rPr>
        <w:t>).</w:t>
      </w:r>
    </w:p>
    <w:p>
      <w:pPr>
        <w:pStyle w:val="BodyText"/>
        <w:jc w:val="both"/>
        <w:rPr>
          <w:szCs w:val="22"/>
          <w:lang w:val="en-GB"/>
        </w:rPr>
      </w:pPr>
      <w:r>
        <w:rPr>
          <w:szCs w:val="22"/>
          <w:lang w:val="en-GB"/>
        </w:rPr>
        <w:t>The formulas to calculate the Expected and the Minimum Level as described in this Attachment override the ones laid down in Attachment 3A.</w:t>
      </w:r>
    </w:p>
    <w:p>
      <w:pPr>
        <w:pStyle w:val="BodyText"/>
        <w:jc w:val="both"/>
        <w:rPr>
          <w:szCs w:val="22"/>
          <w:lang w:val="en-GB"/>
        </w:rPr>
      </w:pPr>
      <w:r>
        <w:rPr>
          <w:szCs w:val="22"/>
          <w:lang w:val="en-GB"/>
        </w:rPr>
        <w:t>The examples given in this document are examples only and do not reflect actuals.</w:t>
      </w:r>
    </w:p>
    <w:p>
      <w:pPr>
        <w:pStyle w:val="BodyText"/>
        <w:jc w:val="both"/>
        <w:rPr>
          <w:szCs w:val="22"/>
          <w:lang w:val="en-GB"/>
        </w:rPr>
      </w:pPr>
      <w:r>
        <w:rPr>
          <w:szCs w:val="22"/>
          <w:lang w:val="en-GB"/>
        </w:rPr>
        <w:t xml:space="preserve">The PST Supplier will record data about each Incident using Tickets in the Ticket Management System. A separate reportable field will be included for reporting the time, which cannot be predated or modified.  </w:t>
      </w:r>
    </w:p>
    <w:p>
      <w:pPr>
        <w:pStyle w:val="Heading1Numbered"/>
        <w:numPr>
          <w:ilvl w:val="0"/>
          <w:numId w:val="4"/>
        </w:numPr>
        <w:ind w:hanging="0" w:start="0"/>
        <w:jc w:val="both"/>
        <w:outlineLvl w:val="0"/>
        <w:rPr>
          <w:rFonts w:ascii="Times New Roman" w:hAnsi="Times New Roman" w:cs="Times New Roman"/>
          <w:sz w:val="22"/>
          <w:szCs w:val="22"/>
          <w:lang w:val="en-GB"/>
        </w:rPr>
      </w:pPr>
      <w:bookmarkStart w:id="1" w:name="__RefHeading___Toc151896970"/>
      <w:bookmarkEnd w:id="1"/>
      <w:r>
        <w:rPr>
          <w:rFonts w:cs="Times New Roman" w:ascii="Times New Roman" w:hAnsi="Times New Roman"/>
          <w:sz w:val="22"/>
          <w:szCs w:val="22"/>
          <w:lang w:val="en-GB"/>
        </w:rPr>
        <w:t>Desktop Services – availibility</w:t>
      </w:r>
    </w:p>
    <w:p>
      <w:pPr>
        <w:pStyle w:val="BodyText"/>
        <w:jc w:val="both"/>
        <w:rPr/>
      </w:pPr>
      <w:r>
        <w:rPr>
          <w:szCs w:val="22"/>
          <w:lang w:val="en-GB"/>
        </w:rPr>
        <w:t>The Desktop Service consists of a set of services, including amongst others a Base Workplace Service, File &amp; Print Service, Mail &amp; Agenda Services, Application Integrations Services, Collaboration Services and Access Services. The level of service may differentiate for Named Locations and Authorised Users which have an optional upgrade of the Incident priority level.</w:t>
      </w:r>
    </w:p>
    <w:p>
      <w:pPr>
        <w:pStyle w:val="Heading2Numbered"/>
        <w:numPr>
          <w:ilvl w:val="1"/>
          <w:numId w:val="4"/>
        </w:numPr>
        <w:ind w:hanging="0" w:start="0"/>
        <w:jc w:val="both"/>
        <w:rPr>
          <w:rFonts w:ascii="Times New Roman" w:hAnsi="Times New Roman" w:cs="Times New Roman"/>
          <w:sz w:val="22"/>
          <w:szCs w:val="22"/>
          <w:lang w:val="en-GB"/>
        </w:rPr>
      </w:pPr>
      <w:bookmarkStart w:id="2" w:name="__RefHeading___Toc151896971"/>
      <w:bookmarkEnd w:id="2"/>
      <w:r>
        <w:rPr>
          <w:rFonts w:cs="Times New Roman" w:ascii="Times New Roman" w:hAnsi="Times New Roman"/>
          <w:sz w:val="22"/>
          <w:szCs w:val="22"/>
          <w:lang w:val="en-GB"/>
        </w:rPr>
        <w:t>Base Workplace Service - Availability Named Location</w:t>
      </w:r>
    </w:p>
    <w:p>
      <w:pPr>
        <w:pStyle w:val="BodyText"/>
        <w:jc w:val="both"/>
        <w:rPr>
          <w:szCs w:val="22"/>
          <w:lang w:val="en-GB"/>
        </w:rPr>
      </w:pPr>
      <w:r>
        <w:rPr>
          <w:szCs w:val="22"/>
          <w:lang w:val="en-GB"/>
        </w:rPr>
        <w:t>The formula used to calculate the realised level for this Critical Service Level is the average of the realised  level described in the paragraph 2.1.1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 xml:space="preserve">DTHW - Base Workplace Service - Availability Named Locations </w:t>
      </w:r>
    </w:p>
    <w:p>
      <w:pPr>
        <w:pStyle w:val="BodyText"/>
        <w:jc w:val="both"/>
        <w:rPr/>
      </w:pPr>
      <w:r>
        <w:rPr>
          <w:szCs w:val="22"/>
          <w:lang w:val="en-GB"/>
        </w:rPr>
        <w:t>Base Workplace Service - Availability Named Locations is calculated as (1 - (B / A)) * 100%, where</w:t>
      </w:r>
    </w:p>
    <w:p>
      <w:pPr>
        <w:pStyle w:val="BodyText"/>
        <w:jc w:val="both"/>
        <w:rPr>
          <w:szCs w:val="22"/>
          <w:lang w:val="en-GB"/>
        </w:rPr>
      </w:pPr>
      <w:r>
        <w:rPr>
          <w:szCs w:val="22"/>
          <w:lang w:val="en-GB"/>
        </w:rPr>
        <w:t>A = Total number of workplaces at the Named Locations times service availability window in minutes</w:t>
      </w:r>
    </w:p>
    <w:p>
      <w:pPr>
        <w:pStyle w:val="BodyText"/>
        <w:jc w:val="both"/>
        <w:rPr>
          <w:szCs w:val="22"/>
          <w:lang w:val="en-GB"/>
        </w:rPr>
      </w:pPr>
      <w:r>
        <w:rPr>
          <w:szCs w:val="22"/>
          <w:lang w:val="en-GB"/>
        </w:rPr>
        <w:t>and,</w:t>
      </w:r>
    </w:p>
    <w:p>
      <w:pPr>
        <w:pStyle w:val="BodyText"/>
        <w:jc w:val="both"/>
        <w:rPr>
          <w:szCs w:val="22"/>
          <w:lang w:val="en-GB"/>
        </w:rPr>
      </w:pPr>
      <w:r>
        <w:rPr>
          <w:szCs w:val="22"/>
          <w:lang w:val="en-GB"/>
        </w:rPr>
        <w:t>B = Total Incident resolve time regarding break fix Incidents for these workplaces</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 xml:space="preserve">B) </w:t>
        <w:tab/>
        <w:tab/>
      </w:r>
    </w:p>
    <w:p>
      <w:pPr>
        <w:pStyle w:val="BodyText"/>
        <w:jc w:val="both"/>
        <w:rPr/>
      </w:pPr>
      <w:r>
        <w:rPr>
          <w:szCs w:val="22"/>
          <w:lang w:val="en-GB"/>
        </w:rPr>
        <w:t>Number of seats:</w:t>
        <w:tab/>
        <w:tab/>
        <w:tab/>
        <w:t>2000</w:t>
        <w:tab/>
      </w:r>
    </w:p>
    <w:p>
      <w:pPr>
        <w:pStyle w:val="BodyText"/>
        <w:jc w:val="both"/>
        <w:rPr/>
      </w:pPr>
      <w:r>
        <w:rPr>
          <w:szCs w:val="22"/>
          <w:lang w:val="en-GB"/>
        </w:rPr>
        <w:t>Times Incident rate 12% per annum</w:t>
        <w:tab/>
        <w:t>20 per month</w:t>
        <w:tab/>
      </w:r>
    </w:p>
    <w:p>
      <w:pPr>
        <w:pStyle w:val="BodyText"/>
        <w:jc w:val="both"/>
        <w:rPr/>
      </w:pPr>
      <w:r>
        <w:rPr>
          <w:szCs w:val="22"/>
          <w:lang w:val="en-GB"/>
        </w:rPr>
        <w:t>Average resolve time per Incident</w:t>
        <w:tab/>
        <w:t>420 minutes</w:t>
        <w:tab/>
      </w:r>
    </w:p>
    <w:p>
      <w:pPr>
        <w:pStyle w:val="BodyText"/>
        <w:jc w:val="both"/>
        <w:rPr/>
      </w:pPr>
      <w:r>
        <w:rPr>
          <w:szCs w:val="22"/>
          <w:lang w:val="en-GB"/>
        </w:rPr>
        <w:t>Total B:</w:t>
        <w:tab/>
        <w:tab/>
        <w:tab/>
        <w:tab/>
        <w:t>8.400</w:t>
        <w:tab/>
      </w:r>
    </w:p>
    <w:p>
      <w:pPr>
        <w:pStyle w:val="BodyText"/>
        <w:jc w:val="both"/>
        <w:rPr>
          <w:szCs w:val="22"/>
          <w:lang w:val="en-GB"/>
        </w:rPr>
      </w:pPr>
      <w:r>
        <w:rPr>
          <w:szCs w:val="22"/>
          <w:lang w:val="en-GB"/>
        </w:rPr>
        <w:t>A)</w:t>
        <w:tab/>
        <w:tab/>
      </w:r>
    </w:p>
    <w:p>
      <w:pPr>
        <w:pStyle w:val="BodyText"/>
        <w:jc w:val="both"/>
        <w:rPr/>
      </w:pPr>
      <w:r>
        <w:rPr>
          <w:szCs w:val="22"/>
          <w:lang w:val="en-GB"/>
        </w:rPr>
        <w:t>Total number of seats:</w:t>
        <w:tab/>
        <w:tab/>
        <w:tab/>
        <w:tab/>
        <w:tab/>
        <w:t>2000</w:t>
        <w:tab/>
      </w:r>
    </w:p>
    <w:p>
      <w:pPr>
        <w:pStyle w:val="BodyText"/>
        <w:jc w:val="both"/>
        <w:rPr/>
      </w:pPr>
      <w:r>
        <w:rPr>
          <w:szCs w:val="22"/>
          <w:lang w:val="en-GB"/>
        </w:rPr>
        <w:t>Service Window in minutes (7.00 :19.00 hour)</w:t>
        <w:tab/>
        <w:tab/>
        <w:t>720</w:t>
        <w:tab/>
      </w:r>
    </w:p>
    <w:p>
      <w:pPr>
        <w:pStyle w:val="BodyText"/>
        <w:jc w:val="both"/>
        <w:rPr/>
      </w:pPr>
      <w:r>
        <w:rPr>
          <w:szCs w:val="22"/>
          <w:lang w:val="en-GB"/>
        </w:rPr>
        <w:t>Total:</w:t>
        <w:tab/>
        <w:tab/>
        <w:tab/>
        <w:tab/>
        <w:tab/>
        <w:tab/>
        <w:tab/>
        <w:t>33120000</w:t>
        <w:tab/>
      </w:r>
    </w:p>
    <w:p>
      <w:pPr>
        <w:pStyle w:val="BodyText"/>
        <w:jc w:val="both"/>
        <w:rPr>
          <w:szCs w:val="22"/>
          <w:lang w:val="en-GB"/>
        </w:rPr>
      </w:pPr>
      <w:r>
        <w:rPr>
          <w:szCs w:val="22"/>
          <w:lang w:val="en-GB"/>
        </w:rPr>
        <w:t xml:space="preserve"> </w:t>
      </w:r>
      <w:r>
        <w:rPr>
          <w:szCs w:val="22"/>
          <w:lang w:val="en-GB"/>
        </w:rPr>
        <w:t>(1 - (B/A)) * 100%</w:t>
        <w:tab/>
        <w:t>99,97%</w:t>
        <w:tab/>
      </w:r>
    </w:p>
    <w:p>
      <w:pPr>
        <w:pStyle w:val="Heading2Numbered"/>
        <w:numPr>
          <w:ilvl w:val="1"/>
          <w:numId w:val="4"/>
        </w:numPr>
        <w:ind w:hanging="0" w:start="0"/>
        <w:jc w:val="both"/>
        <w:rPr>
          <w:rFonts w:ascii="Times New Roman" w:hAnsi="Times New Roman" w:cs="Times New Roman"/>
          <w:sz w:val="22"/>
          <w:szCs w:val="22"/>
          <w:lang w:val="en-GB"/>
        </w:rPr>
      </w:pPr>
      <w:bookmarkStart w:id="3" w:name="__RefHeading___Toc151896972"/>
      <w:bookmarkEnd w:id="3"/>
      <w:r>
        <w:rPr>
          <w:rFonts w:cs="Times New Roman" w:ascii="Times New Roman" w:hAnsi="Times New Roman"/>
          <w:sz w:val="22"/>
          <w:szCs w:val="22"/>
          <w:lang w:val="en-GB"/>
        </w:rPr>
        <w:t>File &amp; Print Services Named Locations – Availability</w:t>
      </w:r>
    </w:p>
    <w:p>
      <w:pPr>
        <w:pStyle w:val="BodyText"/>
        <w:jc w:val="both"/>
        <w:rPr>
          <w:szCs w:val="22"/>
          <w:lang w:val="en-GB"/>
        </w:rPr>
      </w:pPr>
      <w:r>
        <w:rPr>
          <w:szCs w:val="22"/>
          <w:lang w:val="en-GB"/>
        </w:rPr>
        <w:t>The File Hosting Service offers the functionality to store user data centrally within the central infrastructure. The File Hosting Service includes backup / restore services. The Print Hosting Service offers the functionality to print on available selectable network printers.</w:t>
      </w:r>
    </w:p>
    <w:p>
      <w:pPr>
        <w:pStyle w:val="BodyText"/>
        <w:jc w:val="both"/>
        <w:rPr/>
      </w:pPr>
      <w:r>
        <w:rPr>
          <w:szCs w:val="22"/>
          <w:lang w:val="en-GB"/>
        </w:rPr>
        <w:t>The formula used to calculate the realised level for this Critical Service Level is the average of the realised levels in the paragraph 2.2.1 through 2.2.4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Directory Service</w:t>
      </w:r>
    </w:p>
    <w:p>
      <w:pPr>
        <w:pStyle w:val="BodyText"/>
        <w:jc w:val="both"/>
        <w:rPr>
          <w:szCs w:val="22"/>
        </w:rPr>
      </w:pPr>
      <w:r>
        <w:rPr>
          <w:szCs w:val="22"/>
        </w:rPr>
        <w:t>For all in-scope servers, it applies to the service provided by these servers</w:t>
      </w:r>
    </w:p>
    <w:p>
      <w:pPr>
        <w:pStyle w:val="BodyText"/>
        <w:jc w:val="both"/>
        <w:rPr/>
      </w:pPr>
      <w:r>
        <w:rPr>
          <w:szCs w:val="22"/>
        </w:rPr>
        <w:t xml:space="preserve">service availability is calculated as </w:t>
      </w:r>
      <w:r>
        <w:rPr>
          <w:szCs w:val="22"/>
          <w:lang w:val="en-GB"/>
        </w:rPr>
        <w:t>(1 - (B / A)) * 100%</w:t>
      </w:r>
      <w:r>
        <w:rPr>
          <w:szCs w:val="22"/>
        </w:rPr>
        <w:t>, where</w:t>
      </w:r>
    </w:p>
    <w:p>
      <w:pPr>
        <w:pStyle w:val="BodyText"/>
        <w:jc w:val="both"/>
        <w:rPr>
          <w:szCs w:val="22"/>
        </w:rPr>
      </w:pPr>
      <w:r>
        <w:rPr>
          <w:szCs w:val="22"/>
        </w:rPr>
        <w:t>A = service availability window in minutes</w:t>
      </w:r>
    </w:p>
    <w:p>
      <w:pPr>
        <w:pStyle w:val="BodyText"/>
        <w:jc w:val="both"/>
        <w:rPr>
          <w:szCs w:val="22"/>
        </w:rPr>
      </w:pPr>
      <w:r>
        <w:rPr>
          <w:szCs w:val="22"/>
        </w:rPr>
        <w:t xml:space="preserve">B = non-scheduled downtime within service window in minutes </w:t>
      </w:r>
    </w:p>
    <w:p>
      <w:pPr>
        <w:pStyle w:val="BodyText"/>
        <w:spacing w:before="0" w:after="0"/>
        <w:jc w:val="both"/>
        <w:rPr>
          <w:szCs w:val="22"/>
        </w:rPr>
      </w:pPr>
      <w:r>
        <w:rPr>
          <w:szCs w:val="22"/>
        </w:rPr>
        <w:t xml:space="preserve">Example: </w:t>
      </w:r>
    </w:p>
    <w:p>
      <w:pPr>
        <w:pStyle w:val="BodyText"/>
        <w:spacing w:before="0" w:after="0"/>
        <w:jc w:val="both"/>
        <w:rPr>
          <w:szCs w:val="22"/>
        </w:rPr>
      </w:pPr>
      <w:r>
        <w:rPr>
          <w:szCs w:val="22"/>
        </w:rPr>
      </w:r>
    </w:p>
    <w:p>
      <w:pPr>
        <w:pStyle w:val="BodyText"/>
        <w:spacing w:before="0" w:after="0"/>
        <w:jc w:val="both"/>
        <w:rPr>
          <w:szCs w:val="22"/>
        </w:rPr>
      </w:pPr>
      <w:r>
        <w:rPr>
          <w:szCs w:val="22"/>
        </w:rPr>
        <w:t>Service Window</w:t>
      </w:r>
    </w:p>
    <w:p>
      <w:pPr>
        <w:pStyle w:val="BodyText"/>
        <w:spacing w:before="0" w:after="0"/>
        <w:jc w:val="both"/>
        <w:rPr>
          <w:szCs w:val="22"/>
        </w:rPr>
      </w:pPr>
      <w:r>
        <w:rPr>
          <w:szCs w:val="22"/>
        </w:rPr>
        <w:tab/>
        <w:t>06:00 - 22:00 (Monday to Friday) and 07:00 - 17:00 (Saturday)</w:t>
      </w:r>
    </w:p>
    <w:p>
      <w:pPr>
        <w:pStyle w:val="BodyText"/>
        <w:spacing w:before="0" w:after="0"/>
        <w:jc w:val="both"/>
        <w:rPr>
          <w:szCs w:val="22"/>
        </w:rPr>
      </w:pPr>
      <w:r>
        <w:rPr>
          <w:szCs w:val="22"/>
        </w:rPr>
        <w:tab/>
        <w:t>= (5 * (22-6)) + (17-7) = 90 hours per week = 5400 minutes per week</w:t>
      </w:r>
    </w:p>
    <w:p>
      <w:pPr>
        <w:pStyle w:val="BodyText"/>
        <w:spacing w:before="0" w:after="0"/>
        <w:jc w:val="both"/>
        <w:rPr>
          <w:szCs w:val="22"/>
        </w:rPr>
      </w:pPr>
      <w:r>
        <w:rPr>
          <w:szCs w:val="22"/>
        </w:rPr>
        <w:tab/>
        <w:t>For example August 2006 has 23 workdays, plus 4 Saturdays:</w:t>
      </w:r>
    </w:p>
    <w:p>
      <w:pPr>
        <w:pStyle w:val="BodyText"/>
        <w:spacing w:before="0" w:after="0"/>
        <w:jc w:val="both"/>
        <w:rPr>
          <w:szCs w:val="22"/>
        </w:rPr>
      </w:pPr>
      <w:r>
        <w:rPr>
          <w:szCs w:val="22"/>
        </w:rPr>
        <w:tab/>
        <w:t>23 (weekdays) * ( 22 - 6 ) = 368 hours</w:t>
      </w:r>
    </w:p>
    <w:p>
      <w:pPr>
        <w:pStyle w:val="BodyText"/>
        <w:spacing w:before="0" w:after="0"/>
        <w:jc w:val="both"/>
        <w:rPr>
          <w:szCs w:val="22"/>
        </w:rPr>
      </w:pPr>
      <w:r>
        <w:rPr>
          <w:szCs w:val="22"/>
        </w:rPr>
        <w:tab/>
        <w:t>4 (Saturdays) * (17 - 7 ) = 40 hours</w:t>
      </w:r>
    </w:p>
    <w:p>
      <w:pPr>
        <w:pStyle w:val="BodyText"/>
        <w:spacing w:before="0" w:after="0"/>
        <w:jc w:val="both"/>
        <w:rPr>
          <w:szCs w:val="22"/>
        </w:rPr>
      </w:pPr>
      <w:r>
        <w:rPr>
          <w:szCs w:val="22"/>
        </w:rPr>
        <w:tab/>
        <w:t xml:space="preserve">total 408 hours * 60 (minutes per hour)  = </w:t>
      </w:r>
    </w:p>
    <w:p>
      <w:pPr>
        <w:pStyle w:val="BodyText"/>
        <w:spacing w:before="0" w:after="0"/>
        <w:jc w:val="both"/>
        <w:rPr>
          <w:szCs w:val="22"/>
        </w:rPr>
      </w:pPr>
      <w:r>
        <w:rPr>
          <w:szCs w:val="22"/>
        </w:rPr>
        <w:tab/>
        <w:t>24.480 minutes Service Window = A</w:t>
      </w:r>
    </w:p>
    <w:p>
      <w:pPr>
        <w:pStyle w:val="BodyText"/>
        <w:spacing w:before="0" w:after="0"/>
        <w:jc w:val="both"/>
        <w:rPr>
          <w:szCs w:val="22"/>
        </w:rPr>
      </w:pPr>
      <w:r>
        <w:rPr>
          <w:szCs w:val="22"/>
        </w:rPr>
      </w:r>
    </w:p>
    <w:p>
      <w:pPr>
        <w:pStyle w:val="BodyText"/>
        <w:spacing w:before="0" w:after="0"/>
        <w:jc w:val="both"/>
        <w:rPr>
          <w:szCs w:val="22"/>
        </w:rPr>
      </w:pPr>
      <w:r>
        <w:rPr>
          <w:szCs w:val="22"/>
        </w:rPr>
        <w:t>Non Scheduled Downtime</w:t>
      </w:r>
    </w:p>
    <w:p>
      <w:pPr>
        <w:pStyle w:val="BodyText"/>
        <w:spacing w:before="0" w:after="0"/>
        <w:jc w:val="both"/>
        <w:rPr>
          <w:szCs w:val="22"/>
        </w:rPr>
      </w:pPr>
      <w:r>
        <w:rPr>
          <w:szCs w:val="22"/>
        </w:rPr>
        <w:tab/>
        <w:t>Example downtime: downtime 5 minutes PDC emulator = B</w:t>
      </w:r>
    </w:p>
    <w:p>
      <w:pPr>
        <w:pStyle w:val="BodyText"/>
        <w:spacing w:before="0" w:after="0"/>
        <w:jc w:val="both"/>
        <w:rPr>
          <w:szCs w:val="22"/>
        </w:rPr>
      </w:pPr>
      <w:r>
        <w:rPr>
          <w:szCs w:val="22"/>
        </w:rPr>
      </w:r>
    </w:p>
    <w:p>
      <w:pPr>
        <w:pStyle w:val="BodyText"/>
        <w:spacing w:before="0" w:after="0"/>
        <w:jc w:val="both"/>
        <w:rPr>
          <w:szCs w:val="22"/>
        </w:rPr>
      </w:pPr>
      <w:r>
        <w:rPr>
          <w:szCs w:val="22"/>
        </w:rPr>
        <w:t>Result:</w:t>
      </w:r>
    </w:p>
    <w:p>
      <w:pPr>
        <w:pStyle w:val="BodyText"/>
        <w:spacing w:before="0" w:after="0"/>
        <w:jc w:val="both"/>
        <w:rPr>
          <w:szCs w:val="22"/>
        </w:rPr>
      </w:pPr>
      <w:r>
        <w:rPr>
          <w:szCs w:val="22"/>
        </w:rPr>
        <w:tab/>
      </w:r>
      <w:bookmarkStart w:id="4" w:name="OLE_LINK1"/>
      <w:r>
        <w:rPr>
          <w:szCs w:val="22"/>
        </w:rPr>
        <w:t xml:space="preserve">(100% - (5 / 24480)) * 100% </w:t>
      </w:r>
      <w:bookmarkEnd w:id="4"/>
      <w:r>
        <w:rPr>
          <w:szCs w:val="22"/>
        </w:rPr>
        <w:t>= 0,999795752 = 99.98%</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File &amp; Print application - named locations</w:t>
      </w:r>
    </w:p>
    <w:p>
      <w:pPr>
        <w:pStyle w:val="BodyText"/>
        <w:jc w:val="both"/>
        <w:rPr/>
      </w:pPr>
      <w:r>
        <w:rPr>
          <w:szCs w:val="22"/>
          <w:lang w:val="en-GB"/>
        </w:rPr>
        <w:t>The File Hosting Service offers the functionality to store user data centrally within the central infrastructure. The File Hosting Service includes backup / restore services. File Hosting. The Print Hosting Service offers the functionality to print on available selectable network printers.</w:t>
      </w:r>
    </w:p>
    <w:p>
      <w:pPr>
        <w:pStyle w:val="BodyText"/>
        <w:jc w:val="both"/>
        <w:rPr>
          <w:szCs w:val="22"/>
        </w:rPr>
      </w:pPr>
      <w:r>
        <w:rPr>
          <w:szCs w:val="22"/>
        </w:rPr>
        <w:t>For all in-scope servers, it applies to the service provided by these servers</w:t>
      </w:r>
    </w:p>
    <w:p>
      <w:pPr>
        <w:pStyle w:val="BodyText"/>
        <w:jc w:val="both"/>
        <w:rPr/>
      </w:pPr>
      <w:r>
        <w:rPr>
          <w:szCs w:val="22"/>
        </w:rPr>
        <w:t xml:space="preserve">service availability is calculated as </w:t>
      </w:r>
      <w:r>
        <w:rPr>
          <w:szCs w:val="22"/>
          <w:lang w:val="en-GB"/>
        </w:rPr>
        <w:t>(1 - (B / A)) * 100%</w:t>
      </w:r>
      <w:r>
        <w:rPr>
          <w:szCs w:val="22"/>
        </w:rPr>
        <w:t>, where</w:t>
      </w:r>
    </w:p>
    <w:p>
      <w:pPr>
        <w:pStyle w:val="BodyText"/>
        <w:jc w:val="both"/>
        <w:rPr>
          <w:szCs w:val="22"/>
        </w:rPr>
      </w:pPr>
      <w:r>
        <w:rPr>
          <w:szCs w:val="22"/>
        </w:rPr>
        <w:t>A = service availability window in minutes</w:t>
      </w:r>
    </w:p>
    <w:p>
      <w:pPr>
        <w:pStyle w:val="BodyText"/>
        <w:jc w:val="both"/>
        <w:rPr>
          <w:szCs w:val="22"/>
        </w:rPr>
      </w:pPr>
      <w:r>
        <w:rPr>
          <w:szCs w:val="22"/>
        </w:rPr>
        <w:t>B = non-scheduled downtime within service window in minutes</w:t>
      </w:r>
    </w:p>
    <w:p>
      <w:pPr>
        <w:pStyle w:val="BodyText"/>
        <w:spacing w:before="0" w:after="0"/>
        <w:jc w:val="both"/>
        <w:rPr>
          <w:szCs w:val="22"/>
        </w:rPr>
      </w:pPr>
      <w:r>
        <w:rPr>
          <w:szCs w:val="22"/>
        </w:rPr>
        <w:t>Example 1:</w:t>
      </w:r>
    </w:p>
    <w:p>
      <w:pPr>
        <w:pStyle w:val="BodyText"/>
        <w:spacing w:before="0" w:after="0"/>
        <w:jc w:val="both"/>
        <w:rPr>
          <w:szCs w:val="22"/>
        </w:rPr>
      </w:pPr>
      <w:r>
        <w:rPr>
          <w:szCs w:val="22"/>
        </w:rPr>
      </w:r>
    </w:p>
    <w:p>
      <w:pPr>
        <w:pStyle w:val="BodyText"/>
        <w:spacing w:before="0" w:after="0"/>
        <w:jc w:val="both"/>
        <w:rPr>
          <w:szCs w:val="22"/>
        </w:rPr>
      </w:pPr>
      <w:r>
        <w:rPr>
          <w:szCs w:val="22"/>
        </w:rPr>
        <w:t>Service Window</w:t>
      </w:r>
    </w:p>
    <w:p>
      <w:pPr>
        <w:pStyle w:val="BodyText"/>
        <w:spacing w:before="0" w:after="0"/>
        <w:jc w:val="both"/>
        <w:rPr>
          <w:szCs w:val="22"/>
        </w:rPr>
      </w:pPr>
      <w:r>
        <w:rPr>
          <w:szCs w:val="22"/>
        </w:rPr>
        <w:tab/>
        <w:t>06:00 - 22:00 (Monday to Friday) and 07:00 - 17:00 (Saturday)</w:t>
      </w:r>
    </w:p>
    <w:p>
      <w:pPr>
        <w:pStyle w:val="BodyText"/>
        <w:spacing w:before="0" w:after="0"/>
        <w:jc w:val="both"/>
        <w:rPr>
          <w:szCs w:val="22"/>
        </w:rPr>
      </w:pPr>
      <w:r>
        <w:rPr>
          <w:szCs w:val="22"/>
        </w:rPr>
        <w:tab/>
        <w:t>= (5 * (22-6)) + (17-7) = 90 hours per week = 5400 minutes per week</w:t>
      </w:r>
    </w:p>
    <w:p>
      <w:pPr>
        <w:pStyle w:val="BodyText"/>
        <w:spacing w:before="0" w:after="0"/>
        <w:jc w:val="both"/>
        <w:rPr>
          <w:szCs w:val="22"/>
        </w:rPr>
      </w:pPr>
      <w:r>
        <w:rPr>
          <w:szCs w:val="22"/>
        </w:rPr>
        <w:tab/>
        <w:t>For example August 2006 has 23 workdays, plus 4 Saturdays:</w:t>
      </w:r>
    </w:p>
    <w:p>
      <w:pPr>
        <w:pStyle w:val="BodyText"/>
        <w:spacing w:before="0" w:after="0"/>
        <w:jc w:val="both"/>
        <w:rPr>
          <w:szCs w:val="22"/>
        </w:rPr>
      </w:pPr>
      <w:r>
        <w:rPr>
          <w:szCs w:val="22"/>
        </w:rPr>
        <w:tab/>
        <w:t>23 (weekdays) * ( 22 - 6 ) = 368 hours</w:t>
      </w:r>
    </w:p>
    <w:p>
      <w:pPr>
        <w:pStyle w:val="BodyText"/>
        <w:spacing w:before="0" w:after="0"/>
        <w:jc w:val="both"/>
        <w:rPr>
          <w:szCs w:val="22"/>
        </w:rPr>
      </w:pPr>
      <w:r>
        <w:rPr>
          <w:szCs w:val="22"/>
        </w:rPr>
        <w:tab/>
        <w:t>4 (Saturdays) * (17 - 7 ) = 40 hours</w:t>
      </w:r>
    </w:p>
    <w:p>
      <w:pPr>
        <w:pStyle w:val="BodyText"/>
        <w:spacing w:before="0" w:after="0"/>
        <w:jc w:val="both"/>
        <w:rPr>
          <w:szCs w:val="22"/>
        </w:rPr>
      </w:pPr>
      <w:r>
        <w:rPr>
          <w:szCs w:val="22"/>
        </w:rPr>
        <w:tab/>
        <w:t xml:space="preserve">total 408 hours * 60 (minutes per hour)  = </w:t>
      </w:r>
    </w:p>
    <w:p>
      <w:pPr>
        <w:pStyle w:val="BodyText"/>
        <w:spacing w:before="0" w:after="0"/>
        <w:jc w:val="both"/>
        <w:rPr>
          <w:szCs w:val="22"/>
        </w:rPr>
      </w:pPr>
      <w:r>
        <w:rPr>
          <w:szCs w:val="22"/>
        </w:rPr>
        <w:tab/>
        <w:t>24.480 minutes Service Window = A</w:t>
      </w:r>
    </w:p>
    <w:p>
      <w:pPr>
        <w:pStyle w:val="BodyText"/>
        <w:spacing w:before="0" w:after="0"/>
        <w:jc w:val="both"/>
        <w:rPr>
          <w:szCs w:val="22"/>
        </w:rPr>
      </w:pPr>
      <w:r>
        <w:rPr>
          <w:szCs w:val="22"/>
        </w:rPr>
      </w:r>
    </w:p>
    <w:p>
      <w:pPr>
        <w:pStyle w:val="BodyText"/>
        <w:spacing w:before="0" w:after="0"/>
        <w:jc w:val="both"/>
        <w:rPr>
          <w:szCs w:val="22"/>
        </w:rPr>
      </w:pPr>
      <w:r>
        <w:rPr>
          <w:szCs w:val="22"/>
        </w:rPr>
        <w:t>Non Scheduled Downtime</w:t>
      </w:r>
    </w:p>
    <w:p>
      <w:pPr>
        <w:pStyle w:val="BodyText"/>
        <w:spacing w:before="0" w:after="0"/>
        <w:jc w:val="both"/>
        <w:rPr/>
      </w:pPr>
      <w:r>
        <w:rPr>
          <w:szCs w:val="22"/>
        </w:rPr>
        <w:tab/>
        <w:t>Example downtime: Propagated configuration error causes 300 minutes file system check (total environment unavailable to users) = B</w:t>
      </w:r>
    </w:p>
    <w:p>
      <w:pPr>
        <w:pStyle w:val="BodyText"/>
        <w:spacing w:before="0" w:after="0"/>
        <w:jc w:val="both"/>
        <w:rPr>
          <w:szCs w:val="22"/>
        </w:rPr>
      </w:pPr>
      <w:r>
        <w:rPr>
          <w:szCs w:val="22"/>
        </w:rPr>
      </w:r>
    </w:p>
    <w:p>
      <w:pPr>
        <w:pStyle w:val="BodyText"/>
        <w:spacing w:before="0" w:after="0"/>
        <w:jc w:val="both"/>
        <w:rPr>
          <w:szCs w:val="22"/>
        </w:rPr>
      </w:pPr>
      <w:r>
        <w:rPr>
          <w:szCs w:val="22"/>
        </w:rPr>
        <w:t>Result:</w:t>
      </w:r>
    </w:p>
    <w:p>
      <w:pPr>
        <w:pStyle w:val="BodyText"/>
        <w:spacing w:before="0" w:after="0"/>
        <w:jc w:val="both"/>
        <w:rPr/>
      </w:pPr>
      <w:r>
        <w:rPr>
          <w:szCs w:val="22"/>
        </w:rPr>
        <w:tab/>
        <w:t>(100% - (300 / 24480)) * 100% = 0,987745098 = 98,77%</w:t>
      </w:r>
    </w:p>
    <w:p>
      <w:pPr>
        <w:pStyle w:val="BodyText"/>
        <w:spacing w:before="0" w:after="0"/>
        <w:jc w:val="both"/>
        <w:rPr>
          <w:szCs w:val="22"/>
        </w:rPr>
      </w:pPr>
      <w:r>
        <w:rPr>
          <w:szCs w:val="22"/>
        </w:rPr>
      </w:r>
    </w:p>
    <w:p>
      <w:pPr>
        <w:pStyle w:val="BodyText"/>
        <w:spacing w:before="0" w:after="0"/>
        <w:jc w:val="both"/>
        <w:rPr>
          <w:szCs w:val="22"/>
        </w:rPr>
      </w:pPr>
      <w:r>
        <w:rPr>
          <w:szCs w:val="22"/>
        </w:rPr>
        <w:t>Example 2:</w:t>
      </w:r>
    </w:p>
    <w:p>
      <w:pPr>
        <w:pStyle w:val="BodyText"/>
        <w:spacing w:before="0" w:after="0"/>
        <w:jc w:val="both"/>
        <w:rPr>
          <w:szCs w:val="22"/>
        </w:rPr>
      </w:pPr>
      <w:r>
        <w:rPr>
          <w:szCs w:val="22"/>
        </w:rPr>
      </w:r>
    </w:p>
    <w:p>
      <w:pPr>
        <w:pStyle w:val="BodyText"/>
        <w:spacing w:before="0" w:after="0"/>
        <w:jc w:val="both"/>
        <w:rPr>
          <w:szCs w:val="22"/>
        </w:rPr>
      </w:pPr>
      <w:r>
        <w:rPr>
          <w:szCs w:val="22"/>
        </w:rPr>
        <w:t>Service Window as above, Total 80 servers, 77 servers without non-scheduled downtime.</w:t>
      </w:r>
    </w:p>
    <w:p>
      <w:pPr>
        <w:pStyle w:val="BodyText"/>
        <w:spacing w:before="0" w:after="0"/>
        <w:jc w:val="both"/>
        <w:rPr>
          <w:szCs w:val="22"/>
        </w:rPr>
      </w:pPr>
      <w:r>
        <w:rPr>
          <w:szCs w:val="22"/>
        </w:rPr>
        <w:tab/>
        <w:t>A = 80 (servers) * 24480 (minutes Service Window) = 1.958.400 minutes</w:t>
      </w:r>
    </w:p>
    <w:p>
      <w:pPr>
        <w:pStyle w:val="BodyText"/>
        <w:spacing w:before="0" w:after="0"/>
        <w:jc w:val="both"/>
        <w:rPr>
          <w:szCs w:val="22"/>
        </w:rPr>
      </w:pPr>
      <w:r>
        <w:rPr>
          <w:szCs w:val="22"/>
        </w:rPr>
      </w:r>
    </w:p>
    <w:p>
      <w:pPr>
        <w:pStyle w:val="BodyText"/>
        <w:spacing w:before="0" w:after="0"/>
        <w:jc w:val="both"/>
        <w:rPr>
          <w:szCs w:val="22"/>
        </w:rPr>
      </w:pPr>
      <w:r>
        <w:rPr>
          <w:szCs w:val="22"/>
        </w:rPr>
        <w:t>Non Scheduled Downtime</w:t>
      </w:r>
    </w:p>
    <w:p>
      <w:pPr>
        <w:pStyle w:val="BodyText"/>
        <w:spacing w:before="0" w:after="0"/>
        <w:jc w:val="both"/>
        <w:rPr>
          <w:szCs w:val="22"/>
        </w:rPr>
      </w:pPr>
      <w:r>
        <w:rPr>
          <w:szCs w:val="22"/>
        </w:rPr>
        <w:tab/>
        <w:t>Server 1 downtime of 55 minutes</w:t>
      </w:r>
    </w:p>
    <w:p>
      <w:pPr>
        <w:pStyle w:val="BodyText"/>
        <w:spacing w:before="0" w:after="0"/>
        <w:jc w:val="both"/>
        <w:rPr>
          <w:szCs w:val="22"/>
        </w:rPr>
      </w:pPr>
      <w:r>
        <w:rPr>
          <w:szCs w:val="22"/>
        </w:rPr>
        <w:tab/>
        <w:t>Server 2 no shares available for 240 minutes</w:t>
      </w:r>
    </w:p>
    <w:p>
      <w:pPr>
        <w:pStyle w:val="BodyText"/>
        <w:spacing w:before="0" w:after="0"/>
        <w:jc w:val="both"/>
        <w:rPr>
          <w:szCs w:val="22"/>
        </w:rPr>
      </w:pPr>
      <w:r>
        <w:rPr>
          <w:szCs w:val="22"/>
        </w:rPr>
        <w:tab/>
        <w:t>Server 3 no printer queues shared for 10 minutes</w:t>
      </w:r>
    </w:p>
    <w:p>
      <w:pPr>
        <w:pStyle w:val="BodyText"/>
        <w:spacing w:before="0" w:after="0"/>
        <w:jc w:val="both"/>
        <w:rPr>
          <w:szCs w:val="22"/>
        </w:rPr>
      </w:pPr>
      <w:r>
        <w:rPr>
          <w:szCs w:val="22"/>
        </w:rPr>
        <w:tab/>
        <w:t>B = 55 + 240 + 10 = 305 minutes</w:t>
      </w:r>
    </w:p>
    <w:p>
      <w:pPr>
        <w:pStyle w:val="BodyText"/>
        <w:spacing w:before="0" w:after="0"/>
        <w:jc w:val="both"/>
        <w:rPr>
          <w:szCs w:val="22"/>
        </w:rPr>
      </w:pPr>
      <w:r>
        <w:rPr>
          <w:szCs w:val="22"/>
        </w:rPr>
      </w:r>
    </w:p>
    <w:p>
      <w:pPr>
        <w:pStyle w:val="BodyText"/>
        <w:spacing w:before="0" w:after="0"/>
        <w:jc w:val="both"/>
        <w:rPr>
          <w:szCs w:val="22"/>
        </w:rPr>
      </w:pPr>
      <w:r>
        <w:rPr>
          <w:szCs w:val="22"/>
        </w:rPr>
        <w:t>Result:</w:t>
      </w:r>
    </w:p>
    <w:p>
      <w:pPr>
        <w:pStyle w:val="BodyText"/>
        <w:spacing w:before="0" w:after="0"/>
        <w:jc w:val="both"/>
        <w:rPr/>
      </w:pPr>
      <w:r>
        <w:rPr>
          <w:szCs w:val="22"/>
        </w:rPr>
        <w:tab/>
        <w:t>(100% - (305 / 1.958.400)) * 100% = 0,999844261= 99,98%</w:t>
      </w:r>
      <w:r>
        <w:rPr>
          <w:szCs w:val="22"/>
          <w:lang w:eastAsia="fr-FR"/>
        </w:rPr>
        <w:t>Note: Note: The enhanced (compared to the standard) service levels for ‘named locations’ and ‘high available’ environments have the following requirements before enhancement above the standard service level:</w:t>
      </w:r>
    </w:p>
    <w:p>
      <w:pPr>
        <w:pStyle w:val="tablelevel1numbered1"/>
        <w:numPr>
          <w:ilvl w:val="0"/>
          <w:numId w:val="17"/>
        </w:numPr>
        <w:ind w:hanging="360" w:start="1440" w:end="0"/>
        <w:jc w:val="both"/>
        <w:rPr>
          <w:lang w:val="en-GB"/>
        </w:rPr>
      </w:pPr>
      <w:r>
        <w:rPr>
          <w:lang w:val="en-GB"/>
        </w:rPr>
        <w:t>The ‘silver’ service window applies</w:t>
      </w:r>
    </w:p>
    <w:p>
      <w:pPr>
        <w:pStyle w:val="tablelevel1numbered1"/>
        <w:numPr>
          <w:ilvl w:val="0"/>
          <w:numId w:val="17"/>
        </w:numPr>
        <w:ind w:hanging="360" w:start="1440" w:end="0"/>
        <w:jc w:val="both"/>
        <w:rPr>
          <w:lang w:val="en-GB"/>
        </w:rPr>
      </w:pPr>
      <w:r>
        <w:rPr>
          <w:lang w:val="en-GB"/>
        </w:rPr>
        <w:t>All File and print (cluster) servers run at least Windows 2003 server Enterprise Edition</w:t>
      </w:r>
    </w:p>
    <w:p>
      <w:pPr>
        <w:pStyle w:val="tablelevel1numbered1"/>
        <w:numPr>
          <w:ilvl w:val="0"/>
          <w:numId w:val="17"/>
        </w:numPr>
        <w:ind w:hanging="360" w:start="1440" w:end="0"/>
        <w:jc w:val="both"/>
        <w:rPr>
          <w:lang w:val="en-GB"/>
        </w:rPr>
      </w:pPr>
      <w:r>
        <w:rPr>
          <w:lang w:val="en-GB"/>
        </w:rPr>
        <w:t>All Windows (cluster) servers must function properly during tests running the (originally Intel developed) IO meter ( http://www.iometer.org/  )</w:t>
      </w:r>
    </w:p>
    <w:p>
      <w:pPr>
        <w:pStyle w:val="tablelevel1numbered1"/>
        <w:numPr>
          <w:ilvl w:val="0"/>
          <w:numId w:val="17"/>
        </w:numPr>
        <w:ind w:hanging="360" w:start="1440" w:end="0"/>
        <w:jc w:val="both"/>
        <w:rPr>
          <w:lang w:val="en-GB"/>
        </w:rPr>
      </w:pPr>
      <w:r>
        <w:rPr>
          <w:lang w:val="en-GB"/>
        </w:rPr>
        <w:t>All file and print (cluster) servers must be on the Certified for Microsoft Cluster hardware list (http://support.microsoft.com/?id=309395 ) including the parts of ‘SAN’ and ‘Geographically dispersed clusters’ where applicable</w:t>
      </w:r>
    </w:p>
    <w:p>
      <w:pPr>
        <w:pStyle w:val="tablelevel1numbered1"/>
        <w:numPr>
          <w:ilvl w:val="0"/>
          <w:numId w:val="17"/>
        </w:numPr>
        <w:ind w:hanging="360" w:start="1440" w:end="0"/>
        <w:jc w:val="both"/>
        <w:rPr>
          <w:lang w:val="en-GB"/>
        </w:rPr>
      </w:pPr>
      <w:r>
        <w:rPr>
          <w:lang w:val="en-GB"/>
        </w:rPr>
        <w:t>All file and print (cluster) servers will only run Windows Certified Server Applications (i.e. listed on http://cert.veritest.com/CfWreports/server/ ) and drivers (i.e. listed in the http://www.microsoft.com/Windows/catalog/server/ )</w:t>
      </w:r>
    </w:p>
    <w:p>
      <w:pPr>
        <w:pStyle w:val="tablelevel1numbered1"/>
        <w:numPr>
          <w:ilvl w:val="0"/>
          <w:numId w:val="17"/>
        </w:numPr>
        <w:ind w:hanging="360" w:start="1440" w:end="0"/>
        <w:jc w:val="both"/>
        <w:rPr/>
      </w:pPr>
      <w:r>
        <w:rPr>
          <w:lang w:val="en-GB"/>
        </w:rPr>
        <w:t xml:space="preserve">For SAN attached (cluster) servers, all complete paths to the storage (and/or backup) must be fully supported by all vendors, i.e. have a firmware / driver / connection / topology / configuration combination confirmed approved by all (hardware and software) vendors involved </w:t>
      </w:r>
    </w:p>
    <w:p>
      <w:pPr>
        <w:pStyle w:val="tablelevel1numbered1"/>
        <w:numPr>
          <w:ilvl w:val="0"/>
          <w:numId w:val="17"/>
        </w:numPr>
        <w:ind w:hanging="360" w:start="1440" w:end="0"/>
        <w:jc w:val="both"/>
        <w:rPr/>
      </w:pPr>
      <w:r>
        <w:rPr>
          <w:lang w:val="en-GB"/>
        </w:rPr>
        <w:t>All file and print (cluster) servers must be free of warnings and errors in the system and</w:t>
      </w:r>
    </w:p>
    <w:p>
      <w:pPr>
        <w:pStyle w:val="BodyText"/>
        <w:jc w:val="both"/>
        <w:rPr>
          <w:szCs w:val="22"/>
          <w:lang w:eastAsia="fr-FR"/>
        </w:rPr>
      </w:pPr>
      <w:r>
        <w:rPr>
          <w:szCs w:val="22"/>
          <w:lang w:eastAsia="fr-FR"/>
        </w:rPr>
        <w:t>These requirements have been based on technical documentation provided by EuroBank.</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LAN - LAN Availability</w:t>
      </w:r>
    </w:p>
    <w:p>
      <w:pPr>
        <w:pStyle w:val="BodyText"/>
        <w:jc w:val="both"/>
        <w:rPr>
          <w:szCs w:val="22"/>
          <w:lang w:val="en-GB"/>
        </w:rPr>
      </w:pPr>
      <w:r>
        <w:rPr>
          <w:szCs w:val="22"/>
          <w:lang w:val="en-GB"/>
        </w:rPr>
        <w:t xml:space="preserve">LAN availability is regarded as the availability of an access point to the network and does not depend on the availability of a central access point. </w:t>
      </w:r>
    </w:p>
    <w:p>
      <w:pPr>
        <w:pStyle w:val="BodyText"/>
        <w:jc w:val="both"/>
        <w:rPr>
          <w:szCs w:val="22"/>
          <w:lang w:val="en-GB"/>
        </w:rPr>
      </w:pPr>
      <w:r>
        <w:rPr>
          <w:szCs w:val="22"/>
          <w:lang w:val="en-GB"/>
        </w:rPr>
        <w:t>When a backup mechanism is activated and communication of the service access point is still possible, the PST supplier will not calculate this as an outage.</w:t>
      </w:r>
    </w:p>
    <w:p>
      <w:pPr>
        <w:pStyle w:val="BodyText"/>
        <w:jc w:val="both"/>
        <w:rPr/>
      </w:pPr>
      <w:r>
        <w:rPr>
          <w:szCs w:val="22"/>
          <w:lang w:val="en-GB"/>
        </w:rPr>
        <w:t>The availability of the LAN will be measured as a percentage against a 24x7 measurement window. The availability percentage will be calculated through the sum of the pass through time for all registered Incidents concerning end user access points, held against all active end user access points times the total time of that month. This results in the following formula:</w:t>
      </w:r>
    </w:p>
    <w:p>
      <w:pPr>
        <w:pStyle w:val="BodyText"/>
        <w:jc w:val="both"/>
        <w:rPr>
          <w:szCs w:val="22"/>
          <w:lang w:val="en-GB"/>
        </w:rPr>
      </w:pPr>
      <w:r>
        <w:rPr>
          <w:szCs w:val="22"/>
          <w:lang w:val="en-GB"/>
        </w:rPr>
        <w:t>1-(TI/TT)</w:t>
      </w:r>
    </w:p>
    <w:p>
      <w:pPr>
        <w:pStyle w:val="BodyText"/>
        <w:jc w:val="both"/>
        <w:rPr>
          <w:szCs w:val="22"/>
          <w:lang w:val="en-GB"/>
        </w:rPr>
      </w:pPr>
      <w:r>
        <w:rPr>
          <w:szCs w:val="22"/>
          <w:lang w:val="en-GB"/>
        </w:rPr>
        <w:t>Whereby:</w:t>
      </w:r>
    </w:p>
    <w:p>
      <w:pPr>
        <w:pStyle w:val="BodyText"/>
        <w:jc w:val="both"/>
        <w:rPr/>
      </w:pPr>
      <w:r>
        <w:rPr>
          <w:szCs w:val="22"/>
          <w:lang w:val="en-GB"/>
        </w:rPr>
        <w:t>TT = Total time of a month for all active end user access points.</w:t>
      </w:r>
    </w:p>
    <w:p>
      <w:pPr>
        <w:pStyle w:val="BodyText"/>
        <w:jc w:val="both"/>
        <w:rPr>
          <w:szCs w:val="22"/>
          <w:lang w:val="en-GB"/>
        </w:rPr>
      </w:pPr>
      <w:r>
        <w:rPr>
          <w:szCs w:val="22"/>
          <w:lang w:val="en-GB"/>
        </w:rPr>
        <w:t>TI = Total pass through Incident time of end user access points.</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 xml:space="preserve">If the Total Time of a month is 43200 (30*24*60) minutes and there are 500 active end user access points; TT will be 21600000 (43200*500). </w:t>
      </w:r>
    </w:p>
    <w:p>
      <w:pPr>
        <w:pStyle w:val="BodyText"/>
        <w:jc w:val="both"/>
        <w:rPr/>
      </w:pPr>
      <w:r>
        <w:rPr>
          <w:szCs w:val="22"/>
          <w:lang w:val="en-GB"/>
        </w:rPr>
        <w:t>If during that month there where 45 Incidents with an average solved time of 100 minutes TI will be 4500 The availability percentage will be (1-(4500/21600000)) = 99.98%.</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LAN - LAN Availability (Dealing room only)</w:t>
      </w:r>
    </w:p>
    <w:p>
      <w:pPr>
        <w:pStyle w:val="BodyText"/>
        <w:jc w:val="both"/>
        <w:rPr>
          <w:szCs w:val="22"/>
          <w:lang w:val="en-GB"/>
        </w:rPr>
      </w:pPr>
      <w:r>
        <w:rPr>
          <w:szCs w:val="22"/>
          <w:lang w:val="en-GB"/>
        </w:rPr>
        <w:t xml:space="preserve">LAN availability (dealing room only) is regarded as the availability of an access point to the network and does not depend on the availability of a central access point. </w:t>
      </w:r>
    </w:p>
    <w:p>
      <w:pPr>
        <w:pStyle w:val="BodyText"/>
        <w:jc w:val="both"/>
        <w:rPr>
          <w:szCs w:val="22"/>
          <w:lang w:val="en-GB"/>
        </w:rPr>
      </w:pPr>
      <w:r>
        <w:rPr>
          <w:szCs w:val="22"/>
          <w:lang w:val="en-GB"/>
        </w:rPr>
        <w:t>When a backup mechanism is activated and communication of the service access point is still possible, the PST supplier will not calculate this as an outage.</w:t>
      </w:r>
    </w:p>
    <w:p>
      <w:pPr>
        <w:pStyle w:val="BodyText"/>
        <w:jc w:val="both"/>
        <w:rPr/>
      </w:pPr>
      <w:r>
        <w:rPr>
          <w:szCs w:val="22"/>
          <w:lang w:val="en-GB"/>
        </w:rPr>
        <w:t>The availability of the LAN will be measured as a percentage against a 24x7 measurement window. The availability percentage will be calculated through the sum of the pass through time for all registered Incidents concerning end user access points in the dealing room, held against all active end user access points in the dealing room times the total time of that month. This results in the following formula:</w:t>
      </w:r>
    </w:p>
    <w:p>
      <w:pPr>
        <w:pStyle w:val="BodyText"/>
        <w:jc w:val="both"/>
        <w:rPr>
          <w:szCs w:val="22"/>
          <w:lang w:val="en-GB"/>
        </w:rPr>
      </w:pPr>
      <w:r>
        <w:rPr>
          <w:szCs w:val="22"/>
          <w:lang w:val="en-GB"/>
        </w:rPr>
        <w:t>1-(TI/TT)</w:t>
      </w:r>
    </w:p>
    <w:p>
      <w:pPr>
        <w:pStyle w:val="BodyText"/>
        <w:jc w:val="both"/>
        <w:rPr>
          <w:szCs w:val="22"/>
          <w:lang w:val="en-GB"/>
        </w:rPr>
      </w:pPr>
      <w:r>
        <w:rPr>
          <w:szCs w:val="22"/>
          <w:lang w:val="en-GB"/>
        </w:rPr>
        <w:t>Whereby:</w:t>
      </w:r>
    </w:p>
    <w:p>
      <w:pPr>
        <w:pStyle w:val="BodyText"/>
        <w:jc w:val="both"/>
        <w:rPr/>
      </w:pPr>
      <w:r>
        <w:rPr>
          <w:szCs w:val="22"/>
          <w:lang w:val="en-GB"/>
        </w:rPr>
        <w:t>TT = Total time of a month for all active end user access points in the dealing room.</w:t>
      </w:r>
    </w:p>
    <w:p>
      <w:pPr>
        <w:pStyle w:val="BodyText"/>
        <w:jc w:val="both"/>
        <w:rPr>
          <w:szCs w:val="22"/>
          <w:lang w:val="en-GB"/>
        </w:rPr>
      </w:pPr>
      <w:r>
        <w:rPr>
          <w:szCs w:val="22"/>
          <w:lang w:val="en-GB"/>
        </w:rPr>
        <w:t>TI = Total pass through Incident time of end user access points in the dealing room.</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 xml:space="preserve">If the Total Time of a month is 43200 (30*24*60) minutes and there are 500 active end user access points in the dealingroom; TT will be 21600000 (43200*500). </w:t>
      </w:r>
    </w:p>
    <w:p>
      <w:pPr>
        <w:pStyle w:val="BodyText"/>
        <w:jc w:val="both"/>
        <w:rPr/>
      </w:pPr>
      <w:r>
        <w:rPr>
          <w:szCs w:val="22"/>
          <w:lang w:val="en-GB"/>
        </w:rPr>
        <w:t>If during that month there where 45 Incidents with an average solved time of 100 minutes TI will be 4500 The availability percentage will be (1-(4500/21600000)) = 99.98%.</w:t>
      </w:r>
    </w:p>
    <w:p>
      <w:pPr>
        <w:pStyle w:val="Heading2Numbered"/>
        <w:numPr>
          <w:ilvl w:val="1"/>
          <w:numId w:val="4"/>
        </w:numPr>
        <w:ind w:hanging="0" w:start="0"/>
        <w:jc w:val="both"/>
        <w:rPr>
          <w:rFonts w:ascii="Times New Roman" w:hAnsi="Times New Roman" w:cs="Times New Roman"/>
          <w:sz w:val="22"/>
          <w:szCs w:val="22"/>
        </w:rPr>
      </w:pPr>
      <w:bookmarkStart w:id="5" w:name="__RefHeading___Toc151896973"/>
      <w:bookmarkEnd w:id="5"/>
      <w:r>
        <w:rPr>
          <w:rFonts w:cs="Times New Roman" w:ascii="Times New Roman" w:hAnsi="Times New Roman"/>
          <w:sz w:val="22"/>
          <w:szCs w:val="22"/>
        </w:rPr>
        <w:t>Mail &amp; Agenda Services Named Locations - Availability</w:t>
      </w:r>
    </w:p>
    <w:p>
      <w:pPr>
        <w:pStyle w:val="BodyText"/>
        <w:jc w:val="both"/>
        <w:rPr>
          <w:szCs w:val="22"/>
        </w:rPr>
      </w:pPr>
      <w:r>
        <w:rPr>
          <w:szCs w:val="22"/>
        </w:rPr>
        <w:t>The Mail &amp; Agenda Service is to enable users in the EuroBank community to create, send, receive and store e-mail messages. Exchange of messages is possible between users within the EuroBank domain, and with users in the Internet domain, as well as with mail-enabled applications.</w:t>
      </w:r>
    </w:p>
    <w:p>
      <w:pPr>
        <w:pStyle w:val="BodyText"/>
        <w:jc w:val="both"/>
        <w:rPr>
          <w:szCs w:val="22"/>
        </w:rPr>
      </w:pPr>
      <w:r>
        <w:rPr>
          <w:szCs w:val="22"/>
          <w:lang w:val="en-GB"/>
        </w:rPr>
        <w:t>The formula used to calculate the realised level for this Critical Service Level is the average of the realised level described in the paragraph 2.3.1 through 2.3.4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Directory Services</w:t>
      </w:r>
    </w:p>
    <w:p>
      <w:pPr>
        <w:pStyle w:val="BodyText"/>
        <w:jc w:val="both"/>
        <w:rPr>
          <w:szCs w:val="22"/>
          <w:lang w:val="en-GB"/>
        </w:rPr>
      </w:pPr>
      <w:r>
        <w:rPr>
          <w:szCs w:val="22"/>
          <w:lang w:val="en-GB"/>
        </w:rPr>
        <w:t>Please refer to the description for this element earlier in this document (2.2.1)</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Exchange application - named locations</w:t>
      </w:r>
    </w:p>
    <w:p>
      <w:pPr>
        <w:pStyle w:val="BodyText"/>
        <w:jc w:val="both"/>
        <w:rPr>
          <w:szCs w:val="22"/>
          <w:lang w:val="en-GB"/>
        </w:rPr>
      </w:pPr>
      <w:r>
        <w:rPr>
          <w:szCs w:val="22"/>
          <w:lang w:val="en-GB"/>
        </w:rPr>
        <w:t>For all in-scope servers, it applies to the service provided by these servers</w:t>
      </w:r>
    </w:p>
    <w:p>
      <w:pPr>
        <w:pStyle w:val="BodyText"/>
        <w:jc w:val="both"/>
        <w:rPr/>
      </w:pPr>
      <w:r>
        <w:rPr>
          <w:szCs w:val="22"/>
          <w:lang w:val="en-GB"/>
        </w:rPr>
        <w:t>Service availability is calculated as (1 - (B / A)) * 100%, where</w:t>
      </w:r>
    </w:p>
    <w:p>
      <w:pPr>
        <w:pStyle w:val="BodyText"/>
        <w:jc w:val="both"/>
        <w:rPr>
          <w:szCs w:val="22"/>
          <w:lang w:val="en-GB"/>
        </w:rPr>
      </w:pPr>
      <w:r>
        <w:rPr>
          <w:szCs w:val="22"/>
          <w:lang w:val="en-GB"/>
        </w:rPr>
        <w:t>A = service availability window in minutes</w:t>
      </w:r>
    </w:p>
    <w:p>
      <w:pPr>
        <w:pStyle w:val="BodyText"/>
        <w:jc w:val="both"/>
        <w:rPr/>
      </w:pPr>
      <w:r>
        <w:rPr>
          <w:szCs w:val="22"/>
          <w:lang w:val="en-GB"/>
        </w:rPr>
        <w:t>B = non-scheduled downtime within service window in minutes</w:t>
      </w:r>
    </w:p>
    <w:p>
      <w:pPr>
        <w:pStyle w:val="BodyText"/>
        <w:spacing w:before="0" w:after="0"/>
        <w:jc w:val="both"/>
        <w:rPr/>
      </w:pPr>
      <w:r>
        <w:rPr>
          <w:szCs w:val="22"/>
          <w:lang w:val="en-GB"/>
        </w:rPr>
        <w:t xml:space="preserve">Example 1: </w:t>
      </w:r>
    </w:p>
    <w:p>
      <w:pPr>
        <w:pStyle w:val="BodyText"/>
        <w:spacing w:before="0" w:after="0"/>
        <w:jc w:val="both"/>
        <w:rPr>
          <w:szCs w:val="22"/>
          <w:lang w:val="en-GB"/>
        </w:rPr>
      </w:pPr>
      <w:r>
        <w:rPr>
          <w:szCs w:val="22"/>
          <w:lang w:val="en-GB"/>
        </w:rPr>
      </w:r>
    </w:p>
    <w:p>
      <w:pPr>
        <w:pStyle w:val="BodyText"/>
        <w:spacing w:before="0" w:after="0"/>
        <w:jc w:val="both"/>
        <w:rPr>
          <w:szCs w:val="22"/>
        </w:rPr>
      </w:pPr>
      <w:r>
        <w:rPr>
          <w:szCs w:val="22"/>
        </w:rPr>
        <w:t>Service Window</w:t>
      </w:r>
    </w:p>
    <w:p>
      <w:pPr>
        <w:pStyle w:val="BodyText"/>
        <w:spacing w:before="0" w:after="0"/>
        <w:jc w:val="both"/>
        <w:rPr>
          <w:szCs w:val="22"/>
        </w:rPr>
      </w:pPr>
      <w:r>
        <w:rPr>
          <w:szCs w:val="22"/>
        </w:rPr>
        <w:tab/>
        <w:t>06:00 - 22:00 (Monday to Friday) and 07:00 - 17:00 (Saturday)</w:t>
      </w:r>
    </w:p>
    <w:p>
      <w:pPr>
        <w:pStyle w:val="BodyText"/>
        <w:spacing w:before="0" w:after="0"/>
        <w:jc w:val="both"/>
        <w:rPr>
          <w:szCs w:val="22"/>
        </w:rPr>
      </w:pPr>
      <w:r>
        <w:rPr>
          <w:szCs w:val="22"/>
        </w:rPr>
        <w:tab/>
        <w:t>= (5 * (22-6)) + (17-7) = 90 hours per week = 5400 minutes per week</w:t>
      </w:r>
    </w:p>
    <w:p>
      <w:pPr>
        <w:pStyle w:val="BodyText"/>
        <w:spacing w:before="0" w:after="0"/>
        <w:jc w:val="both"/>
        <w:rPr>
          <w:szCs w:val="22"/>
        </w:rPr>
      </w:pPr>
      <w:r>
        <w:rPr>
          <w:szCs w:val="22"/>
        </w:rPr>
        <w:tab/>
        <w:t>For example August 2006 has 23 workdays, plus 4 Saturdays:</w:t>
      </w:r>
    </w:p>
    <w:p>
      <w:pPr>
        <w:pStyle w:val="BodyText"/>
        <w:spacing w:before="0" w:after="0"/>
        <w:jc w:val="both"/>
        <w:rPr>
          <w:szCs w:val="22"/>
        </w:rPr>
      </w:pPr>
      <w:r>
        <w:rPr>
          <w:szCs w:val="22"/>
        </w:rPr>
        <w:tab/>
        <w:t>23 (weekdays) * ( 22 - 6 ) = 368 hours</w:t>
      </w:r>
    </w:p>
    <w:p>
      <w:pPr>
        <w:pStyle w:val="BodyText"/>
        <w:spacing w:before="0" w:after="0"/>
        <w:jc w:val="both"/>
        <w:rPr>
          <w:szCs w:val="22"/>
        </w:rPr>
      </w:pPr>
      <w:r>
        <w:rPr>
          <w:szCs w:val="22"/>
        </w:rPr>
        <w:tab/>
        <w:t>4 (Saturdays) * (17 - 7 ) = 40 hours</w:t>
      </w:r>
    </w:p>
    <w:p>
      <w:pPr>
        <w:pStyle w:val="BodyText"/>
        <w:spacing w:before="0" w:after="0"/>
        <w:jc w:val="both"/>
        <w:rPr>
          <w:szCs w:val="22"/>
        </w:rPr>
      </w:pPr>
      <w:r>
        <w:rPr>
          <w:szCs w:val="22"/>
        </w:rPr>
        <w:tab/>
        <w:t xml:space="preserve">total 408 hours * 60 (minutes per hour)  = </w:t>
      </w:r>
    </w:p>
    <w:p>
      <w:pPr>
        <w:pStyle w:val="BodyText"/>
        <w:spacing w:before="0" w:after="0"/>
        <w:jc w:val="both"/>
        <w:rPr>
          <w:szCs w:val="22"/>
        </w:rPr>
      </w:pPr>
      <w:r>
        <w:rPr>
          <w:szCs w:val="22"/>
        </w:rPr>
        <w:tab/>
        <w:t>A = 80 (servers) * 24.480 (minutes service window) = 1.872.000 minutes</w:t>
      </w:r>
    </w:p>
    <w:p>
      <w:pPr>
        <w:pStyle w:val="BodyText"/>
        <w:spacing w:before="0" w:after="0"/>
        <w:jc w:val="both"/>
        <w:rPr>
          <w:szCs w:val="22"/>
        </w:rPr>
      </w:pPr>
      <w:r>
        <w:rPr>
          <w:szCs w:val="22"/>
        </w:rPr>
      </w:r>
    </w:p>
    <w:p>
      <w:pPr>
        <w:pStyle w:val="BodyText"/>
        <w:spacing w:before="0" w:after="0"/>
        <w:jc w:val="both"/>
        <w:rPr>
          <w:szCs w:val="22"/>
        </w:rPr>
      </w:pPr>
      <w:r>
        <w:rPr>
          <w:szCs w:val="22"/>
        </w:rPr>
        <w:t>Non Scheduled Downtime</w:t>
      </w:r>
    </w:p>
    <w:p>
      <w:pPr>
        <w:pStyle w:val="BodyText"/>
        <w:spacing w:before="0" w:after="0"/>
        <w:jc w:val="both"/>
        <w:rPr/>
      </w:pPr>
      <w:r>
        <w:rPr>
          <w:szCs w:val="22"/>
        </w:rPr>
        <w:tab/>
        <w:t>Example downtime: Propagated configuration error causes 300 minutes database check on all mail servers (total environment unavailable for users) = B</w:t>
      </w:r>
    </w:p>
    <w:p>
      <w:pPr>
        <w:pStyle w:val="BodyText"/>
        <w:spacing w:before="0" w:after="0"/>
        <w:jc w:val="both"/>
        <w:rPr>
          <w:szCs w:val="22"/>
        </w:rPr>
      </w:pPr>
      <w:r>
        <w:rPr>
          <w:szCs w:val="22"/>
        </w:rPr>
      </w:r>
    </w:p>
    <w:p>
      <w:pPr>
        <w:pStyle w:val="BodyText"/>
        <w:spacing w:before="0" w:after="0"/>
        <w:jc w:val="both"/>
        <w:rPr>
          <w:szCs w:val="22"/>
        </w:rPr>
      </w:pPr>
      <w:r>
        <w:rPr>
          <w:szCs w:val="22"/>
        </w:rPr>
        <w:t>Result:</w:t>
      </w:r>
    </w:p>
    <w:p>
      <w:pPr>
        <w:pStyle w:val="BodyText"/>
        <w:spacing w:before="0" w:after="0"/>
        <w:jc w:val="both"/>
        <w:rPr/>
      </w:pPr>
      <w:r>
        <w:rPr>
          <w:szCs w:val="22"/>
        </w:rPr>
        <w:tab/>
        <w:t>(100% - (300*80 / 24.480*80)) * 100% = 0,987745098 = 98,77%</w:t>
      </w:r>
    </w:p>
    <w:p>
      <w:pPr>
        <w:pStyle w:val="BodyText"/>
        <w:spacing w:before="0" w:after="0"/>
        <w:jc w:val="both"/>
        <w:rPr>
          <w:szCs w:val="22"/>
        </w:rPr>
      </w:pPr>
      <w:r>
        <w:rPr>
          <w:szCs w:val="22"/>
        </w:rPr>
      </w:r>
    </w:p>
    <w:p>
      <w:pPr>
        <w:pStyle w:val="BodyText"/>
        <w:spacing w:before="0" w:after="0"/>
        <w:jc w:val="both"/>
        <w:rPr>
          <w:szCs w:val="22"/>
        </w:rPr>
      </w:pPr>
      <w:r>
        <w:rPr>
          <w:szCs w:val="22"/>
        </w:rPr>
        <w:t>Example 2:</w:t>
      </w:r>
    </w:p>
    <w:p>
      <w:pPr>
        <w:pStyle w:val="BodyText"/>
        <w:spacing w:before="0" w:after="0"/>
        <w:jc w:val="both"/>
        <w:rPr>
          <w:szCs w:val="22"/>
        </w:rPr>
      </w:pPr>
      <w:r>
        <w:rPr>
          <w:szCs w:val="22"/>
        </w:rPr>
      </w:r>
    </w:p>
    <w:p>
      <w:pPr>
        <w:pStyle w:val="BodyText"/>
        <w:spacing w:before="0" w:after="0"/>
        <w:jc w:val="both"/>
        <w:rPr>
          <w:szCs w:val="22"/>
        </w:rPr>
      </w:pPr>
      <w:r>
        <w:rPr>
          <w:szCs w:val="22"/>
        </w:rPr>
        <w:t>Service Window as above, Total 80 exchange application instances on the same number of servers, 77 exchange application instances without non-scheduled downtime.</w:t>
      </w:r>
    </w:p>
    <w:p>
      <w:pPr>
        <w:pStyle w:val="BodyText"/>
        <w:spacing w:before="0" w:after="0"/>
        <w:jc w:val="both"/>
        <w:rPr/>
      </w:pPr>
      <w:r>
        <w:rPr>
          <w:szCs w:val="22"/>
        </w:rPr>
        <w:tab/>
        <w:t>A = 80 (servers) * 24.480 (minutes service window) = 1.872.000 minutes</w:t>
      </w:r>
    </w:p>
    <w:p>
      <w:pPr>
        <w:pStyle w:val="BodyText"/>
        <w:spacing w:before="0" w:after="0"/>
        <w:jc w:val="both"/>
        <w:rPr>
          <w:szCs w:val="22"/>
        </w:rPr>
      </w:pPr>
      <w:r>
        <w:rPr>
          <w:szCs w:val="22"/>
        </w:rPr>
      </w:r>
    </w:p>
    <w:p>
      <w:pPr>
        <w:pStyle w:val="BodyText"/>
        <w:spacing w:before="0" w:after="0"/>
        <w:jc w:val="both"/>
        <w:rPr>
          <w:szCs w:val="22"/>
        </w:rPr>
      </w:pPr>
      <w:r>
        <w:rPr>
          <w:szCs w:val="22"/>
        </w:rPr>
        <w:t>Non Scheduled Downtime</w:t>
      </w:r>
    </w:p>
    <w:p>
      <w:pPr>
        <w:pStyle w:val="BodyText"/>
        <w:spacing w:before="0" w:after="0"/>
        <w:jc w:val="both"/>
        <w:rPr>
          <w:szCs w:val="22"/>
        </w:rPr>
      </w:pPr>
      <w:r>
        <w:rPr>
          <w:szCs w:val="22"/>
        </w:rPr>
        <w:tab/>
        <w:t>exchange application instance number 1 downtime of 55 minutes</w:t>
      </w:r>
    </w:p>
    <w:p>
      <w:pPr>
        <w:pStyle w:val="BodyText"/>
        <w:spacing w:before="0" w:after="0"/>
        <w:jc w:val="both"/>
        <w:rPr>
          <w:szCs w:val="22"/>
        </w:rPr>
      </w:pPr>
      <w:r>
        <w:rPr>
          <w:szCs w:val="22"/>
        </w:rPr>
        <w:tab/>
        <w:t>exchange application instance number 2 downtime of 240 minutes</w:t>
      </w:r>
    </w:p>
    <w:p>
      <w:pPr>
        <w:pStyle w:val="BodyText"/>
        <w:spacing w:before="0" w:after="0"/>
        <w:jc w:val="both"/>
        <w:rPr>
          <w:szCs w:val="22"/>
        </w:rPr>
      </w:pPr>
      <w:r>
        <w:rPr>
          <w:szCs w:val="22"/>
        </w:rPr>
        <w:tab/>
        <w:t>exchange application instance number 3 downtime of 10 minutes</w:t>
      </w:r>
    </w:p>
    <w:p>
      <w:pPr>
        <w:pStyle w:val="BodyText"/>
        <w:spacing w:before="0" w:after="0"/>
        <w:jc w:val="both"/>
        <w:rPr>
          <w:szCs w:val="22"/>
        </w:rPr>
      </w:pPr>
      <w:r>
        <w:rPr>
          <w:szCs w:val="22"/>
        </w:rPr>
        <w:tab/>
        <w:t>B = 55 + 240 + 10 = 305 minutes</w:t>
      </w:r>
    </w:p>
    <w:p>
      <w:pPr>
        <w:pStyle w:val="BodyText"/>
        <w:spacing w:before="0" w:after="0"/>
        <w:jc w:val="both"/>
        <w:rPr>
          <w:szCs w:val="22"/>
        </w:rPr>
      </w:pPr>
      <w:r>
        <w:rPr>
          <w:szCs w:val="22"/>
        </w:rPr>
      </w:r>
    </w:p>
    <w:p>
      <w:pPr>
        <w:pStyle w:val="BodyText"/>
        <w:spacing w:before="0" w:after="0"/>
        <w:jc w:val="both"/>
        <w:rPr>
          <w:szCs w:val="22"/>
        </w:rPr>
      </w:pPr>
      <w:r>
        <w:rPr>
          <w:szCs w:val="22"/>
        </w:rPr>
        <w:t>Result:</w:t>
      </w:r>
    </w:p>
    <w:p>
      <w:pPr>
        <w:pStyle w:val="BodyText"/>
        <w:spacing w:before="0" w:after="0"/>
        <w:jc w:val="both"/>
        <w:rPr>
          <w:szCs w:val="22"/>
        </w:rPr>
      </w:pPr>
      <w:r>
        <w:rPr>
          <w:szCs w:val="22"/>
        </w:rPr>
        <w:tab/>
        <w:t>(100% - (305 / 1.958.400)) * 100% = 0,999844261= 99,98%</w:t>
      </w:r>
    </w:p>
    <w:p>
      <w:pPr>
        <w:pStyle w:val="BodyText"/>
        <w:spacing w:before="0" w:after="0"/>
        <w:jc w:val="both"/>
        <w:rPr>
          <w:szCs w:val="22"/>
          <w:lang w:eastAsia="fr-FR"/>
        </w:rPr>
      </w:pPr>
      <w:r>
        <w:rPr>
          <w:szCs w:val="22"/>
          <w:lang w:eastAsia="fr-FR"/>
        </w:rPr>
      </w:r>
    </w:p>
    <w:p>
      <w:pPr>
        <w:pStyle w:val="BodyText"/>
        <w:spacing w:before="0" w:after="0"/>
        <w:jc w:val="both"/>
        <w:rPr>
          <w:szCs w:val="22"/>
          <w:lang w:eastAsia="fr-FR"/>
        </w:rPr>
      </w:pPr>
      <w:r>
        <w:rPr>
          <w:szCs w:val="22"/>
          <w:lang w:eastAsia="fr-FR"/>
        </w:rPr>
        <w:t>Note: The enhanced (compared to the standard) service levels for ‘named locations’ and ‘high available’ environments have the following requirements before enhancement above the standard service level:</w:t>
      </w:r>
    </w:p>
    <w:p>
      <w:pPr>
        <w:pStyle w:val="tablelevel1numbered1"/>
        <w:numPr>
          <w:ilvl w:val="0"/>
          <w:numId w:val="15"/>
        </w:numPr>
        <w:jc w:val="both"/>
        <w:rPr>
          <w:lang w:val="en-GB"/>
        </w:rPr>
      </w:pPr>
      <w:r>
        <w:rPr>
          <w:lang w:val="en-GB"/>
        </w:rPr>
        <w:t>The ‘silver’ service window applies</w:t>
      </w:r>
    </w:p>
    <w:p>
      <w:pPr>
        <w:pStyle w:val="tablelevel1numbered1"/>
        <w:numPr>
          <w:ilvl w:val="0"/>
          <w:numId w:val="15"/>
        </w:numPr>
        <w:jc w:val="both"/>
        <w:rPr>
          <w:lang w:val="en-GB"/>
        </w:rPr>
      </w:pPr>
      <w:r>
        <w:rPr>
          <w:lang w:val="en-GB"/>
        </w:rPr>
        <w:t>All Exchange (cluster) servers run at least Exchange 2003 server Enterprise Edition</w:t>
      </w:r>
    </w:p>
    <w:p>
      <w:pPr>
        <w:pStyle w:val="tablelevel1numbered1"/>
        <w:numPr>
          <w:ilvl w:val="0"/>
          <w:numId w:val="15"/>
        </w:numPr>
        <w:jc w:val="both"/>
        <w:rPr>
          <w:lang w:val="en-GB"/>
        </w:rPr>
      </w:pPr>
      <w:r>
        <w:rPr>
          <w:lang w:val="en-GB"/>
        </w:rPr>
        <w:t>All Exchange (cluster) servers must fully pass Microsoft Best Practice Analyzer Tool ( http://www.microsoft.com/downloads/details.aspx?familyid=DBAB201F-4BEE-4943-AC22-E2DDBD258DF3&amp;displaylang=en )</w:t>
      </w:r>
    </w:p>
    <w:p>
      <w:pPr>
        <w:pStyle w:val="tablelevel1numbered1"/>
        <w:numPr>
          <w:ilvl w:val="0"/>
          <w:numId w:val="15"/>
        </w:numPr>
        <w:jc w:val="both"/>
        <w:rPr>
          <w:lang w:val="en-GB"/>
        </w:rPr>
      </w:pPr>
      <w:r>
        <w:rPr>
          <w:lang w:val="en-GB"/>
        </w:rPr>
        <w:t>All Exchange (cluster) servers must function properly during tests running the Microsoft Exchange Server Jetstress Tool ( http://www.microsoft.com/downloads/details.aspx?FamilyID=94b9810b-670e-433a-b5ef-b47054595e9c&amp;DisplayLang=en )</w:t>
      </w:r>
    </w:p>
    <w:p>
      <w:pPr>
        <w:pStyle w:val="tablelevel1numbered1"/>
        <w:numPr>
          <w:ilvl w:val="0"/>
          <w:numId w:val="15"/>
        </w:numPr>
        <w:jc w:val="both"/>
        <w:rPr>
          <w:lang w:val="en-GB"/>
        </w:rPr>
      </w:pPr>
      <w:r>
        <w:rPr>
          <w:lang w:val="en-GB"/>
        </w:rPr>
        <w:t>All Exchange (cluster) servers must be on the Certified for Microsoft Cluster hardware list ( http://support.microsoft.com/?id=309395 ) including the parts of ‘SAN’ and ‘Geographically dispersed clusters’ where applicable</w:t>
      </w:r>
    </w:p>
    <w:p>
      <w:pPr>
        <w:pStyle w:val="tablelevel1numbered1"/>
        <w:numPr>
          <w:ilvl w:val="0"/>
          <w:numId w:val="15"/>
        </w:numPr>
        <w:jc w:val="both"/>
        <w:rPr>
          <w:lang w:val="en-GB"/>
        </w:rPr>
      </w:pPr>
      <w:r>
        <w:rPr>
          <w:lang w:val="en-GB"/>
        </w:rPr>
        <w:t>All Exchange (cluster) servers will only run Windows Certified Server Applications (i.e. listed on http://cert.veritest.com/CfWreports/server/ ) and drivers (i.e. listed in the http://www.microsoft.com/Windows/catalog/server/ )</w:t>
      </w:r>
    </w:p>
    <w:p>
      <w:pPr>
        <w:pStyle w:val="tablelevel1numbered1"/>
        <w:numPr>
          <w:ilvl w:val="0"/>
          <w:numId w:val="15"/>
        </w:numPr>
        <w:jc w:val="both"/>
        <w:rPr>
          <w:lang w:val="en-GB"/>
        </w:rPr>
      </w:pPr>
      <w:r>
        <w:rPr>
          <w:lang w:val="en-GB"/>
        </w:rPr>
        <w:t xml:space="preserve">For SAN attached (cluster) servers, all complete paths to the storage (and/or backup) must be fully supported by all vendors, i.e. have a firmware / driver / connection / topology / configuration combination confirmed approved by all (hardware and software) vendors involved </w:t>
      </w:r>
    </w:p>
    <w:p>
      <w:pPr>
        <w:pStyle w:val="tablelevel1numbered1"/>
        <w:numPr>
          <w:ilvl w:val="0"/>
          <w:numId w:val="15"/>
        </w:numPr>
        <w:jc w:val="both"/>
        <w:rPr>
          <w:lang w:val="en-GB"/>
        </w:rPr>
      </w:pPr>
      <w:r>
        <w:rPr>
          <w:lang w:val="en-GB"/>
        </w:rPr>
        <w:t>All Exchange (cluster) servers must be free of warnings and errors in the system and application event logs</w:t>
      </w:r>
    </w:p>
    <w:p>
      <w:pPr>
        <w:pStyle w:val="BodyText"/>
        <w:jc w:val="both"/>
        <w:rPr>
          <w:szCs w:val="22"/>
          <w:lang w:eastAsia="fr-FR"/>
        </w:rPr>
      </w:pPr>
      <w:r>
        <w:rPr>
          <w:szCs w:val="22"/>
          <w:lang w:eastAsia="fr-FR"/>
        </w:rPr>
        <w:t>These requirements have been based on technical documentation provided by EuroBank.</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LAN - LAN Availability</w:t>
      </w:r>
    </w:p>
    <w:p>
      <w:pPr>
        <w:pStyle w:val="BodyText"/>
        <w:jc w:val="both"/>
        <w:rPr>
          <w:szCs w:val="22"/>
          <w:lang w:val="en-GB"/>
        </w:rPr>
      </w:pPr>
      <w:r>
        <w:rPr>
          <w:szCs w:val="22"/>
          <w:lang w:val="en-GB"/>
        </w:rPr>
        <w:t>Please refer to the description for this element earlier in this document (2.2.3)</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LAN - LAN Availability (Dealing room only)</w:t>
      </w:r>
    </w:p>
    <w:p>
      <w:pPr>
        <w:pStyle w:val="BodyText"/>
        <w:jc w:val="both"/>
        <w:rPr>
          <w:szCs w:val="22"/>
          <w:lang w:val="en-GB"/>
        </w:rPr>
      </w:pPr>
      <w:r>
        <w:rPr>
          <w:szCs w:val="22"/>
          <w:lang w:val="en-GB"/>
        </w:rPr>
        <w:t>Please refer to the description for this element earlier in this document (2.2.4)</w:t>
      </w:r>
    </w:p>
    <w:p>
      <w:pPr>
        <w:pStyle w:val="Heading2Numbered"/>
        <w:numPr>
          <w:ilvl w:val="1"/>
          <w:numId w:val="4"/>
        </w:numPr>
        <w:ind w:hanging="0" w:start="0"/>
        <w:jc w:val="both"/>
        <w:rPr>
          <w:rFonts w:ascii="Times New Roman" w:hAnsi="Times New Roman" w:cs="Times New Roman"/>
          <w:sz w:val="22"/>
          <w:szCs w:val="22"/>
          <w:lang w:val="en-GB"/>
        </w:rPr>
      </w:pPr>
      <w:bookmarkStart w:id="6" w:name="__RefHeading___Toc151896974"/>
      <w:bookmarkEnd w:id="6"/>
      <w:r>
        <w:rPr>
          <w:rFonts w:cs="Times New Roman" w:ascii="Times New Roman" w:hAnsi="Times New Roman"/>
          <w:sz w:val="22"/>
          <w:szCs w:val="22"/>
          <w:lang w:val="en-GB"/>
        </w:rPr>
        <w:t>File &amp; Print Services – Availability</w:t>
      </w:r>
    </w:p>
    <w:p>
      <w:pPr>
        <w:pStyle w:val="BodyText"/>
        <w:jc w:val="both"/>
        <w:rPr/>
      </w:pPr>
      <w:r>
        <w:rPr>
          <w:szCs w:val="22"/>
          <w:lang w:val="en-GB"/>
        </w:rPr>
        <w:t>The formula used to calculate the realised level for this Critical Service Level is the average of the realised level described in the paragraph 2.4.1 through 2.4.4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Directory Service</w:t>
      </w:r>
    </w:p>
    <w:p>
      <w:pPr>
        <w:pStyle w:val="BodyText"/>
        <w:jc w:val="both"/>
        <w:rPr>
          <w:szCs w:val="22"/>
          <w:lang w:val="en-GB"/>
        </w:rPr>
      </w:pPr>
      <w:r>
        <w:rPr>
          <w:szCs w:val="22"/>
          <w:lang w:val="en-GB"/>
        </w:rPr>
        <w:t>Please refer to the description for this element earlier in this document (2.2.1)</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File &amp; Print application - standard locations</w:t>
      </w:r>
    </w:p>
    <w:p>
      <w:pPr>
        <w:pStyle w:val="BodyText"/>
        <w:jc w:val="both"/>
        <w:rPr>
          <w:szCs w:val="22"/>
          <w:lang w:val="en-GB"/>
        </w:rPr>
      </w:pPr>
      <w:r>
        <w:rPr>
          <w:szCs w:val="22"/>
          <w:lang w:val="en-GB"/>
        </w:rPr>
        <w:t>Please refer to the description for this element earlier in this document. (2.2.2)</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File &amp; Print application – high availability solution</w:t>
      </w:r>
    </w:p>
    <w:p>
      <w:pPr>
        <w:pStyle w:val="BodyText"/>
        <w:jc w:val="both"/>
        <w:rPr/>
      </w:pPr>
      <w:r>
        <w:rPr>
          <w:szCs w:val="22"/>
        </w:rPr>
        <w:t>For all in-scope servers which are now implemented (Brussels, WP &amp;DP (to be implemented) and Treasury Building) as a high availability solution, it applies to the service provided by these servers</w:t>
      </w:r>
    </w:p>
    <w:p>
      <w:pPr>
        <w:pStyle w:val="BodyText"/>
        <w:jc w:val="both"/>
        <w:rPr>
          <w:szCs w:val="22"/>
          <w:lang w:val="en-GB"/>
        </w:rPr>
      </w:pPr>
      <w:r>
        <w:rPr>
          <w:szCs w:val="22"/>
          <w:lang w:val="en-GB"/>
        </w:rPr>
        <w:t>Please refer to the description for this element earlier in this document (2.2.2)</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LAN - LAN Availability</w:t>
      </w:r>
    </w:p>
    <w:p>
      <w:pPr>
        <w:pStyle w:val="BodyText"/>
        <w:jc w:val="both"/>
        <w:rPr>
          <w:szCs w:val="22"/>
          <w:lang w:val="en-GB"/>
        </w:rPr>
      </w:pPr>
      <w:r>
        <w:rPr>
          <w:szCs w:val="22"/>
          <w:lang w:val="en-GB"/>
        </w:rPr>
        <w:t>Please refer to the description for this element earlier in this document (2.2.3)</w:t>
      </w:r>
    </w:p>
    <w:p>
      <w:pPr>
        <w:pStyle w:val="Heading2Numbered"/>
        <w:numPr>
          <w:ilvl w:val="1"/>
          <w:numId w:val="4"/>
        </w:numPr>
        <w:ind w:hanging="0" w:start="0"/>
        <w:jc w:val="both"/>
        <w:rPr>
          <w:rFonts w:ascii="Times New Roman" w:hAnsi="Times New Roman" w:cs="Times New Roman"/>
          <w:sz w:val="22"/>
          <w:szCs w:val="22"/>
          <w:lang w:val="en-GB"/>
        </w:rPr>
      </w:pPr>
      <w:bookmarkStart w:id="7" w:name="__RefHeading___Toc151896975"/>
      <w:bookmarkEnd w:id="7"/>
      <w:r>
        <w:rPr>
          <w:rFonts w:cs="Times New Roman" w:ascii="Times New Roman" w:hAnsi="Times New Roman"/>
          <w:sz w:val="22"/>
          <w:szCs w:val="22"/>
          <w:lang w:val="en-GB"/>
        </w:rPr>
        <w:t>Mail &amp; Agenda Services – Availability</w:t>
      </w:r>
    </w:p>
    <w:p>
      <w:pPr>
        <w:pStyle w:val="BodyText"/>
        <w:jc w:val="both"/>
        <w:rPr/>
      </w:pPr>
      <w:r>
        <w:rPr>
          <w:szCs w:val="22"/>
          <w:lang w:val="en-GB"/>
        </w:rPr>
        <w:t>The formula used to calculate the realised level for this Critical Service Level is the average of the realised level described in the paragraph 2.5.1 through 2.5.4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Directory Service</w:t>
      </w:r>
    </w:p>
    <w:p>
      <w:pPr>
        <w:pStyle w:val="BodyText"/>
        <w:jc w:val="both"/>
        <w:rPr>
          <w:szCs w:val="22"/>
          <w:lang w:val="en-GB"/>
        </w:rPr>
      </w:pPr>
      <w:r>
        <w:rPr>
          <w:szCs w:val="22"/>
          <w:lang w:val="en-GB"/>
        </w:rPr>
        <w:t>Please refer to the description for this element earlier in this document (2.2.1)</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Exchange application - standard locations</w:t>
      </w:r>
    </w:p>
    <w:p>
      <w:pPr>
        <w:pStyle w:val="BodyText"/>
        <w:jc w:val="both"/>
        <w:rPr>
          <w:szCs w:val="22"/>
          <w:lang w:val="en-GB"/>
        </w:rPr>
      </w:pPr>
      <w:r>
        <w:rPr>
          <w:szCs w:val="22"/>
          <w:lang w:val="en-GB"/>
        </w:rPr>
        <w:t>Please refer to the description for this element earlier in this document (2.3.2)</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Mail &amp; Agenda application – high availability solution</w:t>
      </w:r>
    </w:p>
    <w:p>
      <w:pPr>
        <w:pStyle w:val="BodyText"/>
        <w:jc w:val="both"/>
        <w:rPr/>
      </w:pPr>
      <w:r>
        <w:rPr>
          <w:szCs w:val="22"/>
          <w:lang w:val="en-GB"/>
        </w:rPr>
        <w:t>For all in-scope servers</w:t>
      </w:r>
      <w:r>
        <w:rPr>
          <w:szCs w:val="22"/>
        </w:rPr>
        <w:t xml:space="preserve"> which are now implemented as a high availability solution (Brussels, WP &amp;DP (to be implemented))</w:t>
      </w:r>
      <w:r>
        <w:rPr>
          <w:szCs w:val="22"/>
          <w:lang w:val="en-GB"/>
        </w:rPr>
        <w:t>, it applies to the service provided by these servers</w:t>
      </w:r>
    </w:p>
    <w:p>
      <w:pPr>
        <w:pStyle w:val="BodyText"/>
        <w:jc w:val="both"/>
        <w:rPr>
          <w:szCs w:val="22"/>
        </w:rPr>
      </w:pPr>
      <w:r>
        <w:rPr>
          <w:szCs w:val="22"/>
          <w:lang w:val="en-GB"/>
        </w:rPr>
        <w:t>Please refer to the description for this element earlier in this document (2.3.2)</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LAN - LAN Availability</w:t>
      </w:r>
    </w:p>
    <w:p>
      <w:pPr>
        <w:pStyle w:val="BodyText"/>
        <w:jc w:val="both"/>
        <w:rPr>
          <w:szCs w:val="22"/>
          <w:lang w:val="en-GB"/>
        </w:rPr>
      </w:pPr>
      <w:r>
        <w:rPr>
          <w:szCs w:val="22"/>
          <w:lang w:val="en-GB"/>
        </w:rPr>
        <w:t>Please refer to the description for this element earlier in this document (2.2.3)</w:t>
      </w:r>
    </w:p>
    <w:p>
      <w:pPr>
        <w:pStyle w:val="Heading2Numbered"/>
        <w:numPr>
          <w:ilvl w:val="1"/>
          <w:numId w:val="4"/>
        </w:numPr>
        <w:ind w:hanging="0" w:start="0"/>
        <w:jc w:val="both"/>
        <w:rPr>
          <w:rFonts w:ascii="Times New Roman" w:hAnsi="Times New Roman" w:cs="Times New Roman"/>
          <w:sz w:val="22"/>
          <w:szCs w:val="22"/>
          <w:lang w:val="en-GB"/>
        </w:rPr>
      </w:pPr>
      <w:bookmarkStart w:id="8" w:name="__RefHeading___Toc151896976"/>
      <w:bookmarkEnd w:id="8"/>
      <w:r>
        <w:rPr>
          <w:rFonts w:cs="Times New Roman" w:ascii="Times New Roman" w:hAnsi="Times New Roman"/>
          <w:sz w:val="22"/>
          <w:szCs w:val="22"/>
          <w:lang w:val="en-GB"/>
        </w:rPr>
        <w:t>Application Integration Service – Availability</w:t>
      </w:r>
    </w:p>
    <w:p>
      <w:pPr>
        <w:pStyle w:val="BodyText"/>
        <w:jc w:val="both"/>
        <w:rPr>
          <w:szCs w:val="22"/>
          <w:lang w:val="en-GB"/>
        </w:rPr>
      </w:pPr>
      <w:r>
        <w:rPr>
          <w:szCs w:val="22"/>
          <w:lang w:val="en-GB"/>
        </w:rPr>
        <w:t>The formula used to calculate the Expected Level and the Minimum Level for this Critical Service Level is an average of the Expected Level and the Minimum Level described in the paragraph 2.6.1 through 2.6.3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Directory Services</w:t>
      </w:r>
    </w:p>
    <w:p>
      <w:pPr>
        <w:pStyle w:val="BodyText"/>
        <w:jc w:val="both"/>
        <w:rPr>
          <w:szCs w:val="22"/>
          <w:lang w:val="en-GB"/>
        </w:rPr>
      </w:pPr>
      <w:r>
        <w:rPr>
          <w:szCs w:val="22"/>
          <w:lang w:val="en-GB"/>
        </w:rPr>
        <w:t>Please refer to the description for this element earlier in this document (2.2.1)</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Software Distribution Services (e.g. SMS, EPO)</w:t>
      </w:r>
    </w:p>
    <w:p>
      <w:pPr>
        <w:pStyle w:val="BodyText"/>
        <w:jc w:val="both"/>
        <w:rPr>
          <w:szCs w:val="22"/>
          <w:lang w:val="en-GB"/>
        </w:rPr>
      </w:pPr>
      <w:r>
        <w:rPr>
          <w:szCs w:val="22"/>
          <w:lang w:val="en-GB"/>
        </w:rPr>
        <w:t>For all in-scope servers, it applies to the service provided by these servers</w:t>
      </w:r>
    </w:p>
    <w:p>
      <w:pPr>
        <w:pStyle w:val="BodyText"/>
        <w:jc w:val="both"/>
        <w:rPr/>
      </w:pPr>
      <w:r>
        <w:rPr>
          <w:szCs w:val="22"/>
          <w:lang w:val="en-GB"/>
        </w:rPr>
        <w:t>service availability is calculated as (1 - (B / A)) * 100%, where</w:t>
      </w:r>
    </w:p>
    <w:p>
      <w:pPr>
        <w:pStyle w:val="BodyText"/>
        <w:jc w:val="both"/>
        <w:rPr>
          <w:szCs w:val="22"/>
          <w:lang w:val="en-GB"/>
        </w:rPr>
      </w:pPr>
      <w:r>
        <w:rPr>
          <w:szCs w:val="22"/>
          <w:lang w:val="en-GB"/>
        </w:rPr>
        <w:t>A = service availability window in minutes</w:t>
      </w:r>
    </w:p>
    <w:p>
      <w:pPr>
        <w:pStyle w:val="BodyText"/>
        <w:jc w:val="both"/>
        <w:rPr>
          <w:szCs w:val="22"/>
          <w:lang w:val="en-GB"/>
        </w:rPr>
      </w:pPr>
      <w:r>
        <w:rPr>
          <w:szCs w:val="22"/>
          <w:lang w:val="en-GB"/>
        </w:rPr>
        <w:t>B = non-scheduled downtime within service window in minutes</w:t>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r>
    </w:p>
    <w:p>
      <w:pPr>
        <w:pStyle w:val="BodyText"/>
        <w:spacing w:before="0" w:after="0"/>
        <w:jc w:val="both"/>
        <w:rPr>
          <w:szCs w:val="22"/>
        </w:rPr>
      </w:pPr>
      <w:r>
        <w:rPr>
          <w:szCs w:val="22"/>
        </w:rPr>
        <w:t>Service Window</w:t>
      </w:r>
    </w:p>
    <w:p>
      <w:pPr>
        <w:pStyle w:val="BodyText"/>
        <w:spacing w:before="0" w:after="0"/>
        <w:jc w:val="both"/>
        <w:rPr>
          <w:szCs w:val="22"/>
        </w:rPr>
      </w:pPr>
      <w:r>
        <w:rPr>
          <w:szCs w:val="22"/>
        </w:rPr>
        <w:tab/>
        <w:t>06:00 - 22:00 (Monday to Friday) and 07:00 - 17:00 (Saturday)</w:t>
      </w:r>
    </w:p>
    <w:p>
      <w:pPr>
        <w:pStyle w:val="BodyText"/>
        <w:spacing w:before="0" w:after="0"/>
        <w:jc w:val="both"/>
        <w:rPr>
          <w:szCs w:val="22"/>
        </w:rPr>
      </w:pPr>
      <w:r>
        <w:rPr>
          <w:szCs w:val="22"/>
        </w:rPr>
        <w:tab/>
        <w:t>= (5 * (22-6)) + (17-7) = 90 hours per week = 5400 minutes per week</w:t>
      </w:r>
    </w:p>
    <w:p>
      <w:pPr>
        <w:pStyle w:val="BodyText"/>
        <w:spacing w:before="0" w:after="0"/>
        <w:jc w:val="both"/>
        <w:rPr>
          <w:szCs w:val="22"/>
        </w:rPr>
      </w:pPr>
      <w:r>
        <w:rPr>
          <w:szCs w:val="22"/>
        </w:rPr>
        <w:tab/>
        <w:t>For example August 2006 has 23 workdays, plus 4 Saturdays:</w:t>
      </w:r>
    </w:p>
    <w:p>
      <w:pPr>
        <w:pStyle w:val="BodyText"/>
        <w:spacing w:before="0" w:after="0"/>
        <w:jc w:val="both"/>
        <w:rPr>
          <w:szCs w:val="22"/>
        </w:rPr>
      </w:pPr>
      <w:r>
        <w:rPr>
          <w:szCs w:val="22"/>
        </w:rPr>
        <w:tab/>
        <w:t>23 (weekdays) * ( 22 - 6 ) = 368 hours</w:t>
      </w:r>
    </w:p>
    <w:p>
      <w:pPr>
        <w:pStyle w:val="BodyText"/>
        <w:spacing w:before="0" w:after="0"/>
        <w:jc w:val="both"/>
        <w:rPr>
          <w:szCs w:val="22"/>
        </w:rPr>
      </w:pPr>
      <w:r>
        <w:rPr>
          <w:szCs w:val="22"/>
        </w:rPr>
        <w:tab/>
        <w:t>4 (Saturdays) * (17 - 7 ) = 40 hours</w:t>
      </w:r>
    </w:p>
    <w:p>
      <w:pPr>
        <w:pStyle w:val="BodyText"/>
        <w:spacing w:before="0" w:after="0"/>
        <w:jc w:val="both"/>
        <w:rPr>
          <w:szCs w:val="22"/>
        </w:rPr>
      </w:pPr>
      <w:r>
        <w:rPr>
          <w:szCs w:val="22"/>
        </w:rPr>
        <w:tab/>
        <w:t xml:space="preserve">total 408 hours * 60 (minutes per hour)  = </w:t>
      </w:r>
    </w:p>
    <w:p>
      <w:pPr>
        <w:pStyle w:val="BodyText"/>
        <w:spacing w:before="0" w:after="0"/>
        <w:jc w:val="both"/>
        <w:rPr>
          <w:szCs w:val="22"/>
        </w:rPr>
      </w:pPr>
      <w:r>
        <w:rPr>
          <w:szCs w:val="22"/>
        </w:rPr>
        <w:tab/>
        <w:t>24.480 minutes Service Window</w:t>
      </w:r>
    </w:p>
    <w:p>
      <w:pPr>
        <w:pStyle w:val="BodyText"/>
        <w:spacing w:before="0" w:after="0"/>
        <w:jc w:val="both"/>
        <w:rPr>
          <w:szCs w:val="22"/>
        </w:rPr>
      </w:pPr>
      <w:r>
        <w:rPr>
          <w:szCs w:val="22"/>
        </w:rPr>
      </w:r>
    </w:p>
    <w:p>
      <w:pPr>
        <w:pStyle w:val="BodyText"/>
        <w:spacing w:before="0" w:after="0"/>
        <w:jc w:val="both"/>
        <w:rPr>
          <w:szCs w:val="22"/>
        </w:rPr>
      </w:pPr>
      <w:r>
        <w:rPr>
          <w:szCs w:val="22"/>
        </w:rPr>
        <w:t>Total 80 servers, 77 servers without non-scheduled downtime.</w:t>
      </w:r>
    </w:p>
    <w:p>
      <w:pPr>
        <w:pStyle w:val="BodyText"/>
        <w:spacing w:before="0" w:after="0"/>
        <w:jc w:val="both"/>
        <w:rPr>
          <w:szCs w:val="22"/>
        </w:rPr>
      </w:pPr>
      <w:r>
        <w:rPr>
          <w:szCs w:val="22"/>
        </w:rPr>
        <w:tab/>
        <w:t>A = 80 (servers) * 24480 (minutes service window) = 1.958.400 minutes</w:t>
      </w:r>
    </w:p>
    <w:p>
      <w:pPr>
        <w:pStyle w:val="BodyText"/>
        <w:spacing w:before="0" w:after="0"/>
        <w:jc w:val="both"/>
        <w:rPr>
          <w:szCs w:val="22"/>
        </w:rPr>
      </w:pPr>
      <w:r>
        <w:rPr>
          <w:szCs w:val="22"/>
        </w:rPr>
      </w:r>
    </w:p>
    <w:p>
      <w:pPr>
        <w:pStyle w:val="BodyText"/>
        <w:spacing w:before="0" w:after="0"/>
        <w:jc w:val="both"/>
        <w:rPr>
          <w:szCs w:val="22"/>
        </w:rPr>
      </w:pPr>
      <w:r>
        <w:rPr>
          <w:szCs w:val="22"/>
        </w:rPr>
        <w:t>Non Scheduled Downtime</w:t>
      </w:r>
    </w:p>
    <w:p>
      <w:pPr>
        <w:pStyle w:val="BodyText"/>
        <w:spacing w:before="0" w:after="0"/>
        <w:ind w:firstLine="720" w:end="0"/>
        <w:jc w:val="both"/>
        <w:rPr>
          <w:szCs w:val="22"/>
        </w:rPr>
      </w:pPr>
      <w:r>
        <w:rPr>
          <w:szCs w:val="22"/>
        </w:rPr>
        <w:t>Server 1 downtime of 55 minutes</w:t>
      </w:r>
    </w:p>
    <w:p>
      <w:pPr>
        <w:pStyle w:val="BodyText"/>
        <w:spacing w:before="0" w:after="0"/>
        <w:jc w:val="both"/>
        <w:rPr>
          <w:szCs w:val="22"/>
        </w:rPr>
      </w:pPr>
      <w:r>
        <w:rPr>
          <w:szCs w:val="22"/>
        </w:rPr>
        <w:tab/>
        <w:t>Server 2 no distribution point available for 240 minutes</w:t>
      </w:r>
    </w:p>
    <w:p>
      <w:pPr>
        <w:pStyle w:val="BodyText"/>
        <w:spacing w:before="0" w:after="0"/>
        <w:jc w:val="both"/>
        <w:rPr>
          <w:szCs w:val="22"/>
        </w:rPr>
      </w:pPr>
      <w:r>
        <w:rPr>
          <w:szCs w:val="22"/>
        </w:rPr>
        <w:tab/>
        <w:t>Server 3 no management point for 10 minutes</w:t>
      </w:r>
    </w:p>
    <w:p>
      <w:pPr>
        <w:pStyle w:val="BodyText"/>
        <w:spacing w:before="0" w:after="0"/>
        <w:jc w:val="both"/>
        <w:rPr>
          <w:szCs w:val="22"/>
        </w:rPr>
      </w:pPr>
      <w:r>
        <w:rPr>
          <w:szCs w:val="22"/>
        </w:rPr>
        <w:tab/>
        <w:t>B = 55 + 240 + 10 = 305 minutes</w:t>
      </w:r>
    </w:p>
    <w:p>
      <w:pPr>
        <w:pStyle w:val="BodyText"/>
        <w:spacing w:before="0" w:after="0"/>
        <w:jc w:val="both"/>
        <w:rPr>
          <w:szCs w:val="22"/>
        </w:rPr>
      </w:pPr>
      <w:r>
        <w:rPr>
          <w:szCs w:val="22"/>
        </w:rPr>
      </w:r>
    </w:p>
    <w:p>
      <w:pPr>
        <w:pStyle w:val="BodyText"/>
        <w:spacing w:before="0" w:after="0"/>
        <w:jc w:val="both"/>
        <w:rPr>
          <w:szCs w:val="22"/>
        </w:rPr>
      </w:pPr>
      <w:r>
        <w:rPr>
          <w:szCs w:val="22"/>
        </w:rPr>
        <w:t>Result:</w:t>
      </w:r>
    </w:p>
    <w:p>
      <w:pPr>
        <w:pStyle w:val="BodyText"/>
        <w:spacing w:before="0" w:after="0"/>
        <w:jc w:val="both"/>
        <w:rPr>
          <w:szCs w:val="22"/>
        </w:rPr>
      </w:pPr>
      <w:r>
        <w:rPr>
          <w:szCs w:val="22"/>
        </w:rPr>
        <w:tab/>
        <w:t>(100% - (305 / 1.958.400)) * 100% = 0,999844261= 99,98%</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LAN - LAN Availability</w:t>
      </w:r>
    </w:p>
    <w:p>
      <w:pPr>
        <w:pStyle w:val="BodyText"/>
        <w:jc w:val="both"/>
        <w:rPr>
          <w:szCs w:val="22"/>
          <w:lang w:val="en-GB"/>
        </w:rPr>
      </w:pPr>
      <w:r>
        <w:rPr>
          <w:szCs w:val="22"/>
          <w:lang w:val="en-GB"/>
        </w:rPr>
        <w:t>Please refer to the description for this element earlier in this document (2.2.3)</w:t>
      </w:r>
    </w:p>
    <w:p>
      <w:pPr>
        <w:pStyle w:val="Heading2Numbered"/>
        <w:numPr>
          <w:ilvl w:val="1"/>
          <w:numId w:val="4"/>
        </w:numPr>
        <w:ind w:hanging="0" w:start="0"/>
        <w:jc w:val="both"/>
        <w:rPr>
          <w:rFonts w:ascii="Times New Roman" w:hAnsi="Times New Roman" w:cs="Times New Roman"/>
          <w:sz w:val="22"/>
          <w:szCs w:val="22"/>
          <w:lang w:val="en-GB"/>
        </w:rPr>
      </w:pPr>
      <w:bookmarkStart w:id="9" w:name="__RefHeading___Toc151896977"/>
      <w:bookmarkEnd w:id="9"/>
      <w:r>
        <w:rPr>
          <w:rFonts w:cs="Times New Roman" w:ascii="Times New Roman" w:hAnsi="Times New Roman"/>
          <w:sz w:val="22"/>
          <w:szCs w:val="22"/>
          <w:lang w:val="en-GB"/>
        </w:rPr>
        <w:t>Collaboration Service – Availability</w:t>
      </w:r>
    </w:p>
    <w:p>
      <w:pPr>
        <w:pStyle w:val="BodyText"/>
        <w:jc w:val="both"/>
        <w:rPr>
          <w:szCs w:val="22"/>
          <w:lang w:val="en-GB"/>
        </w:rPr>
      </w:pPr>
      <w:r>
        <w:rPr>
          <w:szCs w:val="22"/>
          <w:lang w:val="en-GB"/>
        </w:rPr>
        <w:t>The Collaboration Service is to enable users in the EuroBank community to communicate to other end-users electronically without the need to travel. Examples are Video Conferencing, Voice conferencing, Instant Messaging.</w:t>
      </w:r>
    </w:p>
    <w:p>
      <w:pPr>
        <w:pStyle w:val="BodyText"/>
        <w:jc w:val="both"/>
        <w:rPr/>
      </w:pPr>
      <w:r>
        <w:rPr>
          <w:szCs w:val="22"/>
          <w:lang w:val="en-GB"/>
        </w:rPr>
        <w:t>The formula used to calculate the realised level for this Critical Service Level is the average of the realised level described in the paragraph 2.7.1 through 2.7.5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Directory Services</w:t>
      </w:r>
    </w:p>
    <w:p>
      <w:pPr>
        <w:pStyle w:val="BodyText"/>
        <w:jc w:val="both"/>
        <w:rPr>
          <w:szCs w:val="22"/>
          <w:lang w:val="en-GB"/>
        </w:rPr>
      </w:pPr>
      <w:r>
        <w:rPr>
          <w:szCs w:val="22"/>
          <w:lang w:val="en-GB"/>
        </w:rPr>
        <w:t>Please refer to the description for this element earlier in this document (2.2.1)</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Collaboration Service: SharePoint &amp; Notes</w:t>
      </w:r>
    </w:p>
    <w:p>
      <w:pPr>
        <w:pStyle w:val="BodyText"/>
        <w:jc w:val="both"/>
        <w:rPr>
          <w:szCs w:val="22"/>
          <w:lang w:val="en-GB"/>
        </w:rPr>
      </w:pPr>
      <w:r>
        <w:rPr>
          <w:szCs w:val="22"/>
          <w:lang w:val="en-GB"/>
        </w:rPr>
        <w:t>For all in-scope servers, it applies to the service provided by these servers</w:t>
      </w:r>
    </w:p>
    <w:p>
      <w:pPr>
        <w:pStyle w:val="BodyText"/>
        <w:jc w:val="both"/>
        <w:rPr/>
      </w:pPr>
      <w:r>
        <w:rPr>
          <w:szCs w:val="22"/>
          <w:lang w:val="en-GB"/>
        </w:rPr>
        <w:t>Service availability is calculated as (1 - (B / A)) * 100%, where</w:t>
      </w:r>
    </w:p>
    <w:p>
      <w:pPr>
        <w:pStyle w:val="BodyText"/>
        <w:jc w:val="both"/>
        <w:rPr>
          <w:szCs w:val="22"/>
          <w:lang w:val="en-GB"/>
        </w:rPr>
      </w:pPr>
      <w:r>
        <w:rPr>
          <w:szCs w:val="22"/>
          <w:lang w:val="en-GB"/>
        </w:rPr>
        <w:t>A = service availability window in minutes</w:t>
      </w:r>
    </w:p>
    <w:p>
      <w:pPr>
        <w:pStyle w:val="BodyText"/>
        <w:jc w:val="both"/>
        <w:rPr>
          <w:szCs w:val="22"/>
          <w:lang w:val="en-GB"/>
        </w:rPr>
      </w:pPr>
      <w:r>
        <w:rPr>
          <w:szCs w:val="22"/>
          <w:lang w:val="en-GB"/>
        </w:rPr>
        <w:t>B = non-scheduled downtime within service window in minutes</w:t>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r>
    </w:p>
    <w:p>
      <w:pPr>
        <w:pStyle w:val="BodyText"/>
        <w:spacing w:before="0" w:after="0"/>
        <w:jc w:val="both"/>
        <w:rPr>
          <w:szCs w:val="22"/>
        </w:rPr>
      </w:pPr>
      <w:r>
        <w:rPr>
          <w:szCs w:val="22"/>
        </w:rPr>
        <w:t>Service Window</w:t>
      </w:r>
    </w:p>
    <w:p>
      <w:pPr>
        <w:pStyle w:val="BodyText"/>
        <w:spacing w:before="0" w:after="0"/>
        <w:jc w:val="both"/>
        <w:rPr>
          <w:szCs w:val="22"/>
        </w:rPr>
      </w:pPr>
      <w:r>
        <w:rPr>
          <w:szCs w:val="22"/>
        </w:rPr>
        <w:tab/>
        <w:t>06:00 - 22:00 (Monday to Friday) and 07:00 - 17:00 (Saturday)</w:t>
      </w:r>
    </w:p>
    <w:p>
      <w:pPr>
        <w:pStyle w:val="BodyText"/>
        <w:spacing w:before="0" w:after="0"/>
        <w:jc w:val="both"/>
        <w:rPr>
          <w:szCs w:val="22"/>
        </w:rPr>
      </w:pPr>
      <w:r>
        <w:rPr>
          <w:szCs w:val="22"/>
        </w:rPr>
        <w:tab/>
        <w:t>= (5 * (22-6)) + (17-7) = 90 hours per week = 5400 minutes per week</w:t>
      </w:r>
    </w:p>
    <w:p>
      <w:pPr>
        <w:pStyle w:val="BodyText"/>
        <w:spacing w:before="0" w:after="0"/>
        <w:jc w:val="both"/>
        <w:rPr>
          <w:szCs w:val="22"/>
        </w:rPr>
      </w:pPr>
      <w:r>
        <w:rPr>
          <w:szCs w:val="22"/>
        </w:rPr>
        <w:tab/>
        <w:t>For example August 2006 has 23 workdays, plus 4 Saturdays:</w:t>
      </w:r>
    </w:p>
    <w:p>
      <w:pPr>
        <w:pStyle w:val="BodyText"/>
        <w:spacing w:before="0" w:after="0"/>
        <w:jc w:val="both"/>
        <w:rPr>
          <w:szCs w:val="22"/>
        </w:rPr>
      </w:pPr>
      <w:r>
        <w:rPr>
          <w:szCs w:val="22"/>
        </w:rPr>
        <w:tab/>
        <w:t>23 (weekdays) * ( 22 - 6 ) = 368 hours</w:t>
      </w:r>
    </w:p>
    <w:p>
      <w:pPr>
        <w:pStyle w:val="BodyText"/>
        <w:spacing w:before="0" w:after="0"/>
        <w:jc w:val="both"/>
        <w:rPr>
          <w:szCs w:val="22"/>
        </w:rPr>
      </w:pPr>
      <w:r>
        <w:rPr>
          <w:szCs w:val="22"/>
        </w:rPr>
        <w:tab/>
        <w:t>4 (Saturdays) * (17 - 7 ) = 40 hours</w:t>
      </w:r>
    </w:p>
    <w:p>
      <w:pPr>
        <w:pStyle w:val="BodyText"/>
        <w:spacing w:before="0" w:after="0"/>
        <w:jc w:val="both"/>
        <w:rPr>
          <w:szCs w:val="22"/>
        </w:rPr>
      </w:pPr>
      <w:r>
        <w:rPr>
          <w:szCs w:val="22"/>
        </w:rPr>
        <w:tab/>
        <w:t xml:space="preserve">total 408 hours * 60 (minutes per hour)  = </w:t>
      </w:r>
    </w:p>
    <w:p>
      <w:pPr>
        <w:pStyle w:val="BodyText"/>
        <w:spacing w:before="0" w:after="0"/>
        <w:jc w:val="both"/>
        <w:rPr>
          <w:szCs w:val="22"/>
        </w:rPr>
      </w:pPr>
      <w:r>
        <w:rPr>
          <w:szCs w:val="22"/>
        </w:rPr>
        <w:tab/>
        <w:t>24.480 minutes Service Window = A</w:t>
      </w:r>
    </w:p>
    <w:p>
      <w:pPr>
        <w:pStyle w:val="BodyText"/>
        <w:spacing w:before="0" w:after="0"/>
        <w:jc w:val="both"/>
        <w:rPr>
          <w:szCs w:val="22"/>
        </w:rPr>
      </w:pPr>
      <w:r>
        <w:rPr>
          <w:szCs w:val="22"/>
        </w:rPr>
      </w:r>
    </w:p>
    <w:p>
      <w:pPr>
        <w:pStyle w:val="BodyText"/>
        <w:spacing w:before="0" w:after="0"/>
        <w:jc w:val="both"/>
        <w:rPr>
          <w:szCs w:val="22"/>
        </w:rPr>
      </w:pPr>
      <w:r>
        <w:rPr>
          <w:szCs w:val="22"/>
        </w:rPr>
        <w:t>Total 80 servers, 77 servers without non-scheduled downtime.</w:t>
      </w:r>
    </w:p>
    <w:p>
      <w:pPr>
        <w:pStyle w:val="BodyText"/>
        <w:spacing w:before="0" w:after="0"/>
        <w:jc w:val="both"/>
        <w:rPr>
          <w:szCs w:val="22"/>
        </w:rPr>
      </w:pPr>
      <w:r>
        <w:rPr>
          <w:szCs w:val="22"/>
        </w:rPr>
        <w:tab/>
        <w:t>A = 80 (servers) * 23.400 (minutes service window) = 1.872.000 minutes</w:t>
      </w:r>
    </w:p>
    <w:p>
      <w:pPr>
        <w:pStyle w:val="BodyText"/>
        <w:spacing w:before="0" w:after="0"/>
        <w:jc w:val="both"/>
        <w:rPr>
          <w:szCs w:val="22"/>
        </w:rPr>
      </w:pPr>
      <w:r>
        <w:rPr>
          <w:szCs w:val="22"/>
        </w:rPr>
      </w:r>
    </w:p>
    <w:p>
      <w:pPr>
        <w:pStyle w:val="BodyText"/>
        <w:spacing w:before="0" w:after="0"/>
        <w:jc w:val="both"/>
        <w:rPr>
          <w:szCs w:val="22"/>
        </w:rPr>
      </w:pPr>
      <w:r>
        <w:rPr>
          <w:szCs w:val="22"/>
        </w:rPr>
        <w:t>Non Scheduled Downtime</w:t>
      </w:r>
    </w:p>
    <w:p>
      <w:pPr>
        <w:pStyle w:val="BodyText"/>
        <w:spacing w:before="0" w:after="0"/>
        <w:jc w:val="both"/>
        <w:rPr>
          <w:szCs w:val="22"/>
        </w:rPr>
      </w:pPr>
      <w:r>
        <w:rPr>
          <w:szCs w:val="22"/>
        </w:rPr>
        <w:tab/>
        <w:t>Server 1 application downtime of 55 minutes</w:t>
      </w:r>
    </w:p>
    <w:p>
      <w:pPr>
        <w:pStyle w:val="BodyText"/>
        <w:spacing w:before="0" w:after="0"/>
        <w:jc w:val="both"/>
        <w:rPr>
          <w:szCs w:val="22"/>
        </w:rPr>
      </w:pPr>
      <w:r>
        <w:rPr>
          <w:szCs w:val="22"/>
        </w:rPr>
        <w:tab/>
        <w:t>Server 2 application downtime of 240 minutes</w:t>
      </w:r>
    </w:p>
    <w:p>
      <w:pPr>
        <w:pStyle w:val="BodyText"/>
        <w:spacing w:before="0" w:after="0"/>
        <w:jc w:val="both"/>
        <w:rPr>
          <w:szCs w:val="22"/>
        </w:rPr>
      </w:pPr>
      <w:r>
        <w:rPr>
          <w:szCs w:val="22"/>
        </w:rPr>
        <w:tab/>
        <w:t>Server 3 application downtime of 10 minutes</w:t>
      </w:r>
    </w:p>
    <w:p>
      <w:pPr>
        <w:pStyle w:val="BodyText"/>
        <w:spacing w:before="0" w:after="0"/>
        <w:jc w:val="both"/>
        <w:rPr>
          <w:szCs w:val="22"/>
        </w:rPr>
      </w:pPr>
      <w:r>
        <w:rPr>
          <w:szCs w:val="22"/>
        </w:rPr>
        <w:tab/>
        <w:t>B = 55 + 240 + 10 = 305 minutes</w:t>
      </w:r>
    </w:p>
    <w:p>
      <w:pPr>
        <w:pStyle w:val="BodyText"/>
        <w:spacing w:before="0" w:after="0"/>
        <w:jc w:val="both"/>
        <w:rPr>
          <w:szCs w:val="22"/>
        </w:rPr>
      </w:pPr>
      <w:r>
        <w:rPr>
          <w:szCs w:val="22"/>
        </w:rPr>
      </w:r>
    </w:p>
    <w:p>
      <w:pPr>
        <w:pStyle w:val="BodyText"/>
        <w:spacing w:before="0" w:after="0"/>
        <w:jc w:val="both"/>
        <w:rPr>
          <w:szCs w:val="22"/>
        </w:rPr>
      </w:pPr>
      <w:r>
        <w:rPr>
          <w:szCs w:val="22"/>
        </w:rPr>
        <w:t>Result:</w:t>
      </w:r>
    </w:p>
    <w:p>
      <w:pPr>
        <w:pStyle w:val="BodyText"/>
        <w:spacing w:before="0" w:after="0"/>
        <w:jc w:val="both"/>
        <w:rPr>
          <w:szCs w:val="22"/>
        </w:rPr>
      </w:pPr>
      <w:r>
        <w:rPr>
          <w:szCs w:val="22"/>
        </w:rPr>
        <w:tab/>
        <w:t>(100% - (305 / 1.958.400)) * 100% = 0,999844261= 99,98%</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Voice - Network connection availability</w:t>
      </w:r>
    </w:p>
    <w:p>
      <w:pPr>
        <w:pStyle w:val="BodyText"/>
        <w:jc w:val="both"/>
        <w:rPr>
          <w:szCs w:val="22"/>
          <w:lang w:val="en-GB"/>
        </w:rPr>
      </w:pPr>
      <w:r>
        <w:rPr>
          <w:szCs w:val="22"/>
          <w:lang w:val="en-GB"/>
        </w:rPr>
        <w:t xml:space="preserve">The Network connection availability is defined as a connection to the public network. </w:t>
      </w:r>
    </w:p>
    <w:p>
      <w:pPr>
        <w:pStyle w:val="BodyText"/>
        <w:jc w:val="both"/>
        <w:rPr>
          <w:szCs w:val="22"/>
          <w:lang w:val="en-GB"/>
        </w:rPr>
      </w:pPr>
      <w:r>
        <w:rPr>
          <w:szCs w:val="22"/>
          <w:lang w:val="en-GB"/>
        </w:rPr>
        <w:t>The public network will not be part of this availability measurement. Downtime of network connections caused by external parties (such as dragline damage of a contractor) will be calculated as uptime.</w:t>
      </w:r>
    </w:p>
    <w:p>
      <w:pPr>
        <w:pStyle w:val="BodyText"/>
        <w:jc w:val="both"/>
        <w:rPr/>
      </w:pPr>
      <w:r>
        <w:rPr>
          <w:szCs w:val="22"/>
          <w:lang w:val="en-GB"/>
        </w:rPr>
        <w:t>The availability of the network connections will be measured as a percentage against a 24x7 measurement window. The availability percentage will be calculated through the sum of the pass through time for all registered Incidents concerning network connections, held against all network connections times the total time of that month. This results in the following formula:</w:t>
      </w:r>
    </w:p>
    <w:p>
      <w:pPr>
        <w:pStyle w:val="BodyText"/>
        <w:jc w:val="both"/>
        <w:rPr>
          <w:szCs w:val="22"/>
          <w:lang w:val="en-GB"/>
        </w:rPr>
      </w:pPr>
      <w:r>
        <w:rPr>
          <w:szCs w:val="22"/>
          <w:lang w:val="en-GB"/>
        </w:rPr>
        <w:t>1-(TI/TT)</w:t>
      </w:r>
    </w:p>
    <w:p>
      <w:pPr>
        <w:pStyle w:val="BodyText"/>
        <w:jc w:val="both"/>
        <w:rPr>
          <w:szCs w:val="22"/>
          <w:lang w:val="en-GB"/>
        </w:rPr>
      </w:pPr>
      <w:r>
        <w:rPr>
          <w:szCs w:val="22"/>
          <w:lang w:val="en-GB"/>
        </w:rPr>
        <w:t>Whereby:</w:t>
      </w:r>
    </w:p>
    <w:p>
      <w:pPr>
        <w:pStyle w:val="BodyText"/>
        <w:jc w:val="both"/>
        <w:rPr/>
      </w:pPr>
      <w:r>
        <w:rPr>
          <w:szCs w:val="22"/>
          <w:lang w:val="en-GB"/>
        </w:rPr>
        <w:t>TT = Total time of a month for all network connections.</w:t>
      </w:r>
    </w:p>
    <w:p>
      <w:pPr>
        <w:pStyle w:val="BodyText"/>
        <w:jc w:val="both"/>
        <w:rPr/>
      </w:pPr>
      <w:r>
        <w:rPr>
          <w:szCs w:val="22"/>
          <w:lang w:val="en-GB"/>
        </w:rPr>
        <w:t>TI = Total pass through Incident time of all network connections.</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 xml:space="preserve">If the Total Time of a month is 43200 (30*24*60) minutes and there are 5 network connections; TT will be 216000 (43200*5). </w:t>
      </w:r>
    </w:p>
    <w:p>
      <w:pPr>
        <w:pStyle w:val="BodyText"/>
        <w:jc w:val="both"/>
        <w:rPr/>
      </w:pPr>
      <w:r>
        <w:rPr>
          <w:szCs w:val="22"/>
          <w:lang w:val="en-GB"/>
        </w:rPr>
        <w:t>If during that month 1 network connection had an Incident that lasted 60 minutes The TI will be 60. The availability percentage will be (1-(60/216000)) = 99.97%.</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Voice - Standard PBX availability</w:t>
      </w:r>
    </w:p>
    <w:p>
      <w:pPr>
        <w:pStyle w:val="BodyText"/>
        <w:jc w:val="both"/>
        <w:rPr>
          <w:szCs w:val="22"/>
          <w:lang w:val="en-GB"/>
        </w:rPr>
      </w:pPr>
      <w:r>
        <w:rPr>
          <w:szCs w:val="22"/>
          <w:lang w:val="en-GB"/>
        </w:rPr>
        <w:t>Please refer to the description for this element later in this document (5.1.2)</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LAN &amp; Voice - Videoconferencing equipment availability</w:t>
      </w:r>
    </w:p>
    <w:p>
      <w:pPr>
        <w:pStyle w:val="BodyText"/>
        <w:jc w:val="both"/>
        <w:rPr>
          <w:szCs w:val="22"/>
          <w:lang w:val="en-GB"/>
        </w:rPr>
      </w:pPr>
      <w:r>
        <w:rPr>
          <w:szCs w:val="22"/>
          <w:lang w:val="en-GB"/>
        </w:rPr>
        <w:t>Availability of Videoconferencing equipment is regarded as the availability of the central videoconferencing equipment excluding agreed normal and preannounce maintenance downtime.</w:t>
      </w:r>
    </w:p>
    <w:p>
      <w:pPr>
        <w:pStyle w:val="BodyText"/>
        <w:jc w:val="both"/>
        <w:rPr/>
      </w:pPr>
      <w:r>
        <w:rPr>
          <w:szCs w:val="22"/>
          <w:lang w:val="en-GB"/>
        </w:rPr>
        <w:t>The availability of Videoconferencing equipment will be measured as a percentage against a 24x7 measurement window. The availability percentage will be calculated through the sum of the pass through time for all registered Incidents concerning Videoconferencing equipment, held against all Videoconferencing equipment times the total time of that month. This results in the following formula:</w:t>
      </w:r>
    </w:p>
    <w:p>
      <w:pPr>
        <w:pStyle w:val="BodyText"/>
        <w:jc w:val="both"/>
        <w:rPr>
          <w:szCs w:val="22"/>
          <w:lang w:val="en-GB"/>
        </w:rPr>
      </w:pPr>
      <w:r>
        <w:rPr>
          <w:szCs w:val="22"/>
          <w:lang w:val="en-GB"/>
        </w:rPr>
        <w:t>1-(TI/TT)</w:t>
      </w:r>
    </w:p>
    <w:p>
      <w:pPr>
        <w:pStyle w:val="BodyText"/>
        <w:jc w:val="both"/>
        <w:rPr>
          <w:szCs w:val="22"/>
          <w:lang w:val="en-GB"/>
        </w:rPr>
      </w:pPr>
      <w:r>
        <w:rPr>
          <w:szCs w:val="22"/>
          <w:lang w:val="en-GB"/>
        </w:rPr>
        <w:t>Whereby:</w:t>
      </w:r>
    </w:p>
    <w:p>
      <w:pPr>
        <w:pStyle w:val="BodyText"/>
        <w:jc w:val="both"/>
        <w:rPr/>
      </w:pPr>
      <w:r>
        <w:rPr>
          <w:szCs w:val="22"/>
          <w:lang w:val="en-GB"/>
        </w:rPr>
        <w:t>TT = Total time of a month for all Videoconferencing equipment.</w:t>
      </w:r>
    </w:p>
    <w:p>
      <w:pPr>
        <w:pStyle w:val="BodyText"/>
        <w:jc w:val="both"/>
        <w:rPr>
          <w:szCs w:val="22"/>
          <w:lang w:val="en-GB"/>
        </w:rPr>
      </w:pPr>
      <w:r>
        <w:rPr>
          <w:szCs w:val="22"/>
          <w:lang w:val="en-GB"/>
        </w:rPr>
        <w:t>TI = Total pass through Incident time of all Videoconferencing equipment.</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 xml:space="preserve">If the Total Time of a month is 43200 (30*24*60) minutes and there are 5 Videoconferencing systems; TT will be 216000 (43200*5). </w:t>
      </w:r>
    </w:p>
    <w:p>
      <w:pPr>
        <w:pStyle w:val="BodyText"/>
        <w:jc w:val="both"/>
        <w:rPr/>
      </w:pPr>
      <w:r>
        <w:rPr>
          <w:szCs w:val="22"/>
          <w:lang w:val="en-GB"/>
        </w:rPr>
        <w:t>If during that month System 1 had an Incident that lasted 65 minutes; System 2 had two Incidents of 5 minutes; System 3 had no Incidents; System 4 had an Incident that lasted 45 minutes and System 5 had no Incidents The TI will be 120 (65+5+5+45). The availability percentage will be (1-(120/216000)) = 99.94%.</w:t>
      </w:r>
    </w:p>
    <w:p>
      <w:pPr>
        <w:pStyle w:val="Heading1Numbered"/>
        <w:numPr>
          <w:ilvl w:val="0"/>
          <w:numId w:val="4"/>
        </w:numPr>
        <w:ind w:hanging="0" w:start="0"/>
        <w:jc w:val="both"/>
        <w:outlineLvl w:val="0"/>
        <w:rPr>
          <w:rFonts w:ascii="Times New Roman" w:hAnsi="Times New Roman" w:cs="Times New Roman"/>
          <w:sz w:val="22"/>
          <w:szCs w:val="22"/>
          <w:lang w:val="en-GB"/>
        </w:rPr>
      </w:pPr>
      <w:bookmarkStart w:id="10" w:name="__RefHeading___Toc151896978"/>
      <w:bookmarkEnd w:id="10"/>
      <w:r>
        <w:rPr>
          <w:rFonts w:cs="Times New Roman" w:ascii="Times New Roman" w:hAnsi="Times New Roman"/>
          <w:sz w:val="22"/>
          <w:szCs w:val="22"/>
          <w:lang w:val="en-GB"/>
        </w:rPr>
        <w:t>Desktop Services – Performance</w:t>
      </w:r>
    </w:p>
    <w:p>
      <w:pPr>
        <w:pStyle w:val="Heading2Numbered"/>
        <w:numPr>
          <w:ilvl w:val="1"/>
          <w:numId w:val="4"/>
        </w:numPr>
        <w:ind w:hanging="0" w:start="0"/>
        <w:jc w:val="both"/>
        <w:rPr>
          <w:rFonts w:ascii="Times New Roman" w:hAnsi="Times New Roman" w:cs="Times New Roman"/>
          <w:sz w:val="22"/>
          <w:szCs w:val="22"/>
          <w:lang w:val="en-GB"/>
        </w:rPr>
      </w:pPr>
      <w:bookmarkStart w:id="11" w:name="__RefHeading___Toc151896979"/>
      <w:bookmarkEnd w:id="11"/>
      <w:r>
        <w:rPr>
          <w:rFonts w:cs="Times New Roman" w:ascii="Times New Roman" w:hAnsi="Times New Roman"/>
          <w:sz w:val="22"/>
          <w:szCs w:val="22"/>
          <w:lang w:val="en-GB"/>
        </w:rPr>
        <w:t>Workplace Services (File &amp; Print, Mail &amp; Agenda and Collaboration Services) – Performance</w:t>
      </w:r>
    </w:p>
    <w:p>
      <w:pPr>
        <w:pStyle w:val="BodyText"/>
        <w:jc w:val="both"/>
        <w:rPr>
          <w:szCs w:val="22"/>
          <w:lang w:val="en-GB"/>
        </w:rPr>
      </w:pPr>
      <w:r>
        <w:rPr>
          <w:szCs w:val="22"/>
          <w:lang w:val="en-GB"/>
        </w:rPr>
        <w:t>The formula used to calculate the realised level for this Critical Service Level is the average of the realised level described in the paragraph 3.1.1 through 3.1.3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Stored data backed up and available for restore for 30 calendar days</w:t>
      </w:r>
    </w:p>
    <w:p>
      <w:pPr>
        <w:pStyle w:val="BodyText"/>
        <w:jc w:val="both"/>
        <w:rPr>
          <w:szCs w:val="22"/>
          <w:lang w:val="en-GB"/>
        </w:rPr>
      </w:pPr>
      <w:r>
        <w:rPr>
          <w:szCs w:val="22"/>
          <w:lang w:val="en-GB"/>
        </w:rPr>
        <w:t>Percentage of scheduled backups in reporting period that complete successfully</w:t>
      </w:r>
    </w:p>
    <w:p>
      <w:pPr>
        <w:pStyle w:val="BodyText"/>
        <w:jc w:val="both"/>
        <w:rPr>
          <w:szCs w:val="22"/>
          <w:lang w:val="en-GB"/>
        </w:rPr>
      </w:pPr>
      <w:r>
        <w:rPr>
          <w:szCs w:val="22"/>
          <w:lang w:val="en-GB"/>
        </w:rPr>
        <w:t>Percentage of files as reported backed up correctly by backup service (files to be backed up – files not backed up)</w:t>
      </w:r>
    </w:p>
    <w:p>
      <w:pPr>
        <w:pStyle w:val="BodyText"/>
        <w:jc w:val="both"/>
        <w:rPr/>
      </w:pPr>
      <w:r>
        <w:rPr>
          <w:szCs w:val="22"/>
          <w:lang w:val="en-GB"/>
        </w:rPr>
        <w:t>Backup jobs-successful% = (1 – (failed-backup jobs / total-backup jobs)) * 100%</w:t>
      </w:r>
    </w:p>
    <w:p>
      <w:pPr>
        <w:pStyle w:val="BodyText"/>
        <w:jc w:val="both"/>
        <w:rPr/>
      </w:pPr>
      <w:r>
        <w:rPr>
          <w:szCs w:val="22"/>
          <w:lang w:val="en-GB"/>
        </w:rPr>
        <w:t>files-successful% =(1 – ( files-not-backed-up / total-files- backed-up)) * 100%</w:t>
      </w:r>
    </w:p>
    <w:p>
      <w:pPr>
        <w:pStyle w:val="BodyText"/>
        <w:jc w:val="both"/>
        <w:rPr/>
      </w:pPr>
      <w:r>
        <w:rPr>
          <w:szCs w:val="22"/>
          <w:lang w:val="en-GB"/>
        </w:rPr>
        <w:t>% = (backup jobs-successful% + files-successful%) / 2</w:t>
      </w:r>
    </w:p>
    <w:p>
      <w:pPr>
        <w:pStyle w:val="BodyText"/>
        <w:spacing w:before="0" w:after="0"/>
        <w:jc w:val="both"/>
        <w:rPr>
          <w:szCs w:val="22"/>
          <w:lang w:val="en-GB"/>
        </w:rPr>
      </w:pPr>
      <w:r>
        <w:rPr>
          <w:szCs w:val="22"/>
          <w:lang w:val="en-GB"/>
        </w:rPr>
        <w:t>Example: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Part 1:</w:t>
      </w:r>
    </w:p>
    <w:p>
      <w:pPr>
        <w:pStyle w:val="BodyText"/>
        <w:spacing w:before="0" w:after="0"/>
        <w:jc w:val="both"/>
        <w:rPr>
          <w:szCs w:val="22"/>
          <w:lang w:val="en-GB"/>
        </w:rPr>
      </w:pPr>
      <w:r>
        <w:rPr>
          <w:szCs w:val="22"/>
          <w:lang w:val="en-GB"/>
        </w:rPr>
        <w:tab/>
        <w:t>Backup jobs in a specific month: 300</w:t>
      </w:r>
    </w:p>
    <w:p>
      <w:pPr>
        <w:pStyle w:val="BodyText"/>
        <w:spacing w:before="0" w:after="0"/>
        <w:jc w:val="both"/>
        <w:rPr>
          <w:szCs w:val="22"/>
          <w:lang w:val="en-GB"/>
        </w:rPr>
      </w:pPr>
      <w:r>
        <w:rPr>
          <w:szCs w:val="22"/>
          <w:lang w:val="en-GB"/>
        </w:rPr>
        <w:tab/>
        <w:t>2 backup jobs failed to start and were not restarted on time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Subtotal 1:</w:t>
      </w:r>
    </w:p>
    <w:p>
      <w:pPr>
        <w:pStyle w:val="BodyText"/>
        <w:spacing w:before="0" w:after="0"/>
        <w:jc w:val="both"/>
        <w:rPr/>
      </w:pPr>
      <w:r>
        <w:rPr>
          <w:szCs w:val="22"/>
          <w:lang w:val="en-GB"/>
        </w:rPr>
        <w:tab/>
        <w:t>(100% - ( 2 / 300 )) * 100% = 0,993333333 = 99,33%</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Part 2:</w:t>
      </w:r>
    </w:p>
    <w:p>
      <w:pPr>
        <w:pStyle w:val="BodyText"/>
        <w:spacing w:before="0" w:after="0"/>
        <w:jc w:val="both"/>
        <w:rPr>
          <w:szCs w:val="22"/>
          <w:lang w:val="en-GB"/>
        </w:rPr>
      </w:pPr>
      <w:r>
        <w:rPr>
          <w:szCs w:val="22"/>
          <w:lang w:val="en-GB"/>
        </w:rPr>
        <w:tab/>
        <w:t>Each backup saves 1.000.000 files * 30 backup jobs in a month = 30.000.000</w:t>
      </w:r>
    </w:p>
    <w:p>
      <w:pPr>
        <w:pStyle w:val="BodyText"/>
        <w:spacing w:before="0" w:after="0"/>
        <w:jc w:val="both"/>
        <w:rPr>
          <w:szCs w:val="22"/>
          <w:lang w:val="en-GB"/>
        </w:rPr>
      </w:pPr>
      <w:r>
        <w:rPr>
          <w:szCs w:val="22"/>
          <w:lang w:val="en-GB"/>
        </w:rPr>
        <w:tab/>
        <w:t>In 5 jobs there have been a total of 100.000 files skipped due to configuration error</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Subtotal 2:</w:t>
      </w:r>
    </w:p>
    <w:p>
      <w:pPr>
        <w:pStyle w:val="BodyText"/>
        <w:spacing w:before="0" w:after="0"/>
        <w:jc w:val="both"/>
        <w:rPr>
          <w:szCs w:val="22"/>
          <w:lang w:val="en-GB"/>
        </w:rPr>
      </w:pPr>
      <w:r>
        <w:rPr>
          <w:szCs w:val="22"/>
          <w:lang w:val="en-GB"/>
        </w:rPr>
        <w:tab/>
        <w:t>(100% - (100.000 / 30.000.000)) * 100% = 0,996666667 = 99,67%</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Result = (99,33% + 99,67%) / 2  = 0,995 = 99.5%</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Note: restore capabilities dependent on technology provided by DCO</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Data restore started within 3 business hours</w:t>
      </w:r>
    </w:p>
    <w:p>
      <w:pPr>
        <w:pStyle w:val="BodyText"/>
        <w:jc w:val="both"/>
        <w:rPr/>
      </w:pPr>
      <w:r>
        <w:rPr>
          <w:szCs w:val="22"/>
          <w:lang w:val="en-GB"/>
        </w:rPr>
        <w:t>% = (1 – (restores-not-started-on-time / total-restore-requests)) * 100%</w:t>
      </w:r>
    </w:p>
    <w:p>
      <w:pPr>
        <w:pStyle w:val="BodyText"/>
        <w:jc w:val="both"/>
        <w:rPr>
          <w:szCs w:val="22"/>
          <w:lang w:val="en-GB"/>
        </w:rPr>
      </w:pPr>
      <w:r>
        <w:rPr>
          <w:szCs w:val="22"/>
          <w:lang w:val="en-GB"/>
        </w:rPr>
        <w:t>Note: excluding non-valid or incomplete restore requests</w:t>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tab/>
        <w:t>12 restores requested in a month</w:t>
        <w:tab/>
        <w:t>1 did not start on time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Result:</w:t>
      </w:r>
    </w:p>
    <w:p>
      <w:pPr>
        <w:pStyle w:val="BodyText"/>
        <w:spacing w:before="0" w:after="0"/>
        <w:jc w:val="both"/>
        <w:rPr>
          <w:szCs w:val="22"/>
          <w:lang w:val="en-GB"/>
        </w:rPr>
      </w:pPr>
      <w:r>
        <w:rPr>
          <w:szCs w:val="22"/>
          <w:lang w:val="en-GB"/>
        </w:rPr>
        <w:tab/>
        <w:t>(100% - (1 / 12)) * 100% = 0,916666667 = 91,67%</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Note: restore capabilities dependent on technology provided by DCO</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Data restored after loss of maximum one storage element &lt; 1 business day (other users/locations)</w:t>
      </w:r>
    </w:p>
    <w:p>
      <w:pPr>
        <w:pStyle w:val="BodyText"/>
        <w:spacing w:before="0" w:after="0"/>
        <w:jc w:val="both"/>
        <w:rPr>
          <w:szCs w:val="22"/>
          <w:lang w:val="en-GB"/>
        </w:rPr>
      </w:pPr>
      <w:r>
        <w:rPr>
          <w:szCs w:val="22"/>
          <w:lang w:val="en-GB"/>
        </w:rPr>
        <w:t>% = (1 – (restores-successfully-on-time / total-restore-requests)) * 100%</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Note: excluding non-valid or incomplete restore requests</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tab/>
        <w:t>12 restores requested in a month</w:t>
      </w:r>
    </w:p>
    <w:p>
      <w:pPr>
        <w:pStyle w:val="BodyText"/>
        <w:spacing w:before="0" w:after="0"/>
        <w:jc w:val="both"/>
        <w:rPr>
          <w:szCs w:val="22"/>
          <w:lang w:val="en-GB"/>
        </w:rPr>
      </w:pPr>
      <w:r>
        <w:rPr>
          <w:szCs w:val="22"/>
          <w:lang w:val="en-GB"/>
        </w:rPr>
        <w:tab/>
        <w:t>1 not successfully completed on time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Result:</w:t>
      </w:r>
    </w:p>
    <w:p>
      <w:pPr>
        <w:pStyle w:val="BodyText"/>
        <w:spacing w:before="0" w:after="0"/>
        <w:jc w:val="both"/>
        <w:rPr>
          <w:szCs w:val="22"/>
          <w:lang w:val="en-GB"/>
        </w:rPr>
      </w:pPr>
      <w:r>
        <w:rPr>
          <w:szCs w:val="22"/>
          <w:lang w:val="en-GB"/>
        </w:rPr>
        <w:tab/>
        <w:t>(100% - (1 / 12)) * 100% = 0,916666667 = 91,67%</w:t>
      </w:r>
    </w:p>
    <w:p>
      <w:pPr>
        <w:pStyle w:val="Heading2Numbered"/>
        <w:numPr>
          <w:ilvl w:val="1"/>
          <w:numId w:val="4"/>
        </w:numPr>
        <w:ind w:hanging="0" w:start="0"/>
        <w:jc w:val="both"/>
        <w:rPr>
          <w:rFonts w:ascii="Times New Roman" w:hAnsi="Times New Roman" w:cs="Times New Roman"/>
          <w:sz w:val="22"/>
          <w:szCs w:val="22"/>
          <w:lang w:val="en-GB"/>
        </w:rPr>
      </w:pPr>
      <w:bookmarkStart w:id="12" w:name="__RefHeading___Toc151896980"/>
      <w:bookmarkEnd w:id="12"/>
      <w:r>
        <w:rPr>
          <w:rFonts w:cs="Times New Roman" w:ascii="Times New Roman" w:hAnsi="Times New Roman"/>
          <w:sz w:val="22"/>
          <w:szCs w:val="22"/>
          <w:lang w:val="en-GB"/>
        </w:rPr>
        <w:t>Application Integration Service – Performance</w:t>
      </w:r>
    </w:p>
    <w:p>
      <w:pPr>
        <w:pStyle w:val="BodyText"/>
        <w:jc w:val="both"/>
        <w:rPr/>
      </w:pPr>
      <w:r>
        <w:rPr>
          <w:szCs w:val="22"/>
          <w:lang w:val="en-GB"/>
        </w:rPr>
        <w:t>The Application Integration Service contains the process of technically testing and packaging a new business application (Business Service Layer (BSL)), a major update on a business application, as well as testing and packaging small (data) updates on business applications. In some case the support is also provided to the Optional System Layer (OSL) and Common Service Layer (CSL) due to the complex hardware and software combination. It also contains the distribution of certified business applications and enabling the business application to be run on the workstation. The service does not include the software licence for the business application, nor does it contain user administration within the business application or functional acceptance testing and specification.</w:t>
      </w:r>
    </w:p>
    <w:p>
      <w:pPr>
        <w:pStyle w:val="BodyText"/>
        <w:jc w:val="both"/>
        <w:rPr/>
      </w:pPr>
      <w:r>
        <w:rPr>
          <w:szCs w:val="22"/>
          <w:lang w:val="en-GB"/>
        </w:rPr>
        <w:t>The formula used to calculate the realised level for this Critical Service Level is the average of the realised level described in the paragraph 3.2.1 through 3.2.6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Client application packaging: 'spoed' standard complexity package creation time &lt; 10 business days</w:t>
      </w:r>
    </w:p>
    <w:p>
      <w:pPr>
        <w:pStyle w:val="BodyText"/>
        <w:jc w:val="both"/>
        <w:rPr>
          <w:szCs w:val="22"/>
          <w:lang w:val="en-GB"/>
        </w:rPr>
      </w:pPr>
      <w:r>
        <w:rPr>
          <w:szCs w:val="22"/>
          <w:lang w:val="en-GB"/>
        </w:rPr>
        <w:t>Definition: based on complete and correct request (supplied files and installation instructions) packaging for automated distribution, technical tests (including conflict detection) and inclusion in automated software distribution for maximum 5% of the packages. Excluded: change process, functional tests, and actual distribution to users/computers/sites.</w:t>
      </w:r>
    </w:p>
    <w:p>
      <w:pPr>
        <w:pStyle w:val="BodyText"/>
        <w:jc w:val="both"/>
        <w:rPr/>
      </w:pPr>
      <w:r>
        <w:rPr>
          <w:szCs w:val="22"/>
          <w:lang w:val="en-GB"/>
        </w:rPr>
        <w:t>% = (1 – (packages-not-delivered-on-time / total-complete-package-requests)) * 100%</w:t>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tab/>
        <w:t>200 application packages requested in a specific month</w:t>
      </w:r>
    </w:p>
    <w:p>
      <w:pPr>
        <w:pStyle w:val="BodyText"/>
        <w:spacing w:before="0" w:after="0"/>
        <w:jc w:val="both"/>
        <w:rPr>
          <w:szCs w:val="22"/>
          <w:lang w:val="en-GB"/>
        </w:rPr>
      </w:pPr>
      <w:r>
        <w:rPr>
          <w:szCs w:val="22"/>
          <w:lang w:val="en-GB"/>
        </w:rPr>
        <w:tab/>
        <w:t>5 of these requests were not delivered on time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Result:</w:t>
      </w:r>
    </w:p>
    <w:p>
      <w:pPr>
        <w:pStyle w:val="BodyText"/>
        <w:spacing w:before="0" w:after="0"/>
        <w:jc w:val="both"/>
        <w:rPr>
          <w:szCs w:val="22"/>
          <w:lang w:val="en-GB"/>
        </w:rPr>
      </w:pPr>
      <w:r>
        <w:rPr>
          <w:szCs w:val="22"/>
          <w:lang w:val="en-GB"/>
        </w:rPr>
        <w:tab/>
        <w:t>(100% - (5 / 200)) * 100% = 0,975 = 97,5%</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Client application packaging: 'spoed' standard complexity package creation time &lt; 15 business days</w:t>
      </w:r>
    </w:p>
    <w:p>
      <w:pPr>
        <w:pStyle w:val="BodyText"/>
        <w:jc w:val="both"/>
        <w:rPr>
          <w:szCs w:val="22"/>
          <w:lang w:val="en-GB"/>
        </w:rPr>
      </w:pPr>
      <w:r>
        <w:rPr>
          <w:szCs w:val="22"/>
          <w:lang w:val="en-GB"/>
        </w:rPr>
        <w:t>Please refer to the description for this element earlier in this document  (3.2.1)</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Changes for BSL applications will be executed within the category timelines</w:t>
      </w:r>
    </w:p>
    <w:p>
      <w:pPr>
        <w:pStyle w:val="BodyText"/>
        <w:spacing w:before="0" w:after="0"/>
        <w:jc w:val="both"/>
        <w:rPr>
          <w:szCs w:val="22"/>
          <w:lang w:val="en-GB"/>
        </w:rPr>
      </w:pPr>
      <w:r>
        <w:rPr>
          <w:szCs w:val="22"/>
          <w:lang w:val="en-GB"/>
        </w:rPr>
        <w:t>Definition: based on complete and correct request (supplied files and installation instructions) packaging for automated distribution, technical tests (including conflict detection) and inclusion in automated software distribution for maximum 5% of the packages. Excluded: change process, functional tests, and actual distribution to users/computers/sites.</w:t>
      </w:r>
    </w:p>
    <w:p>
      <w:pPr>
        <w:pStyle w:val="BodyText"/>
        <w:spacing w:before="0" w:after="0"/>
        <w:jc w:val="both"/>
        <w:rPr>
          <w:szCs w:val="22"/>
          <w:lang w:val="en-GB"/>
        </w:rPr>
      </w:pPr>
      <w:r>
        <w:rPr>
          <w:szCs w:val="22"/>
          <w:lang w:val="en-GB"/>
        </w:rPr>
      </w:r>
    </w:p>
    <w:p>
      <w:pPr>
        <w:pStyle w:val="BodyText"/>
        <w:spacing w:before="0" w:after="0"/>
        <w:jc w:val="both"/>
        <w:rPr/>
      </w:pPr>
      <w:r>
        <w:rPr>
          <w:szCs w:val="22"/>
          <w:lang w:val="en-GB"/>
        </w:rPr>
        <w:t>% = (1 – (packages-delivered-on-time / total-complete-package-requests)) * 100%</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Time lines are: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Category 0: &lt;= 03 workdays</w:t>
      </w:r>
    </w:p>
    <w:p>
      <w:pPr>
        <w:pStyle w:val="BodyText"/>
        <w:spacing w:before="0" w:after="0"/>
        <w:jc w:val="both"/>
        <w:rPr>
          <w:szCs w:val="22"/>
          <w:lang w:val="en-GB"/>
        </w:rPr>
      </w:pPr>
      <w:r>
        <w:rPr>
          <w:szCs w:val="22"/>
          <w:lang w:val="en-GB"/>
        </w:rPr>
        <w:t>Category 1: &lt;= 19 workdays</w:t>
      </w:r>
    </w:p>
    <w:p>
      <w:pPr>
        <w:pStyle w:val="BodyText"/>
        <w:spacing w:before="0" w:after="0"/>
        <w:jc w:val="both"/>
        <w:rPr>
          <w:szCs w:val="22"/>
          <w:lang w:val="en-GB"/>
        </w:rPr>
      </w:pPr>
      <w:r>
        <w:rPr>
          <w:szCs w:val="22"/>
          <w:lang w:val="en-GB"/>
        </w:rPr>
        <w:t>Category 2: &lt;= 25 workdays</w:t>
      </w:r>
    </w:p>
    <w:p>
      <w:pPr>
        <w:pStyle w:val="BodyText"/>
        <w:spacing w:before="0" w:after="0"/>
        <w:jc w:val="both"/>
        <w:rPr>
          <w:szCs w:val="22"/>
          <w:lang w:val="en-GB"/>
        </w:rPr>
      </w:pPr>
      <w:r>
        <w:rPr>
          <w:szCs w:val="22"/>
          <w:lang w:val="en-GB"/>
        </w:rPr>
        <w:t>Category 3: &lt;= 28 workdays</w:t>
      </w:r>
    </w:p>
    <w:p>
      <w:pPr>
        <w:pStyle w:val="BodyText"/>
        <w:spacing w:before="0" w:after="0"/>
        <w:jc w:val="both"/>
        <w:rPr>
          <w:szCs w:val="22"/>
          <w:lang w:val="en-GB"/>
        </w:rPr>
      </w:pPr>
      <w:r>
        <w:rPr>
          <w:szCs w:val="22"/>
          <w:lang w:val="en-GB"/>
        </w:rPr>
        <w:t>Category 4: &lt;= 38 workdays</w:t>
      </w:r>
    </w:p>
    <w:p>
      <w:pPr>
        <w:pStyle w:val="BodyText"/>
        <w:spacing w:before="0" w:after="0"/>
        <w:jc w:val="both"/>
        <w:rPr>
          <w:szCs w:val="22"/>
          <w:lang w:val="en-GB"/>
        </w:rPr>
      </w:pPr>
      <w:r>
        <w:rPr>
          <w:szCs w:val="22"/>
          <w:lang w:val="en-GB"/>
        </w:rPr>
        <w:t>Category 5: &lt;= 40 workdays</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Details on Categories can be found in document “OLA terms and conditions versie 1.6.1” as provided to the 2IM and the PST suppliers</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Request for emergency update, testing, approval and  ready for distribution within 1 business day (24 hours) for BSL</w:t>
      </w:r>
    </w:p>
    <w:p>
      <w:pPr>
        <w:pStyle w:val="BodyText"/>
        <w:jc w:val="both"/>
        <w:rPr>
          <w:szCs w:val="22"/>
          <w:lang w:val="en-GB"/>
        </w:rPr>
      </w:pPr>
      <w:r>
        <w:rPr>
          <w:szCs w:val="22"/>
          <w:lang w:val="en-GB"/>
        </w:rPr>
        <w:t>Please refer to the description for this element earlier in this document (3.2.1)</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Request for emergency update, testing, approval and  ready for distribution within 5 business days for BSL</w:t>
      </w:r>
    </w:p>
    <w:p>
      <w:pPr>
        <w:pStyle w:val="BodyText"/>
        <w:jc w:val="both"/>
        <w:rPr>
          <w:szCs w:val="22"/>
          <w:lang w:val="en-GB"/>
        </w:rPr>
      </w:pPr>
      <w:r>
        <w:rPr>
          <w:szCs w:val="22"/>
          <w:lang w:val="en-GB"/>
        </w:rPr>
        <w:t>Please refer to the description for this element earlier in this document  (3.2.1)</w:t>
      </w:r>
    </w:p>
    <w:p>
      <w:pPr>
        <w:pStyle w:val="Heading1Numbered"/>
        <w:numPr>
          <w:ilvl w:val="0"/>
          <w:numId w:val="4"/>
        </w:numPr>
        <w:ind w:hanging="0" w:start="0"/>
        <w:jc w:val="both"/>
        <w:outlineLvl w:val="0"/>
        <w:rPr>
          <w:rFonts w:ascii="Times New Roman" w:hAnsi="Times New Roman" w:cs="Times New Roman"/>
          <w:sz w:val="22"/>
          <w:szCs w:val="22"/>
          <w:lang w:val="en-GB"/>
        </w:rPr>
      </w:pPr>
      <w:bookmarkStart w:id="13" w:name="__RefHeading___Toc151896981"/>
      <w:bookmarkEnd w:id="13"/>
      <w:r>
        <w:rPr>
          <w:rFonts w:cs="Times New Roman" w:ascii="Times New Roman" w:hAnsi="Times New Roman"/>
          <w:sz w:val="22"/>
          <w:szCs w:val="22"/>
          <w:lang w:val="en-GB"/>
        </w:rPr>
        <w:t>CRITICAL SERVICE LEVELS – Access Services Performance</w:t>
      </w:r>
    </w:p>
    <w:p>
      <w:pPr>
        <w:pStyle w:val="BodyText"/>
        <w:jc w:val="both"/>
        <w:rPr>
          <w:szCs w:val="22"/>
          <w:lang w:val="en-GB"/>
        </w:rPr>
      </w:pPr>
      <w:r>
        <w:rPr>
          <w:szCs w:val="22"/>
          <w:lang w:val="en-GB"/>
        </w:rPr>
        <w:t>The Access Service is there to ensure that only authorised staff has access to applications and infrastructure by implementing and maintaining operational IT security processes according to the security policies and standards.</w:t>
      </w:r>
    </w:p>
    <w:p>
      <w:pPr>
        <w:pStyle w:val="BodyText"/>
        <w:jc w:val="both"/>
        <w:rPr>
          <w:szCs w:val="22"/>
          <w:lang w:val="en-GB"/>
        </w:rPr>
      </w:pPr>
      <w:r>
        <w:rPr>
          <w:szCs w:val="22"/>
          <w:lang w:val="en-GB"/>
        </w:rPr>
        <w:t>To gain access to a platform or an application a user has to obtain a user id and a password. Once the user id is created, it is possible that it has to be changed, that the password needs to be reset, or that it has to be deleted because the user is no longer authorised to access the system. Only a user id is not enough. Once the user has an account, this account has to be granted permissions to access specific resources within an application or a platform. Also, for new environments, the security settings that are set up by the development team, in co-operation with EuroBank, need to be initially implemented via change control</w:t>
      </w:r>
    </w:p>
    <w:p>
      <w:pPr>
        <w:pStyle w:val="Heading2Numbered"/>
        <w:numPr>
          <w:ilvl w:val="1"/>
          <w:numId w:val="4"/>
        </w:numPr>
        <w:ind w:hanging="0" w:start="0"/>
        <w:jc w:val="both"/>
        <w:rPr>
          <w:rFonts w:ascii="Times New Roman" w:hAnsi="Times New Roman" w:cs="Times New Roman"/>
          <w:sz w:val="22"/>
          <w:szCs w:val="22"/>
          <w:lang w:val="en-GB"/>
        </w:rPr>
      </w:pPr>
      <w:bookmarkStart w:id="14" w:name="__RefHeading___Toc151896982"/>
      <w:bookmarkEnd w:id="14"/>
      <w:r>
        <w:rPr>
          <w:rFonts w:cs="Times New Roman" w:ascii="Times New Roman" w:hAnsi="Times New Roman"/>
          <w:sz w:val="22"/>
          <w:szCs w:val="22"/>
          <w:lang w:val="en-GB"/>
        </w:rPr>
        <w:t>Access Service - Password resets – Performance</w:t>
      </w:r>
    </w:p>
    <w:p>
      <w:pPr>
        <w:pStyle w:val="BodyText"/>
        <w:jc w:val="both"/>
        <w:rPr/>
      </w:pPr>
      <w:r>
        <w:rPr>
          <w:szCs w:val="22"/>
          <w:lang w:val="en-GB"/>
        </w:rPr>
        <w:t>The formula used to calculate the realised level for this Critical Service Level is the average of the realised level described in the paragraph 4.1.1 through 4.1.3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Reset password &lt; 22,5 minutes after approval/correct procedure</w:t>
      </w:r>
    </w:p>
    <w:p>
      <w:pPr>
        <w:pStyle w:val="BodyText"/>
        <w:spacing w:before="0" w:after="0"/>
        <w:jc w:val="both"/>
        <w:rPr/>
      </w:pPr>
      <w:r>
        <w:rPr>
          <w:szCs w:val="22"/>
          <w:lang w:val="en-GB"/>
        </w:rPr>
        <w:t>% = (1 – (resets-on-time / number-of-resets)) * 100%</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Note: for non-automated platforms, after request via EuroBank authorised means</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tab/>
        <w:t>2000 password resets requested in a specific month</w:t>
      </w:r>
    </w:p>
    <w:p>
      <w:pPr>
        <w:pStyle w:val="BodyText"/>
        <w:spacing w:before="0" w:after="0"/>
        <w:jc w:val="both"/>
        <w:rPr>
          <w:szCs w:val="22"/>
          <w:lang w:val="en-GB"/>
        </w:rPr>
      </w:pPr>
      <w:r>
        <w:rPr>
          <w:szCs w:val="22"/>
          <w:lang w:val="en-GB"/>
        </w:rPr>
        <w:tab/>
        <w:t>50 of these requests were not delivered on time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Result:</w:t>
      </w:r>
    </w:p>
    <w:p>
      <w:pPr>
        <w:pStyle w:val="BodyText"/>
        <w:spacing w:before="0" w:after="0"/>
        <w:jc w:val="both"/>
        <w:rPr/>
      </w:pPr>
      <w:r>
        <w:rPr>
          <w:szCs w:val="22"/>
          <w:lang w:val="en-GB"/>
        </w:rPr>
        <w:tab/>
        <w:t>(100% - (50 / 2000)) * 100% = 0,975 = 97,5%</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PIN-code and GRAS-resets &lt; 90 minutes after approval/correct procedure</w:t>
      </w:r>
    </w:p>
    <w:p>
      <w:pPr>
        <w:pStyle w:val="BodyText"/>
        <w:jc w:val="both"/>
        <w:rPr>
          <w:szCs w:val="22"/>
          <w:lang w:val="en-GB"/>
        </w:rPr>
      </w:pPr>
      <w:r>
        <w:rPr>
          <w:szCs w:val="22"/>
          <w:lang w:val="en-GB"/>
        </w:rPr>
        <w:t>Please refer to the ‘password reset’ description for this element earlier in this document (4.1.1)</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Dealing Room / Named location Reset password less or equal to 10 minutes after approval/correct procedure</w:t>
      </w:r>
    </w:p>
    <w:p>
      <w:pPr>
        <w:pStyle w:val="BodyText"/>
        <w:jc w:val="both"/>
        <w:rPr>
          <w:szCs w:val="22"/>
          <w:lang w:val="en-GB"/>
        </w:rPr>
      </w:pPr>
      <w:r>
        <w:rPr>
          <w:szCs w:val="22"/>
          <w:lang w:val="en-GB"/>
        </w:rPr>
        <w:t>Please refer to the description for this element earlier in this document  (4.1.1)</w:t>
      </w:r>
    </w:p>
    <w:p>
      <w:pPr>
        <w:pStyle w:val="Heading2Numbered"/>
        <w:numPr>
          <w:ilvl w:val="1"/>
          <w:numId w:val="4"/>
        </w:numPr>
        <w:ind w:hanging="0" w:start="0"/>
        <w:jc w:val="both"/>
        <w:rPr>
          <w:rFonts w:ascii="Times New Roman" w:hAnsi="Times New Roman" w:cs="Times New Roman"/>
          <w:sz w:val="22"/>
          <w:szCs w:val="22"/>
          <w:lang w:val="en-GB"/>
        </w:rPr>
      </w:pPr>
      <w:bookmarkStart w:id="15" w:name="__RefHeading___Toc151896983"/>
      <w:bookmarkEnd w:id="15"/>
      <w:r>
        <w:rPr>
          <w:rFonts w:cs="Times New Roman" w:ascii="Times New Roman" w:hAnsi="Times New Roman"/>
          <w:sz w:val="22"/>
          <w:szCs w:val="22"/>
          <w:lang w:val="en-GB"/>
        </w:rPr>
        <w:t>Access Service - Service requests – Performance</w:t>
      </w:r>
    </w:p>
    <w:p>
      <w:pPr>
        <w:pStyle w:val="BodyText"/>
        <w:jc w:val="both"/>
        <w:rPr/>
      </w:pPr>
      <w:r>
        <w:rPr>
          <w:szCs w:val="22"/>
          <w:lang w:val="en-GB"/>
        </w:rPr>
        <w:t>The formula used to calculate the realised level for this Critical Service Level is the average of the realised level described in the paragraph 4.2.1 through 4.2.3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New / change authorization after approval/correct procedure</w:t>
      </w:r>
    </w:p>
    <w:p>
      <w:pPr>
        <w:pStyle w:val="BodyText"/>
        <w:spacing w:before="0" w:after="0"/>
        <w:jc w:val="both"/>
        <w:rPr/>
      </w:pPr>
      <w:r>
        <w:rPr>
          <w:szCs w:val="22"/>
          <w:lang w:val="en-GB"/>
        </w:rPr>
        <w:t>% = (1 – (authorizations-on-time / number-of- authorizations)) * 100%</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tab/>
        <w:t>2000 valid requests in a specific month</w:t>
      </w:r>
    </w:p>
    <w:p>
      <w:pPr>
        <w:pStyle w:val="BodyText"/>
        <w:spacing w:before="0" w:after="0"/>
        <w:jc w:val="both"/>
        <w:rPr>
          <w:szCs w:val="22"/>
          <w:lang w:val="en-GB"/>
        </w:rPr>
      </w:pPr>
      <w:r>
        <w:rPr>
          <w:szCs w:val="22"/>
          <w:lang w:val="en-GB"/>
        </w:rPr>
        <w:tab/>
        <w:t>50 of these requests were not executed on time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Result:</w:t>
      </w:r>
    </w:p>
    <w:p>
      <w:pPr>
        <w:pStyle w:val="BodyText"/>
        <w:spacing w:before="0" w:after="0"/>
        <w:jc w:val="both"/>
        <w:rPr>
          <w:szCs w:val="22"/>
          <w:lang w:val="en-GB"/>
        </w:rPr>
      </w:pPr>
      <w:r>
        <w:rPr>
          <w:szCs w:val="22"/>
          <w:lang w:val="en-GB"/>
        </w:rPr>
        <w:tab/>
        <w:t>(100% - (50 / 2000)) * 100% = 0,975 = 97,5%</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For automated authorisation request (e.g. ITIM) the time line is 1 workday, for non-automated ones (e.g. paper versions) the time line is 5 workdays.</w:t>
      </w:r>
    </w:p>
    <w:p>
      <w:pPr>
        <w:pStyle w:val="BodyText"/>
        <w:spacing w:before="0" w:after="0"/>
        <w:jc w:val="both"/>
        <w:rPr>
          <w:szCs w:val="22"/>
          <w:lang w:val="en-GB"/>
        </w:rPr>
      </w:pPr>
      <w:r>
        <w:rPr>
          <w:szCs w:val="22"/>
          <w:lang w:val="en-GB"/>
        </w:rPr>
      </w:r>
    </w:p>
    <w:p>
      <w:pPr>
        <w:pStyle w:val="BodyText"/>
        <w:spacing w:before="0" w:after="0"/>
        <w:jc w:val="both"/>
        <w:rPr/>
      </w:pPr>
      <w:r>
        <w:rPr>
          <w:szCs w:val="22"/>
          <w:lang w:val="en-GB"/>
        </w:rPr>
        <w:t>Note: this Service Level is dependent on the availability of EuroBank HR dept, which is source for (emergency) requests (see ‘TRI WT1 Technical - EUC UAS - Workflow processes.doc’):</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Create the TSS-order to send smart card with Acceptance letter and reader to requested address &amp; After receiving acceptance letter implement all authorisations (incl GRAS) and create TSS-order to send PIN-code letter to requested address within timelines</w:t>
      </w:r>
    </w:p>
    <w:p>
      <w:pPr>
        <w:pStyle w:val="BodyText"/>
        <w:spacing w:before="0" w:after="0"/>
        <w:jc w:val="both"/>
        <w:rPr/>
      </w:pPr>
      <w:r>
        <w:rPr>
          <w:szCs w:val="22"/>
          <w:lang w:val="en-GB"/>
        </w:rPr>
        <w:t>% = (1 – (authorizations-on-time / number-of- authorizations)) * 100%</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tab/>
        <w:t>2000 valid requests in a specific month</w:t>
      </w:r>
    </w:p>
    <w:p>
      <w:pPr>
        <w:pStyle w:val="BodyText"/>
        <w:spacing w:before="0" w:after="0"/>
        <w:jc w:val="both"/>
        <w:rPr>
          <w:szCs w:val="22"/>
          <w:lang w:val="en-GB"/>
        </w:rPr>
      </w:pPr>
      <w:r>
        <w:rPr>
          <w:szCs w:val="22"/>
          <w:lang w:val="en-GB"/>
        </w:rPr>
        <w:tab/>
        <w:t>50 of these requests were not executed on time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Result:</w:t>
      </w:r>
    </w:p>
    <w:p>
      <w:pPr>
        <w:pStyle w:val="BodyText"/>
        <w:spacing w:before="0" w:after="0"/>
        <w:jc w:val="both"/>
        <w:rPr>
          <w:szCs w:val="22"/>
          <w:lang w:val="en-GB"/>
        </w:rPr>
      </w:pPr>
      <w:r>
        <w:rPr>
          <w:szCs w:val="22"/>
          <w:lang w:val="en-GB"/>
        </w:rPr>
        <w:tab/>
        <w:t>(100% - (50 / 2000)) * 100% = 0,975 = 97,5%</w:t>
      </w:r>
    </w:p>
    <w:p>
      <w:pPr>
        <w:pStyle w:val="BodyText"/>
        <w:spacing w:before="0" w:after="0"/>
        <w:jc w:val="both"/>
        <w:rPr>
          <w:szCs w:val="22"/>
          <w:lang w:val="en-GB"/>
        </w:rPr>
      </w:pPr>
      <w:r>
        <w:rPr>
          <w:szCs w:val="22"/>
          <w:lang w:val="en-GB"/>
        </w:rPr>
      </w:r>
    </w:p>
    <w:p>
      <w:pPr>
        <w:pStyle w:val="BodyText"/>
        <w:spacing w:before="0" w:after="0"/>
        <w:jc w:val="both"/>
        <w:rPr/>
      </w:pPr>
      <w:r>
        <w:rPr>
          <w:szCs w:val="22"/>
          <w:lang w:val="en-GB"/>
        </w:rPr>
        <w:t>The timelines are:</w:t>
      </w:r>
    </w:p>
    <w:p>
      <w:pPr>
        <w:pStyle w:val="Normal"/>
        <w:spacing w:before="100" w:after="0"/>
        <w:ind w:start="720" w:end="0"/>
        <w:jc w:val="both"/>
        <w:rPr>
          <w:szCs w:val="22"/>
          <w:lang w:val="en-GB" w:eastAsia="nl-NL"/>
        </w:rPr>
      </w:pPr>
      <w:r>
        <w:rPr>
          <w:szCs w:val="22"/>
          <w:lang w:val="en-GB" w:eastAsia="nl-NL"/>
        </w:rPr>
        <w:t>Authorisation request for GRAS and PKI:</w:t>
      </w:r>
    </w:p>
    <w:p>
      <w:pPr>
        <w:pStyle w:val="Normal"/>
        <w:numPr>
          <w:ilvl w:val="0"/>
          <w:numId w:val="10"/>
        </w:numPr>
        <w:spacing w:before="100" w:after="0"/>
        <w:jc w:val="both"/>
        <w:rPr>
          <w:szCs w:val="22"/>
          <w:lang w:val="en-GB" w:eastAsia="nl-NL"/>
        </w:rPr>
      </w:pPr>
      <w:r>
        <w:rPr>
          <w:szCs w:val="22"/>
          <w:lang w:val="en-GB" w:eastAsia="nl-NL"/>
        </w:rPr>
        <w:t xml:space="preserve">TSS-order to send smart card with Acceptance letter and reader to requested address: within 1 day after receiving the request. </w:t>
      </w:r>
    </w:p>
    <w:p>
      <w:pPr>
        <w:pStyle w:val="Normal"/>
        <w:spacing w:before="100" w:after="0"/>
        <w:ind w:start="1080" w:end="0"/>
        <w:jc w:val="both"/>
        <w:rPr>
          <w:szCs w:val="22"/>
          <w:lang w:val="en-GB" w:eastAsia="nl-NL"/>
        </w:rPr>
      </w:pPr>
      <w:r>
        <w:rPr>
          <w:szCs w:val="22"/>
          <w:lang w:val="en-GB" w:eastAsia="nl-NL"/>
        </w:rPr>
      </w:r>
    </w:p>
    <w:p>
      <w:pPr>
        <w:pStyle w:val="Normal"/>
        <w:numPr>
          <w:ilvl w:val="0"/>
          <w:numId w:val="10"/>
        </w:numPr>
        <w:spacing w:before="0" w:after="0"/>
        <w:jc w:val="both"/>
        <w:rPr>
          <w:szCs w:val="22"/>
          <w:lang w:val="en-GB" w:eastAsia="nl-NL"/>
        </w:rPr>
      </w:pPr>
      <w:r>
        <w:rPr>
          <w:szCs w:val="22"/>
          <w:lang w:val="en-GB" w:eastAsia="nl-NL"/>
        </w:rPr>
        <w:t xml:space="preserve">Implement all authorisations (incl GRAS) and TSS-order to send PIN-code letter to requested address within 3 days after receiving signed Acceptance letter. </w:t>
      </w:r>
    </w:p>
    <w:p>
      <w:pPr>
        <w:pStyle w:val="Normal"/>
        <w:spacing w:before="0" w:after="0"/>
        <w:jc w:val="both"/>
        <w:rPr>
          <w:szCs w:val="22"/>
          <w:lang w:val="en-GB" w:eastAsia="nl-NL"/>
        </w:rPr>
      </w:pPr>
      <w:r>
        <w:rPr>
          <w:szCs w:val="22"/>
          <w:lang w:val="en-GB" w:eastAsia="nl-NL"/>
        </w:rPr>
      </w:r>
    </w:p>
    <w:p>
      <w:pPr>
        <w:pStyle w:val="Normal"/>
        <w:spacing w:before="0" w:after="0"/>
        <w:ind w:start="720" w:end="0"/>
        <w:jc w:val="both"/>
        <w:rPr/>
      </w:pPr>
      <w:r>
        <w:rPr>
          <w:szCs w:val="22"/>
          <w:lang w:val="en-GB" w:eastAsia="nl-NL"/>
        </w:rPr>
        <w:t xml:space="preserve">Request for new PKI smart card (e.g. in case of loss or defect): </w:t>
      </w:r>
    </w:p>
    <w:p>
      <w:pPr>
        <w:pStyle w:val="Normal"/>
        <w:numPr>
          <w:ilvl w:val="0"/>
          <w:numId w:val="19"/>
        </w:numPr>
        <w:spacing w:before="0" w:after="0"/>
        <w:jc w:val="both"/>
        <w:rPr>
          <w:szCs w:val="22"/>
          <w:lang w:val="en-GB" w:eastAsia="nl-NL"/>
        </w:rPr>
      </w:pPr>
      <w:r>
        <w:rPr>
          <w:szCs w:val="22"/>
          <w:lang w:val="en-GB" w:eastAsia="nl-NL"/>
        </w:rPr>
        <w:t xml:space="preserve">TSS priority order to send smart card with Acceptance letter to requested address executed within 1 </w:t>
      </w:r>
      <w:r>
        <w:rPr>
          <w:szCs w:val="22"/>
        </w:rPr>
        <w:t>hour </w:t>
      </w:r>
      <w:r>
        <w:rPr>
          <w:szCs w:val="22"/>
          <w:lang w:val="en-GB" w:eastAsia="nl-NL"/>
        </w:rPr>
        <w:t xml:space="preserve">after receiving the request, </w:t>
      </w:r>
    </w:p>
    <w:p>
      <w:pPr>
        <w:pStyle w:val="BodyText"/>
        <w:jc w:val="both"/>
        <w:rPr/>
      </w:pPr>
      <w:r>
        <w:rPr>
          <w:szCs w:val="22"/>
          <w:lang w:val="en-GB"/>
        </w:rPr>
        <w:t>Note: this Service Level is dependent on the availability of EuroBank HR dept, which is source for (emergency) requests (see ‘TRI WT1 Technical - EUC UAS - Workflow processes.doc’):</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Lock user account &lt; 10 minutes after approval/correct procedure</w:t>
      </w:r>
    </w:p>
    <w:p>
      <w:pPr>
        <w:pStyle w:val="BodyText"/>
        <w:spacing w:before="0" w:after="0"/>
        <w:jc w:val="both"/>
        <w:rPr/>
      </w:pPr>
      <w:r>
        <w:rPr>
          <w:szCs w:val="22"/>
          <w:lang w:val="en-GB"/>
        </w:rPr>
        <w:t>% = (1 – (authorizations-on-time / number-of- authorizations)) * 100%</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tab/>
        <w:t>2000 valid requests in a specific month</w:t>
      </w:r>
    </w:p>
    <w:p>
      <w:pPr>
        <w:pStyle w:val="BodyText"/>
        <w:spacing w:before="0" w:after="0"/>
        <w:jc w:val="both"/>
        <w:rPr>
          <w:szCs w:val="22"/>
          <w:lang w:val="en-GB"/>
        </w:rPr>
      </w:pPr>
      <w:r>
        <w:rPr>
          <w:szCs w:val="22"/>
          <w:lang w:val="en-GB"/>
        </w:rPr>
        <w:tab/>
        <w:t>50 of these requests were not executed on time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Result:</w:t>
      </w:r>
    </w:p>
    <w:p>
      <w:pPr>
        <w:pStyle w:val="BodyText"/>
        <w:spacing w:before="0" w:after="0"/>
        <w:jc w:val="both"/>
        <w:rPr>
          <w:szCs w:val="22"/>
          <w:lang w:val="en-GB"/>
        </w:rPr>
      </w:pPr>
      <w:r>
        <w:rPr>
          <w:szCs w:val="22"/>
          <w:lang w:val="en-GB"/>
        </w:rPr>
        <w:tab/>
        <w:t>(100% - (50 / 2000)) * 100% = 0,975 = 97,5%</w:t>
      </w:r>
    </w:p>
    <w:p>
      <w:pPr>
        <w:pStyle w:val="BodyText"/>
        <w:spacing w:before="0" w:after="0"/>
        <w:jc w:val="both"/>
        <w:rPr>
          <w:szCs w:val="22"/>
          <w:lang w:val="en-GB"/>
        </w:rPr>
      </w:pPr>
      <w:r>
        <w:rPr>
          <w:szCs w:val="22"/>
          <w:lang w:val="en-GB"/>
        </w:rPr>
      </w:r>
    </w:p>
    <w:p>
      <w:pPr>
        <w:pStyle w:val="BodyText"/>
        <w:spacing w:before="0" w:after="0"/>
        <w:jc w:val="both"/>
        <w:rPr/>
      </w:pPr>
      <w:r>
        <w:rPr>
          <w:szCs w:val="22"/>
          <w:lang w:val="en-GB"/>
        </w:rPr>
        <w:t>Note: this Service Level is dependent on the availability of EuroBank HR dept, which is source for (emergency) requests (see ‘TRI WT1 Technical - EUC UAS - Workflow processes.doc’):</w:t>
      </w:r>
    </w:p>
    <w:p>
      <w:pPr>
        <w:pStyle w:val="Heading2Numbered"/>
        <w:numPr>
          <w:ilvl w:val="1"/>
          <w:numId w:val="4"/>
        </w:numPr>
        <w:ind w:hanging="0" w:start="0"/>
        <w:jc w:val="both"/>
        <w:rPr>
          <w:rFonts w:ascii="Times New Roman" w:hAnsi="Times New Roman" w:cs="Times New Roman"/>
          <w:sz w:val="22"/>
          <w:szCs w:val="22"/>
          <w:lang w:val="en-GB"/>
        </w:rPr>
      </w:pPr>
      <w:bookmarkStart w:id="16" w:name="__RefHeading___Toc151896984"/>
      <w:bookmarkEnd w:id="16"/>
      <w:r>
        <w:rPr>
          <w:rFonts w:cs="Times New Roman" w:ascii="Times New Roman" w:hAnsi="Times New Roman"/>
          <w:sz w:val="22"/>
          <w:szCs w:val="22"/>
          <w:lang w:val="en-GB"/>
        </w:rPr>
        <w:t>Access Service - Accuracy – Performance</w:t>
      </w:r>
    </w:p>
    <w:p>
      <w:pPr>
        <w:pStyle w:val="BodyText"/>
        <w:jc w:val="both"/>
        <w:rPr/>
      </w:pPr>
      <w:r>
        <w:rPr>
          <w:szCs w:val="22"/>
          <w:lang w:val="en-GB"/>
        </w:rPr>
        <w:t>The formula used to calculate the realised level for this Critical Service Level is the average of the realised level described in the paragraph 4.3.1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&amp; EUC (-UIS) - Standard change small correctly executed</w:t>
      </w:r>
    </w:p>
    <w:p>
      <w:pPr>
        <w:pStyle w:val="BodyText"/>
        <w:spacing w:before="0" w:after="0"/>
        <w:jc w:val="both"/>
        <w:rPr>
          <w:szCs w:val="22"/>
          <w:lang w:val="en-GB"/>
        </w:rPr>
      </w:pPr>
      <w:r>
        <w:rPr>
          <w:szCs w:val="22"/>
          <w:lang w:val="en-GB"/>
        </w:rPr>
        <w:t>% = (1 – (standard-small-changes-without-associated-Incidents / standard-small-changes)) * 100%</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tab/>
        <w:t>2000 valid requests in a specific month</w:t>
      </w:r>
    </w:p>
    <w:p>
      <w:pPr>
        <w:pStyle w:val="BodyText"/>
        <w:spacing w:before="0" w:after="0"/>
        <w:jc w:val="both"/>
        <w:rPr/>
      </w:pPr>
      <w:r>
        <w:rPr>
          <w:szCs w:val="22"/>
          <w:lang w:val="en-GB"/>
        </w:rPr>
        <w:tab/>
        <w:t>50 of these requests were not executed properly therefore have resulted in an Incident</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Result:</w:t>
      </w:r>
    </w:p>
    <w:p>
      <w:pPr>
        <w:pStyle w:val="BodyText"/>
        <w:spacing w:before="0" w:after="0"/>
        <w:jc w:val="both"/>
        <w:rPr>
          <w:szCs w:val="22"/>
          <w:lang w:val="en-GB"/>
        </w:rPr>
      </w:pPr>
      <w:r>
        <w:rPr>
          <w:szCs w:val="22"/>
          <w:lang w:val="en-GB"/>
        </w:rPr>
        <w:tab/>
        <w:t>(100% - (50 / 2000)) * 100% = 0,975 = 97,5%</w:t>
      </w:r>
    </w:p>
    <w:p>
      <w:pPr>
        <w:pStyle w:val="BodyText"/>
        <w:spacing w:before="0" w:after="0"/>
        <w:jc w:val="both"/>
        <w:rPr>
          <w:szCs w:val="22"/>
          <w:lang w:val="en-GB"/>
        </w:rPr>
      </w:pPr>
      <w:r>
        <w:rPr>
          <w:szCs w:val="22"/>
          <w:lang w:val="en-GB"/>
        </w:rPr>
      </w:r>
    </w:p>
    <w:p>
      <w:pPr>
        <w:pStyle w:val="BodyText"/>
        <w:spacing w:before="0" w:after="0"/>
        <w:jc w:val="both"/>
        <w:rPr/>
      </w:pPr>
      <w:r>
        <w:rPr>
          <w:szCs w:val="22"/>
          <w:lang w:val="en-GB"/>
        </w:rPr>
        <w:t xml:space="preserve">Note: The actual ‘standard change small’ will be defined in the first release of the Service Catalogue. </w:t>
      </w:r>
    </w:p>
    <w:p>
      <w:pPr>
        <w:pStyle w:val="Heading1Numbered"/>
        <w:numPr>
          <w:ilvl w:val="0"/>
          <w:numId w:val="4"/>
        </w:numPr>
        <w:ind w:hanging="0" w:start="0"/>
        <w:jc w:val="both"/>
        <w:outlineLvl w:val="0"/>
        <w:rPr>
          <w:rFonts w:ascii="Times New Roman" w:hAnsi="Times New Roman" w:cs="Times New Roman"/>
          <w:sz w:val="22"/>
          <w:szCs w:val="22"/>
          <w:lang w:val="en-GB"/>
        </w:rPr>
      </w:pPr>
      <w:bookmarkStart w:id="17" w:name="__RefHeading___Toc151896985"/>
      <w:bookmarkEnd w:id="17"/>
      <w:r>
        <w:rPr>
          <w:rFonts w:cs="Times New Roman" w:ascii="Times New Roman" w:hAnsi="Times New Roman"/>
          <w:sz w:val="22"/>
          <w:szCs w:val="22"/>
          <w:lang w:val="en-GB"/>
        </w:rPr>
        <w:t>Voice Services Performance</w:t>
      </w:r>
    </w:p>
    <w:p>
      <w:pPr>
        <w:pStyle w:val="Heading2Numbered"/>
        <w:numPr>
          <w:ilvl w:val="1"/>
          <w:numId w:val="4"/>
        </w:numPr>
        <w:ind w:hanging="0" w:start="0"/>
        <w:jc w:val="both"/>
        <w:rPr>
          <w:rFonts w:ascii="Times New Roman" w:hAnsi="Times New Roman" w:cs="Times New Roman"/>
          <w:sz w:val="22"/>
          <w:szCs w:val="22"/>
          <w:lang w:val="en-GB"/>
        </w:rPr>
      </w:pPr>
      <w:bookmarkStart w:id="18" w:name="__RefHeading___Toc151896986"/>
      <w:bookmarkEnd w:id="18"/>
      <w:r>
        <w:rPr>
          <w:rFonts w:cs="Times New Roman" w:ascii="Times New Roman" w:hAnsi="Times New Roman"/>
          <w:sz w:val="22"/>
          <w:szCs w:val="22"/>
          <w:lang w:val="en-GB"/>
        </w:rPr>
        <w:t>Base Voice Service – Availability</w:t>
      </w:r>
    </w:p>
    <w:p>
      <w:pPr>
        <w:pStyle w:val="BodyText"/>
        <w:jc w:val="both"/>
        <w:rPr>
          <w:szCs w:val="22"/>
          <w:lang w:val="en-GB"/>
        </w:rPr>
      </w:pPr>
      <w:r>
        <w:rPr>
          <w:szCs w:val="22"/>
          <w:lang w:val="en-GB"/>
        </w:rPr>
        <w:t>Base Voice Service – Availability is considered as the availability of the PBX equipment and the Network connection. This is calculated by the average of the network connection availability percentages and the PBX equipment availability percentages.</w:t>
      </w:r>
    </w:p>
    <w:p>
      <w:pPr>
        <w:pStyle w:val="BodyText"/>
        <w:jc w:val="both"/>
        <w:rPr/>
      </w:pPr>
      <w:r>
        <w:rPr>
          <w:szCs w:val="22"/>
          <w:lang w:val="en-GB"/>
        </w:rPr>
        <w:t>The formula used to calculate the realised level for this Critical Service Level is the average of the realised level described in the paragraph 5.1.1 through 5.1.2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Voice - Network connection availability</w:t>
      </w:r>
    </w:p>
    <w:p>
      <w:pPr>
        <w:pStyle w:val="BodyText"/>
        <w:jc w:val="both"/>
        <w:rPr>
          <w:szCs w:val="22"/>
          <w:lang w:val="en-GB"/>
        </w:rPr>
      </w:pPr>
      <w:r>
        <w:rPr>
          <w:szCs w:val="22"/>
          <w:lang w:val="en-GB"/>
        </w:rPr>
        <w:t>Please refer to the description for this element earlier in this document (2.7.3)</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Voice - PBX equipment availability</w:t>
      </w:r>
    </w:p>
    <w:p>
      <w:pPr>
        <w:pStyle w:val="Normal"/>
        <w:ind w:start="720" w:end="0"/>
        <w:jc w:val="both"/>
        <w:rPr/>
      </w:pPr>
      <w:r>
        <w:rPr>
          <w:szCs w:val="22"/>
        </w:rPr>
        <w:t xml:space="preserve"> </w:t>
      </w:r>
      <w:r>
        <w:rPr>
          <w:szCs w:val="22"/>
        </w:rPr>
        <w:t>Availability of PBX equipment is regarded as the availability of the central PBX equipment excluding agreed normal and pre-announced maintenance downtime.</w:t>
      </w:r>
    </w:p>
    <w:p>
      <w:pPr>
        <w:pStyle w:val="Normal"/>
        <w:ind w:start="720" w:end="0"/>
        <w:jc w:val="both"/>
        <w:rPr>
          <w:b/>
          <w:bCs/>
          <w:szCs w:val="22"/>
        </w:rPr>
      </w:pPr>
      <w:r>
        <w:rPr>
          <w:b/>
          <w:bCs/>
          <w:szCs w:val="22"/>
        </w:rPr>
      </w:r>
    </w:p>
    <w:p>
      <w:pPr>
        <w:pStyle w:val="Normal"/>
        <w:ind w:start="720" w:end="0"/>
        <w:jc w:val="both"/>
        <w:rPr/>
      </w:pPr>
      <w:r>
        <w:rPr>
          <w:szCs w:val="22"/>
        </w:rPr>
        <w:t>The availability of PBX equipment will be measured as a percentage against a 24x7 measurement window. The availability percentage will be calculated through the sum of the pass through time for all registered Incidents concerning PBX equipment, held against all PBX equipment times the total time of that month. This results in the following formula:</w:t>
      </w:r>
    </w:p>
    <w:p>
      <w:pPr>
        <w:pStyle w:val="Normal"/>
        <w:ind w:start="720" w:end="0"/>
        <w:jc w:val="both"/>
        <w:rPr>
          <w:szCs w:val="22"/>
        </w:rPr>
      </w:pPr>
      <w:r>
        <w:rPr>
          <w:szCs w:val="22"/>
        </w:rPr>
      </w:r>
    </w:p>
    <w:p>
      <w:pPr>
        <w:pStyle w:val="Normal"/>
        <w:ind w:start="720" w:end="0"/>
        <w:jc w:val="both"/>
        <w:rPr>
          <w:szCs w:val="22"/>
        </w:rPr>
      </w:pPr>
      <w:r>
        <w:rPr>
          <w:szCs w:val="22"/>
        </w:rPr>
        <w:t>1-(TI/TT)</w:t>
      </w:r>
    </w:p>
    <w:p>
      <w:pPr>
        <w:pStyle w:val="Normal"/>
        <w:ind w:start="720" w:end="0"/>
        <w:jc w:val="both"/>
        <w:rPr>
          <w:szCs w:val="22"/>
        </w:rPr>
      </w:pPr>
      <w:r>
        <w:rPr>
          <w:szCs w:val="22"/>
        </w:rPr>
      </w:r>
    </w:p>
    <w:p>
      <w:pPr>
        <w:pStyle w:val="Normal"/>
        <w:ind w:start="720" w:end="0"/>
        <w:jc w:val="both"/>
        <w:rPr>
          <w:szCs w:val="22"/>
        </w:rPr>
      </w:pPr>
      <w:r>
        <w:rPr>
          <w:szCs w:val="22"/>
        </w:rPr>
        <w:t>Whereby:</w:t>
      </w:r>
    </w:p>
    <w:p>
      <w:pPr>
        <w:pStyle w:val="TableLevel1Text"/>
        <w:spacing w:before="120" w:after="120"/>
        <w:jc w:val="both"/>
        <w:rPr>
          <w:iCs w:val="false"/>
          <w:szCs w:val="22"/>
        </w:rPr>
      </w:pPr>
      <w:r>
        <w:rPr>
          <w:iCs w:val="false"/>
          <w:szCs w:val="22"/>
        </w:rPr>
        <w:t>TT = Total time of a month times all PBX equipment.</w:t>
      </w:r>
    </w:p>
    <w:p>
      <w:pPr>
        <w:pStyle w:val="BodyText"/>
        <w:jc w:val="both"/>
        <w:rPr>
          <w:szCs w:val="22"/>
          <w:lang w:val="en-GB"/>
        </w:rPr>
      </w:pPr>
      <w:r>
        <w:rPr>
          <w:szCs w:val="22"/>
        </w:rPr>
        <w:t>TI = Total pass through Incident time of all PBX equipment.</w:t>
      </w:r>
    </w:p>
    <w:p>
      <w:pPr>
        <w:pStyle w:val="BodyText"/>
        <w:jc w:val="both"/>
        <w:rPr>
          <w:szCs w:val="22"/>
          <w:lang w:val="en-GB"/>
        </w:rPr>
      </w:pPr>
      <w:r>
        <w:rPr>
          <w:szCs w:val="22"/>
          <w:lang w:val="en-GB"/>
        </w:rPr>
        <w:t xml:space="preserve">Example: </w:t>
      </w:r>
    </w:p>
    <w:p>
      <w:pPr>
        <w:pStyle w:val="Normal"/>
        <w:ind w:start="720" w:end="0"/>
        <w:jc w:val="both"/>
        <w:rPr>
          <w:szCs w:val="22"/>
        </w:rPr>
      </w:pPr>
      <w:r>
        <w:rPr>
          <w:szCs w:val="22"/>
        </w:rPr>
        <w:t xml:space="preserve">If the Total Time of a month is 43200 (30*24*60) minutes and there are 5 PBX systems; TT will be 216000 (43200*5). </w:t>
      </w:r>
    </w:p>
    <w:p>
      <w:pPr>
        <w:pStyle w:val="BodyText"/>
        <w:jc w:val="both"/>
        <w:rPr>
          <w:szCs w:val="22"/>
          <w:lang w:val="en-GB"/>
        </w:rPr>
      </w:pPr>
      <w:r>
        <w:rPr>
          <w:szCs w:val="22"/>
        </w:rPr>
        <w:t>If during that month System 1 had an Incident that lasted 65 minutes; System 2 had two Incidents of 5 minutes; System 3 had no Incidents; System 4 had an Incident that lasted 45 minutes and System 5 had no Incidents The TI will be 120 (65+5+5+45). The availability percentage will be (1-(120/216000)) = 99.94%.</w:t>
      </w:r>
    </w:p>
    <w:p>
      <w:pPr>
        <w:pStyle w:val="Heading2Numbered"/>
        <w:numPr>
          <w:ilvl w:val="1"/>
          <w:numId w:val="4"/>
        </w:numPr>
        <w:ind w:hanging="0" w:start="0"/>
        <w:jc w:val="both"/>
        <w:rPr>
          <w:rFonts w:ascii="Times New Roman" w:hAnsi="Times New Roman" w:cs="Times New Roman"/>
          <w:sz w:val="22"/>
          <w:szCs w:val="22"/>
          <w:lang w:val="en-GB"/>
        </w:rPr>
      </w:pPr>
      <w:bookmarkStart w:id="19" w:name="__RefHeading___Toc151896987"/>
      <w:bookmarkEnd w:id="19"/>
      <w:r>
        <w:rPr>
          <w:rFonts w:cs="Times New Roman" w:ascii="Times New Roman" w:hAnsi="Times New Roman"/>
          <w:sz w:val="22"/>
          <w:szCs w:val="22"/>
          <w:lang w:val="en-GB"/>
        </w:rPr>
        <w:t>Call Centre Voice Service – Availability</w:t>
      </w:r>
    </w:p>
    <w:p>
      <w:pPr>
        <w:pStyle w:val="BodyText"/>
        <w:jc w:val="both"/>
        <w:rPr>
          <w:szCs w:val="22"/>
          <w:lang w:val="en-GB"/>
        </w:rPr>
      </w:pPr>
      <w:r>
        <w:rPr>
          <w:szCs w:val="22"/>
          <w:lang w:val="en-GB"/>
        </w:rPr>
        <w:t>Call Centre Voice Service – Availability is considered as the availability of the Call Centre equipment, including software and the Network connection. This is calculated by the average of the network connection availability percentages and the Call Centre equipment availability percentages.</w:t>
      </w:r>
    </w:p>
    <w:p>
      <w:pPr>
        <w:pStyle w:val="BodyText"/>
        <w:jc w:val="both"/>
        <w:rPr/>
      </w:pPr>
      <w:r>
        <w:rPr>
          <w:szCs w:val="22"/>
          <w:lang w:val="en-GB"/>
        </w:rPr>
        <w:t>The formula used to calculate the realised level for this Critical Service Level is the average of the realised level described in the paragraph 5.2.1 through 5.2.2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Voice - Network connection availability</w:t>
      </w:r>
    </w:p>
    <w:p>
      <w:pPr>
        <w:pStyle w:val="BodyText"/>
        <w:jc w:val="both"/>
        <w:rPr>
          <w:szCs w:val="22"/>
          <w:lang w:val="en-GB"/>
        </w:rPr>
      </w:pPr>
      <w:r>
        <w:rPr>
          <w:szCs w:val="22"/>
          <w:lang w:val="en-GB"/>
        </w:rPr>
        <w:t>Please refer to the description for this element earlier in this document (2.7.3)</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Voice - Call Centre equipment including software availability</w:t>
      </w:r>
    </w:p>
    <w:p>
      <w:pPr>
        <w:pStyle w:val="BodyText"/>
        <w:spacing w:before="0" w:after="0"/>
        <w:jc w:val="both"/>
        <w:rPr/>
      </w:pPr>
      <w:r>
        <w:rPr>
          <w:szCs w:val="22"/>
          <w:lang w:val="en-GB"/>
        </w:rPr>
        <w:t>Availability of Call Centre equipment including software is regarded as the availability of the central Call Centre equipment excluding agreed normal and preannounce maintenance downtime.</w:t>
      </w:r>
    </w:p>
    <w:p>
      <w:pPr>
        <w:pStyle w:val="BodyText"/>
        <w:spacing w:before="0" w:after="0"/>
        <w:jc w:val="both"/>
        <w:rPr>
          <w:szCs w:val="22"/>
          <w:lang w:val="en-GB"/>
        </w:rPr>
      </w:pPr>
      <w:r>
        <w:rPr>
          <w:szCs w:val="22"/>
          <w:lang w:val="en-GB"/>
        </w:rPr>
      </w:r>
    </w:p>
    <w:p>
      <w:pPr>
        <w:pStyle w:val="BodyText"/>
        <w:spacing w:before="0" w:after="0"/>
        <w:jc w:val="both"/>
        <w:rPr/>
      </w:pPr>
      <w:r>
        <w:rPr>
          <w:szCs w:val="22"/>
          <w:lang w:val="en-GB"/>
        </w:rPr>
        <w:t>The availability of Call Centre equipment including software will be measured as a percentage against a 24x7 measurement window. The availability percentage will be calculated through the sum of the pass through time for all registered Incidents concerning Call Centre equipment, held against all Call Centre equipment times the total time of that month. This results in the following formula:</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1-(TI/TT)</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Whereby:</w:t>
      </w:r>
    </w:p>
    <w:p>
      <w:pPr>
        <w:pStyle w:val="BodyText"/>
        <w:spacing w:before="0" w:after="0"/>
        <w:jc w:val="both"/>
        <w:rPr>
          <w:szCs w:val="22"/>
          <w:lang w:val="en-GB"/>
        </w:rPr>
      </w:pPr>
      <w:r>
        <w:rPr>
          <w:szCs w:val="22"/>
          <w:lang w:val="en-GB"/>
        </w:rPr>
      </w:r>
    </w:p>
    <w:p>
      <w:pPr>
        <w:pStyle w:val="BodyText"/>
        <w:spacing w:before="0" w:after="0"/>
        <w:jc w:val="both"/>
        <w:rPr/>
      </w:pPr>
      <w:r>
        <w:rPr>
          <w:szCs w:val="22"/>
          <w:lang w:val="en-GB"/>
        </w:rPr>
        <w:t>TT = Total time of a month for all Call Centre Equipment including software.</w:t>
      </w:r>
    </w:p>
    <w:p>
      <w:pPr>
        <w:pStyle w:val="BodyText"/>
        <w:spacing w:before="0" w:after="0"/>
        <w:jc w:val="both"/>
        <w:rPr>
          <w:szCs w:val="22"/>
          <w:lang w:val="en-GB"/>
        </w:rPr>
      </w:pPr>
      <w:r>
        <w:rPr>
          <w:szCs w:val="22"/>
          <w:lang w:val="en-GB"/>
        </w:rPr>
        <w:t>TI = Total pass through Incident time for all Call Centre equipment including software.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If the Total Time of a month is 43200 (30*24*60) minutes and there are 5 Call Centre systems; TT will be 216000 (43200*5). </w:t>
      </w:r>
    </w:p>
    <w:p>
      <w:pPr>
        <w:pStyle w:val="BodyText"/>
        <w:spacing w:before="0" w:after="0"/>
        <w:jc w:val="both"/>
        <w:rPr>
          <w:szCs w:val="22"/>
          <w:lang w:val="en-GB"/>
        </w:rPr>
      </w:pPr>
      <w:r>
        <w:rPr>
          <w:szCs w:val="22"/>
          <w:lang w:val="en-GB"/>
        </w:rPr>
      </w:r>
    </w:p>
    <w:p>
      <w:pPr>
        <w:pStyle w:val="BodyText"/>
        <w:spacing w:before="0" w:after="0"/>
        <w:jc w:val="both"/>
        <w:rPr/>
      </w:pPr>
      <w:r>
        <w:rPr>
          <w:szCs w:val="22"/>
          <w:lang w:val="en-GB"/>
        </w:rPr>
        <w:t>If during that month System 1 had an Incident that lasted 65 minutes; System 2 had two Incidents of 5 minutes; System 3 had no Incidents; System 4 had an Incident that lasted 45 minutes and System 5 had no Incidents The TI will be 120 (65+5+5+45). The availability percentage will be (1-(120/216000)) = 99.94%.</w:t>
      </w:r>
    </w:p>
    <w:p>
      <w:pPr>
        <w:pStyle w:val="Heading2Numbered"/>
        <w:numPr>
          <w:ilvl w:val="1"/>
          <w:numId w:val="4"/>
        </w:numPr>
        <w:ind w:hanging="0" w:start="0"/>
        <w:jc w:val="both"/>
        <w:rPr>
          <w:rFonts w:ascii="Times New Roman" w:hAnsi="Times New Roman" w:cs="Times New Roman"/>
          <w:sz w:val="22"/>
          <w:szCs w:val="22"/>
          <w:lang w:val="en-GB"/>
        </w:rPr>
      </w:pPr>
      <w:bookmarkStart w:id="20" w:name="__RefHeading___Toc151896988"/>
      <w:bookmarkEnd w:id="20"/>
      <w:r>
        <w:rPr>
          <w:rFonts w:cs="Times New Roman" w:ascii="Times New Roman" w:hAnsi="Times New Roman"/>
          <w:sz w:val="22"/>
          <w:szCs w:val="22"/>
          <w:lang w:val="en-GB"/>
        </w:rPr>
        <w:t>Mobile Voice Service - Availability</w:t>
      </w:r>
    </w:p>
    <w:p>
      <w:pPr>
        <w:pStyle w:val="BodyText"/>
        <w:jc w:val="both"/>
        <w:rPr>
          <w:szCs w:val="22"/>
        </w:rPr>
      </w:pPr>
      <w:r>
        <w:rPr>
          <w:szCs w:val="22"/>
        </w:rPr>
        <w:t>Mobile Voice Service – Availability is considered as the availability of the Mobile Voice network</w:t>
      </w:r>
    </w:p>
    <w:p>
      <w:pPr>
        <w:pStyle w:val="BodyText"/>
        <w:jc w:val="both"/>
        <w:rPr/>
      </w:pPr>
      <w:r>
        <w:rPr>
          <w:szCs w:val="22"/>
          <w:lang w:val="en-GB"/>
        </w:rPr>
        <w:t>The formula used to calculate the realised level for this Critical Service Level is the average of the realised level described in the paragraph 5.3.1 below.</w:t>
      </w:r>
    </w:p>
    <w:p>
      <w:pPr>
        <w:pStyle w:val="BodyText"/>
        <w:jc w:val="both"/>
        <w:rPr/>
      </w:pPr>
      <w:r>
        <w:rPr>
          <w:szCs w:val="22"/>
        </w:rPr>
        <w:t>The percentage Mobile Voice Service availability is partly dependent on the relevant Third Party Vendor contract. Penalties for this Critical Service Level due to the Third Party Vendor do not apply to the PST Supplier if PST Supplier and EuroBank are not able to exercise the same penalty to the Third Party Vendor.</w:t>
      </w:r>
    </w:p>
    <w:p>
      <w:pPr>
        <w:pStyle w:val="Heading3Numbered"/>
        <w:numPr>
          <w:ilvl w:val="2"/>
          <w:numId w:val="4"/>
        </w:numPr>
        <w:ind w:hanging="0" w:start="0"/>
        <w:jc w:val="both"/>
        <w:rPr>
          <w:rFonts w:ascii="Times New Roman" w:hAnsi="Times New Roman" w:cs="Times New Roman"/>
          <w:sz w:val="22"/>
          <w:szCs w:val="22"/>
        </w:rPr>
      </w:pPr>
      <w:r>
        <w:rPr>
          <w:rFonts w:cs="Times New Roman" w:ascii="Times New Roman" w:hAnsi="Times New Roman"/>
          <w:sz w:val="22"/>
          <w:szCs w:val="22"/>
        </w:rPr>
        <w:t>Voice - Network availability</w:t>
      </w:r>
    </w:p>
    <w:p>
      <w:pPr>
        <w:pStyle w:val="BodyText"/>
        <w:jc w:val="both"/>
        <w:rPr>
          <w:szCs w:val="22"/>
        </w:rPr>
      </w:pPr>
      <w:r>
        <w:rPr>
          <w:szCs w:val="22"/>
        </w:rPr>
        <w:t>The Mobile Voice network availability is defined as the availability of the public mobile network.</w:t>
      </w:r>
    </w:p>
    <w:p>
      <w:pPr>
        <w:pStyle w:val="BodyText"/>
        <w:jc w:val="both"/>
        <w:rPr/>
      </w:pPr>
      <w:r>
        <w:rPr>
          <w:szCs w:val="22"/>
        </w:rPr>
        <w:t>The availability of Mobile Voice network will be measured as a percentage against a 24x7 measurement window. The availability percentage will be calculated through the sum of the pass through time for all registered Incidents concerning the Mobile Voice network equipment, held against all the Mobile Voice network equipment times the total time of that month. This results in the following formula:</w:t>
      </w:r>
    </w:p>
    <w:p>
      <w:pPr>
        <w:pStyle w:val="BodyText"/>
        <w:jc w:val="both"/>
        <w:rPr>
          <w:szCs w:val="22"/>
        </w:rPr>
      </w:pPr>
      <w:r>
        <w:rPr>
          <w:szCs w:val="22"/>
        </w:rPr>
        <w:t>1-(TI/TT)</w:t>
      </w:r>
    </w:p>
    <w:p>
      <w:pPr>
        <w:pStyle w:val="BodyText"/>
        <w:jc w:val="both"/>
        <w:rPr>
          <w:szCs w:val="22"/>
        </w:rPr>
      </w:pPr>
      <w:r>
        <w:rPr>
          <w:szCs w:val="22"/>
        </w:rPr>
        <w:t>Whereby:</w:t>
      </w:r>
    </w:p>
    <w:p>
      <w:pPr>
        <w:pStyle w:val="BodyText"/>
        <w:jc w:val="both"/>
        <w:rPr>
          <w:szCs w:val="22"/>
        </w:rPr>
      </w:pPr>
      <w:r>
        <w:rPr>
          <w:szCs w:val="22"/>
        </w:rPr>
        <w:t>TT = Total time of a month for all Mobile Voice network equipment.</w:t>
      </w:r>
    </w:p>
    <w:p>
      <w:pPr>
        <w:pStyle w:val="BodyText"/>
        <w:jc w:val="both"/>
        <w:rPr/>
      </w:pPr>
      <w:r>
        <w:rPr>
          <w:szCs w:val="22"/>
        </w:rPr>
        <w:t>TI = Total pass through Incident time of all Mobile Voice network equipment.</w:t>
      </w:r>
    </w:p>
    <w:p>
      <w:pPr>
        <w:pStyle w:val="BodyText"/>
        <w:jc w:val="both"/>
        <w:rPr>
          <w:szCs w:val="22"/>
        </w:rPr>
      </w:pPr>
      <w:r>
        <w:rPr>
          <w:szCs w:val="22"/>
        </w:rPr>
        <w:t xml:space="preserve">Example: </w:t>
      </w:r>
    </w:p>
    <w:p>
      <w:pPr>
        <w:pStyle w:val="BodyText"/>
        <w:jc w:val="both"/>
        <w:rPr>
          <w:szCs w:val="22"/>
        </w:rPr>
      </w:pPr>
      <w:r>
        <w:rPr>
          <w:szCs w:val="22"/>
        </w:rPr>
        <w:t xml:space="preserve">If the Total Time of a month is 43200 (30*24*60) minutes and there are 5 Mobile Voice network systems; TT will be 216000 (43200*5). </w:t>
      </w:r>
    </w:p>
    <w:p>
      <w:pPr>
        <w:pStyle w:val="BodyText"/>
        <w:jc w:val="both"/>
        <w:rPr/>
      </w:pPr>
      <w:r>
        <w:rPr>
          <w:szCs w:val="22"/>
        </w:rPr>
        <w:t>If during that month System 1 had an Incident that lasted 65 minutes; System 2 had two Incidents of 5 minutes; System 3 had no Incidents; System 4 had an Incident that lasted 45 minutes and System 5 had no Incidents The TI will be 120 (65+5+5+45). The availability percentage will be (1-(120/216000)) = 99.94%.</w:t>
      </w:r>
    </w:p>
    <w:p>
      <w:pPr>
        <w:pStyle w:val="BodyText"/>
        <w:jc w:val="both"/>
        <w:rPr>
          <w:szCs w:val="22"/>
        </w:rPr>
      </w:pPr>
      <w:r>
        <w:rPr>
          <w:szCs w:val="22"/>
        </w:rPr>
        <w:t>Reports will be provided twice per annum</w:t>
      </w:r>
    </w:p>
    <w:p>
      <w:pPr>
        <w:pStyle w:val="Heading1Numbered"/>
        <w:numPr>
          <w:ilvl w:val="0"/>
          <w:numId w:val="4"/>
        </w:numPr>
        <w:ind w:hanging="0" w:start="0"/>
        <w:jc w:val="both"/>
        <w:outlineLvl w:val="0"/>
        <w:rPr>
          <w:rFonts w:ascii="Times New Roman" w:hAnsi="Times New Roman" w:cs="Times New Roman"/>
          <w:sz w:val="22"/>
          <w:szCs w:val="22"/>
          <w:lang w:val="en-GB"/>
        </w:rPr>
      </w:pPr>
      <w:bookmarkStart w:id="21" w:name="__RefHeading___Toc151896989"/>
      <w:bookmarkEnd w:id="21"/>
      <w:r>
        <w:rPr>
          <w:rFonts w:cs="Times New Roman" w:ascii="Times New Roman" w:hAnsi="Times New Roman"/>
          <w:sz w:val="22"/>
          <w:szCs w:val="22"/>
          <w:lang w:val="en-GB"/>
        </w:rPr>
        <w:t>Service Desk Services Availability</w:t>
      </w:r>
    </w:p>
    <w:p>
      <w:pPr>
        <w:pStyle w:val="BodyText"/>
        <w:jc w:val="both"/>
        <w:rPr>
          <w:szCs w:val="22"/>
          <w:lang w:val="en-GB"/>
        </w:rPr>
      </w:pPr>
      <w:r>
        <w:rPr>
          <w:szCs w:val="22"/>
          <w:lang w:val="en-GB"/>
        </w:rPr>
        <w:t>The objective of the Service Desk Service is to provide a central point of contact for operational issues between the Customer and the Supply Organisation with regard to IT service delivery.</w:t>
      </w:r>
    </w:p>
    <w:p>
      <w:pPr>
        <w:pStyle w:val="Heading2Numbered"/>
        <w:numPr>
          <w:ilvl w:val="1"/>
          <w:numId w:val="4"/>
        </w:numPr>
        <w:ind w:hanging="0" w:start="0"/>
        <w:jc w:val="both"/>
        <w:rPr>
          <w:rFonts w:ascii="Times New Roman" w:hAnsi="Times New Roman" w:cs="Times New Roman"/>
          <w:sz w:val="22"/>
          <w:szCs w:val="22"/>
          <w:lang w:val="en-GB"/>
        </w:rPr>
      </w:pPr>
      <w:bookmarkStart w:id="22" w:name="__RefHeading___Toc151896990"/>
      <w:bookmarkEnd w:id="22"/>
      <w:r>
        <w:rPr>
          <w:rFonts w:cs="Times New Roman" w:ascii="Times New Roman" w:hAnsi="Times New Roman"/>
          <w:sz w:val="22"/>
          <w:szCs w:val="22"/>
          <w:lang w:val="en-GB"/>
        </w:rPr>
        <w:t>Base Service Desk Service – Availability</w:t>
      </w:r>
    </w:p>
    <w:p>
      <w:pPr>
        <w:pStyle w:val="BodyText"/>
        <w:jc w:val="both"/>
        <w:rPr/>
      </w:pPr>
      <w:r>
        <w:rPr>
          <w:szCs w:val="22"/>
          <w:lang w:val="en-GB"/>
        </w:rPr>
        <w:t>The Base Service Desk Service is there to take calls (by telephone, email, fax or Incident logging tool) with regard to enquiries, Incidents or requests and to provide mains to the end-user to contact the Service Desk.</w:t>
      </w:r>
    </w:p>
    <w:p>
      <w:pPr>
        <w:pStyle w:val="BodyText"/>
        <w:jc w:val="both"/>
        <w:rPr/>
      </w:pPr>
      <w:r>
        <w:rPr>
          <w:szCs w:val="22"/>
          <w:lang w:val="en-GB"/>
        </w:rPr>
        <w:t>The formula used to calculate the realised level for this Critical Service Level is the average of the realised level described in the paragraph 6.1.1 through 6.1.5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SM - Self Service Portal – Availability</w:t>
      </w:r>
    </w:p>
    <w:p>
      <w:pPr>
        <w:pStyle w:val="BodyText"/>
        <w:spacing w:before="0" w:after="0"/>
        <w:jc w:val="both"/>
        <w:rPr>
          <w:szCs w:val="22"/>
          <w:lang w:val="en-GB"/>
        </w:rPr>
      </w:pPr>
      <w:r>
        <w:rPr>
          <w:szCs w:val="22"/>
          <w:lang w:val="en-GB"/>
        </w:rPr>
        <w:t>For all in-scope servers, it applies to the service provided by these servers</w:t>
      </w:r>
    </w:p>
    <w:p>
      <w:pPr>
        <w:pStyle w:val="BodyText"/>
        <w:spacing w:before="0" w:after="0"/>
        <w:jc w:val="both"/>
        <w:rPr>
          <w:szCs w:val="22"/>
          <w:lang w:val="en-GB"/>
        </w:rPr>
      </w:pPr>
      <w:r>
        <w:rPr>
          <w:szCs w:val="22"/>
          <w:lang w:val="en-GB"/>
        </w:rPr>
      </w:r>
    </w:p>
    <w:p>
      <w:pPr>
        <w:pStyle w:val="BodyText"/>
        <w:spacing w:before="0" w:after="0"/>
        <w:jc w:val="both"/>
        <w:rPr/>
      </w:pPr>
      <w:r>
        <w:rPr>
          <w:szCs w:val="22"/>
          <w:lang w:val="en-GB"/>
        </w:rPr>
        <w:t>service availability is calculated as (1 - (B / A)) * 100%, where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A = service availability window in minutes</w:t>
      </w:r>
    </w:p>
    <w:p>
      <w:pPr>
        <w:pStyle w:val="BodyText"/>
        <w:spacing w:before="0" w:after="0"/>
        <w:jc w:val="both"/>
        <w:rPr>
          <w:szCs w:val="22"/>
          <w:lang w:val="en-GB"/>
        </w:rPr>
      </w:pPr>
      <w:r>
        <w:rPr>
          <w:szCs w:val="22"/>
          <w:lang w:val="en-GB"/>
        </w:rPr>
        <w:t>B = non-scheduled downtime within service window in minutes</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r>
    </w:p>
    <w:p>
      <w:pPr>
        <w:pStyle w:val="BodyText"/>
        <w:spacing w:before="0" w:after="0"/>
        <w:jc w:val="both"/>
        <w:rPr>
          <w:szCs w:val="22"/>
        </w:rPr>
      </w:pPr>
      <w:r>
        <w:rPr>
          <w:szCs w:val="22"/>
        </w:rPr>
        <w:t>Service Window</w:t>
      </w:r>
    </w:p>
    <w:p>
      <w:pPr>
        <w:pStyle w:val="BodyText"/>
        <w:spacing w:before="0" w:after="0"/>
        <w:jc w:val="both"/>
        <w:rPr>
          <w:szCs w:val="22"/>
        </w:rPr>
      </w:pPr>
      <w:r>
        <w:rPr>
          <w:szCs w:val="22"/>
        </w:rPr>
        <w:tab/>
        <w:t>06:00 - 22:00 (Monday to Friday) and 07:00 - 17:00 (Saturday)</w:t>
      </w:r>
    </w:p>
    <w:p>
      <w:pPr>
        <w:pStyle w:val="BodyText"/>
        <w:spacing w:before="0" w:after="0"/>
        <w:jc w:val="both"/>
        <w:rPr>
          <w:szCs w:val="22"/>
        </w:rPr>
      </w:pPr>
      <w:r>
        <w:rPr>
          <w:szCs w:val="22"/>
        </w:rPr>
        <w:tab/>
        <w:t>= (5 * (22-6)) + (17-7) = 90 hours per week = 5400 minutes per week</w:t>
      </w:r>
    </w:p>
    <w:p>
      <w:pPr>
        <w:pStyle w:val="BodyText"/>
        <w:spacing w:before="0" w:after="0"/>
        <w:jc w:val="both"/>
        <w:rPr>
          <w:szCs w:val="22"/>
        </w:rPr>
      </w:pPr>
      <w:r>
        <w:rPr>
          <w:szCs w:val="22"/>
        </w:rPr>
        <w:tab/>
        <w:t>For example August 2006 has 23 workdays, plus 4 Saturdays:</w:t>
      </w:r>
    </w:p>
    <w:p>
      <w:pPr>
        <w:pStyle w:val="BodyText"/>
        <w:spacing w:before="0" w:after="0"/>
        <w:jc w:val="both"/>
        <w:rPr>
          <w:szCs w:val="22"/>
        </w:rPr>
      </w:pPr>
      <w:r>
        <w:rPr>
          <w:szCs w:val="22"/>
        </w:rPr>
        <w:tab/>
        <w:t>23 (weekdays) * ( 22 - 6 ) = 368 hours</w:t>
      </w:r>
    </w:p>
    <w:p>
      <w:pPr>
        <w:pStyle w:val="BodyText"/>
        <w:spacing w:before="0" w:after="0"/>
        <w:jc w:val="both"/>
        <w:rPr>
          <w:szCs w:val="22"/>
        </w:rPr>
      </w:pPr>
      <w:r>
        <w:rPr>
          <w:szCs w:val="22"/>
        </w:rPr>
        <w:tab/>
        <w:t>4 (Saturdays) * (17 - 7 ) = 40 hours</w:t>
      </w:r>
    </w:p>
    <w:p>
      <w:pPr>
        <w:pStyle w:val="BodyText"/>
        <w:spacing w:before="0" w:after="0"/>
        <w:jc w:val="both"/>
        <w:rPr>
          <w:szCs w:val="22"/>
        </w:rPr>
      </w:pPr>
      <w:r>
        <w:rPr>
          <w:szCs w:val="22"/>
        </w:rPr>
        <w:tab/>
        <w:t xml:space="preserve">total 408 hours * 60 (minutes per hour)  = </w:t>
      </w:r>
    </w:p>
    <w:p>
      <w:pPr>
        <w:pStyle w:val="BodyText"/>
        <w:spacing w:before="0" w:after="0"/>
        <w:jc w:val="both"/>
        <w:rPr>
          <w:szCs w:val="22"/>
        </w:rPr>
      </w:pPr>
      <w:r>
        <w:rPr>
          <w:szCs w:val="22"/>
        </w:rPr>
        <w:tab/>
        <w:t>24.480 minutes Service Window = A</w:t>
      </w:r>
    </w:p>
    <w:p>
      <w:pPr>
        <w:pStyle w:val="BodyText"/>
        <w:spacing w:before="0" w:after="0"/>
        <w:jc w:val="both"/>
        <w:rPr>
          <w:szCs w:val="22"/>
        </w:rPr>
      </w:pPr>
      <w:r>
        <w:rPr>
          <w:szCs w:val="22"/>
        </w:rPr>
      </w:r>
    </w:p>
    <w:p>
      <w:pPr>
        <w:pStyle w:val="BodyText"/>
        <w:spacing w:before="0" w:after="0"/>
        <w:jc w:val="both"/>
        <w:rPr>
          <w:szCs w:val="22"/>
        </w:rPr>
      </w:pPr>
      <w:r>
        <w:rPr>
          <w:szCs w:val="22"/>
        </w:rPr>
        <w:t>Non Scheduled Downtime</w:t>
      </w:r>
    </w:p>
    <w:p>
      <w:pPr>
        <w:pStyle w:val="BodyText"/>
        <w:spacing w:before="0" w:after="0"/>
        <w:jc w:val="both"/>
        <w:rPr>
          <w:szCs w:val="22"/>
        </w:rPr>
      </w:pPr>
      <w:r>
        <w:rPr>
          <w:szCs w:val="22"/>
        </w:rPr>
        <w:tab/>
        <w:t>Example downtime: 5 minutes = B</w:t>
      </w:r>
    </w:p>
    <w:p>
      <w:pPr>
        <w:pStyle w:val="BodyText"/>
        <w:spacing w:before="0" w:after="0"/>
        <w:jc w:val="both"/>
        <w:rPr>
          <w:szCs w:val="22"/>
        </w:rPr>
      </w:pPr>
      <w:r>
        <w:rPr>
          <w:szCs w:val="22"/>
        </w:rPr>
      </w:r>
    </w:p>
    <w:p>
      <w:pPr>
        <w:pStyle w:val="BodyText"/>
        <w:spacing w:before="0" w:after="0"/>
        <w:jc w:val="both"/>
        <w:rPr>
          <w:szCs w:val="22"/>
        </w:rPr>
      </w:pPr>
      <w:r>
        <w:rPr>
          <w:szCs w:val="22"/>
        </w:rPr>
        <w:t>Result:</w:t>
      </w:r>
    </w:p>
    <w:p>
      <w:pPr>
        <w:pStyle w:val="BodyText"/>
        <w:spacing w:before="0" w:after="0"/>
        <w:jc w:val="both"/>
        <w:rPr>
          <w:szCs w:val="22"/>
        </w:rPr>
      </w:pPr>
      <w:r>
        <w:rPr>
          <w:szCs w:val="22"/>
        </w:rPr>
        <w:tab/>
        <w:t>(100% - (5 / 24480)) * 100% = 0,999795752 = 99.98%</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SD - Speed to answer voice calls &lt; 45 sec after IVR (all levels)</w:t>
      </w:r>
    </w:p>
    <w:p>
      <w:pPr>
        <w:pStyle w:val="BodyText"/>
        <w:jc w:val="both"/>
        <w:rPr/>
      </w:pPr>
      <w:r>
        <w:rPr>
          <w:szCs w:val="22"/>
          <w:lang w:val="en-GB"/>
        </w:rPr>
        <w:t>Speed to answer is calculated as (B / A) * 100%, where</w:t>
      </w:r>
    </w:p>
    <w:p>
      <w:pPr>
        <w:pStyle w:val="BodyText"/>
        <w:jc w:val="both"/>
        <w:rPr>
          <w:szCs w:val="22"/>
          <w:lang w:val="en-GB"/>
        </w:rPr>
      </w:pPr>
      <w:r>
        <w:rPr>
          <w:szCs w:val="22"/>
          <w:lang w:val="en-GB"/>
        </w:rPr>
        <w:t>A = the number of calls to the Service Desk from the End Users that leave the IVR (or any other automated resolution process) during the Measurement Window and that are not abandoned and,</w:t>
      </w:r>
    </w:p>
    <w:p>
      <w:pPr>
        <w:pStyle w:val="BodyText"/>
        <w:jc w:val="both"/>
        <w:rPr>
          <w:szCs w:val="22"/>
          <w:lang w:val="en-GB"/>
        </w:rPr>
      </w:pPr>
      <w:r>
        <w:rPr>
          <w:szCs w:val="22"/>
          <w:lang w:val="en-GB"/>
        </w:rPr>
        <w:t>B = the number of calls that fall within “A”  that are answered within 45 seconds (measured from the time the call leaves the IVR or such process) by a live person.</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50.000 calls in one  month</w:t>
      </w:r>
    </w:p>
    <w:p>
      <w:pPr>
        <w:pStyle w:val="BodyText"/>
        <w:jc w:val="both"/>
        <w:rPr/>
      </w:pPr>
      <w:r>
        <w:rPr>
          <w:szCs w:val="22"/>
          <w:lang w:val="en-GB"/>
        </w:rPr>
        <w:t>B = 45.000 answered within 45 sec</w:t>
      </w:r>
    </w:p>
    <w:p>
      <w:pPr>
        <w:pStyle w:val="BodyText"/>
        <w:jc w:val="both"/>
        <w:rPr>
          <w:szCs w:val="22"/>
          <w:lang w:val="en-GB"/>
        </w:rPr>
      </w:pPr>
      <w:r>
        <w:rPr>
          <w:szCs w:val="22"/>
          <w:lang w:val="en-GB"/>
        </w:rPr>
        <w:t>Speed to answer  = (45000/50000)*100% = 90%</w:t>
      </w:r>
    </w:p>
    <w:p>
      <w:pPr>
        <w:pStyle w:val="BodyText"/>
        <w:jc w:val="both"/>
        <w:rPr>
          <w:szCs w:val="22"/>
          <w:lang w:val="en-GB"/>
        </w:rPr>
      </w:pPr>
      <w:r>
        <w:rPr>
          <w:szCs w:val="22"/>
          <w:lang w:val="en-GB"/>
        </w:rPr>
        <w:t>Calls made to each of the Service Desk telephone numbers provided will be measured using telephony data recorded by the ACD.</w:t>
      </w:r>
    </w:p>
    <w:p>
      <w:pPr>
        <w:pStyle w:val="BodyText"/>
        <w:jc w:val="both"/>
        <w:rPr>
          <w:szCs w:val="22"/>
          <w:lang w:val="en-GB"/>
        </w:rPr>
      </w:pPr>
      <w:r>
        <w:rPr>
          <w:szCs w:val="22"/>
          <w:lang w:val="en-GB"/>
        </w:rPr>
        <w:t>The number of all the levels of the IVR should not exceed 3 levels excluding EuroBank requested announcements.</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SD - Call non-abandonment rate</w:t>
      </w:r>
    </w:p>
    <w:p>
      <w:pPr>
        <w:pStyle w:val="BodyText"/>
        <w:jc w:val="both"/>
        <w:rPr/>
      </w:pPr>
      <w:r>
        <w:rPr>
          <w:szCs w:val="22"/>
          <w:lang w:val="en-GB"/>
        </w:rPr>
        <w:t>Call non-abandonment is calculated as (1 - (B / A) * 100%where</w:t>
      </w:r>
    </w:p>
    <w:p>
      <w:pPr>
        <w:pStyle w:val="BodyText"/>
        <w:jc w:val="both"/>
        <w:rPr/>
      </w:pPr>
      <w:r>
        <w:rPr>
          <w:szCs w:val="22"/>
          <w:lang w:val="en-GB"/>
        </w:rPr>
        <w:t>A = the number of calls to the Service Desk from the End Users that leave the IVR (or any other automated resolution process) to talk to a live person during the Measurement Window and that are not abandoned within 15 seconds and,</w:t>
      </w:r>
    </w:p>
    <w:p>
      <w:pPr>
        <w:pStyle w:val="BodyText"/>
        <w:jc w:val="both"/>
        <w:rPr/>
      </w:pPr>
      <w:r>
        <w:rPr>
          <w:szCs w:val="22"/>
          <w:lang w:val="en-GB"/>
        </w:rPr>
        <w:t xml:space="preserve">B = the number of calls that fall within “A” that are abandoned before a live person can answer the call </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50.000 calls in one  month</w:t>
      </w:r>
    </w:p>
    <w:p>
      <w:pPr>
        <w:pStyle w:val="BodyText"/>
        <w:jc w:val="both"/>
        <w:rPr>
          <w:szCs w:val="22"/>
          <w:lang w:val="en-GB"/>
        </w:rPr>
      </w:pPr>
      <w:r>
        <w:rPr>
          <w:szCs w:val="22"/>
          <w:lang w:val="en-GB"/>
        </w:rPr>
        <w:t>B = 5000  calls abandoned</w:t>
      </w:r>
    </w:p>
    <w:p>
      <w:pPr>
        <w:pStyle w:val="BodyText"/>
        <w:jc w:val="both"/>
        <w:rPr>
          <w:szCs w:val="22"/>
          <w:lang w:val="en-GB"/>
        </w:rPr>
      </w:pPr>
      <w:r>
        <w:rPr>
          <w:szCs w:val="22"/>
          <w:lang w:val="en-GB"/>
        </w:rPr>
        <w:t>Call non-abandonment = (1 - (5000 / 50000) * 100% =  90%</w:t>
      </w:r>
    </w:p>
    <w:p>
      <w:pPr>
        <w:pStyle w:val="BodyText"/>
        <w:jc w:val="both"/>
        <w:rPr>
          <w:szCs w:val="22"/>
          <w:lang w:val="en-GB"/>
        </w:rPr>
      </w:pPr>
      <w:r>
        <w:rPr>
          <w:szCs w:val="22"/>
          <w:lang w:val="en-GB"/>
        </w:rPr>
        <w:t>Calls made to each of the Service Desk telephone numbers provided will be measured using telephony data recorded by the ACD.</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SD - Service desk - voice availability</w:t>
      </w:r>
    </w:p>
    <w:p>
      <w:pPr>
        <w:pStyle w:val="BodyText"/>
        <w:spacing w:before="0" w:after="0"/>
        <w:jc w:val="both"/>
        <w:rPr/>
      </w:pPr>
      <w:r>
        <w:rPr>
          <w:szCs w:val="22"/>
          <w:lang w:val="en-GB"/>
        </w:rPr>
        <w:t>Service Desk Voice Availability is calculated as (1 - (B / A)) * 100%, where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A = service availability window in minutes </w:t>
      </w:r>
    </w:p>
    <w:p>
      <w:pPr>
        <w:pStyle w:val="BodyText"/>
        <w:spacing w:before="0" w:after="0"/>
        <w:jc w:val="both"/>
        <w:rPr>
          <w:szCs w:val="22"/>
          <w:lang w:val="en-GB"/>
        </w:rPr>
      </w:pPr>
      <w:r>
        <w:rPr>
          <w:szCs w:val="22"/>
          <w:lang w:val="en-GB"/>
        </w:rPr>
        <w:t>B = non-scheduled downtime within service window in minutes</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r>
    </w:p>
    <w:p>
      <w:pPr>
        <w:pStyle w:val="BodyText"/>
        <w:spacing w:before="0" w:after="0"/>
        <w:jc w:val="both"/>
        <w:rPr>
          <w:szCs w:val="22"/>
        </w:rPr>
      </w:pPr>
      <w:r>
        <w:rPr>
          <w:szCs w:val="22"/>
        </w:rPr>
        <w:t>Service Window</w:t>
      </w:r>
    </w:p>
    <w:p>
      <w:pPr>
        <w:pStyle w:val="BodyText"/>
        <w:spacing w:before="0" w:after="0"/>
        <w:jc w:val="both"/>
        <w:rPr>
          <w:szCs w:val="22"/>
        </w:rPr>
      </w:pPr>
      <w:r>
        <w:rPr>
          <w:szCs w:val="22"/>
        </w:rPr>
        <w:tab/>
        <w:t>06:00 - 22:00 (Monday to Friday) and 07:00 - 17:00 (Saturday)</w:t>
      </w:r>
    </w:p>
    <w:p>
      <w:pPr>
        <w:pStyle w:val="BodyText"/>
        <w:spacing w:before="0" w:after="0"/>
        <w:jc w:val="both"/>
        <w:rPr>
          <w:szCs w:val="22"/>
        </w:rPr>
      </w:pPr>
      <w:r>
        <w:rPr>
          <w:szCs w:val="22"/>
        </w:rPr>
        <w:tab/>
        <w:t>= (5 * (22-6)) + (17-7) = 90 hours per week = 5400 minutes per week</w:t>
      </w:r>
    </w:p>
    <w:p>
      <w:pPr>
        <w:pStyle w:val="BodyText"/>
        <w:spacing w:before="0" w:after="0"/>
        <w:jc w:val="both"/>
        <w:rPr>
          <w:szCs w:val="22"/>
        </w:rPr>
      </w:pPr>
      <w:r>
        <w:rPr>
          <w:szCs w:val="22"/>
        </w:rPr>
        <w:tab/>
        <w:t>For example August 2006 has 23 workdays, plus 4 Saturdays:</w:t>
      </w:r>
    </w:p>
    <w:p>
      <w:pPr>
        <w:pStyle w:val="BodyText"/>
        <w:spacing w:before="0" w:after="0"/>
        <w:jc w:val="both"/>
        <w:rPr>
          <w:szCs w:val="22"/>
        </w:rPr>
      </w:pPr>
      <w:r>
        <w:rPr>
          <w:szCs w:val="22"/>
        </w:rPr>
        <w:tab/>
        <w:t>23 (weekdays) * ( 22 - 6 ) = 368 hours</w:t>
      </w:r>
    </w:p>
    <w:p>
      <w:pPr>
        <w:pStyle w:val="BodyText"/>
        <w:spacing w:before="0" w:after="0"/>
        <w:jc w:val="both"/>
        <w:rPr>
          <w:szCs w:val="22"/>
        </w:rPr>
      </w:pPr>
      <w:r>
        <w:rPr>
          <w:szCs w:val="22"/>
        </w:rPr>
        <w:tab/>
        <w:t>4 (Saturdays) * (17 - 7 ) = 40 hours</w:t>
      </w:r>
    </w:p>
    <w:p>
      <w:pPr>
        <w:pStyle w:val="BodyText"/>
        <w:spacing w:before="0" w:after="0"/>
        <w:jc w:val="both"/>
        <w:rPr>
          <w:szCs w:val="22"/>
        </w:rPr>
      </w:pPr>
      <w:r>
        <w:rPr>
          <w:szCs w:val="22"/>
        </w:rPr>
        <w:tab/>
        <w:t xml:space="preserve">total 408 hours * 60 (minutes per hour)  = </w:t>
      </w:r>
    </w:p>
    <w:p>
      <w:pPr>
        <w:pStyle w:val="BodyText"/>
        <w:spacing w:before="0" w:after="0"/>
        <w:jc w:val="both"/>
        <w:rPr>
          <w:szCs w:val="22"/>
        </w:rPr>
      </w:pPr>
      <w:r>
        <w:rPr>
          <w:szCs w:val="22"/>
        </w:rPr>
        <w:tab/>
        <w:t>24.480 minutes Service Window = A</w:t>
      </w:r>
    </w:p>
    <w:p>
      <w:pPr>
        <w:pStyle w:val="BodyText"/>
        <w:spacing w:before="0" w:after="0"/>
        <w:jc w:val="both"/>
        <w:rPr>
          <w:szCs w:val="22"/>
        </w:rPr>
      </w:pPr>
      <w:r>
        <w:rPr>
          <w:szCs w:val="22"/>
        </w:rPr>
      </w:r>
    </w:p>
    <w:p>
      <w:pPr>
        <w:pStyle w:val="BodyText"/>
        <w:spacing w:before="0" w:after="0"/>
        <w:jc w:val="both"/>
        <w:rPr>
          <w:szCs w:val="22"/>
        </w:rPr>
      </w:pPr>
      <w:r>
        <w:rPr>
          <w:szCs w:val="22"/>
        </w:rPr>
        <w:t>Non Scheduled Downtime</w:t>
      </w:r>
    </w:p>
    <w:p>
      <w:pPr>
        <w:pStyle w:val="BodyText"/>
        <w:spacing w:before="0" w:after="0"/>
        <w:jc w:val="both"/>
        <w:rPr>
          <w:szCs w:val="22"/>
        </w:rPr>
      </w:pPr>
      <w:r>
        <w:rPr>
          <w:szCs w:val="22"/>
        </w:rPr>
        <w:tab/>
        <w:t>Example downtime: 5 minutes = B</w:t>
      </w:r>
    </w:p>
    <w:p>
      <w:pPr>
        <w:pStyle w:val="BodyText"/>
        <w:spacing w:before="0" w:after="0"/>
        <w:jc w:val="both"/>
        <w:rPr>
          <w:szCs w:val="22"/>
        </w:rPr>
      </w:pPr>
      <w:r>
        <w:rPr>
          <w:szCs w:val="22"/>
        </w:rPr>
      </w:r>
    </w:p>
    <w:p>
      <w:pPr>
        <w:pStyle w:val="BodyText"/>
        <w:spacing w:before="0" w:after="0"/>
        <w:jc w:val="both"/>
        <w:rPr>
          <w:szCs w:val="22"/>
        </w:rPr>
      </w:pPr>
      <w:r>
        <w:rPr>
          <w:szCs w:val="22"/>
        </w:rPr>
        <w:t>Result:</w:t>
      </w:r>
    </w:p>
    <w:p>
      <w:pPr>
        <w:pStyle w:val="BodyText"/>
        <w:spacing w:before="0" w:after="0"/>
        <w:jc w:val="both"/>
        <w:rPr>
          <w:szCs w:val="22"/>
          <w:lang w:val="en-GB"/>
        </w:rPr>
      </w:pPr>
      <w:r>
        <w:rPr>
          <w:szCs w:val="22"/>
        </w:rPr>
        <w:tab/>
        <w:t>(100% - (5 / 24480)) * 100% = 0,999795752 = 99.98%</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SD - Service desk - call logging, tracking, etc portal availability</w:t>
      </w:r>
    </w:p>
    <w:p>
      <w:pPr>
        <w:pStyle w:val="BodyText"/>
        <w:spacing w:before="0" w:after="0"/>
        <w:jc w:val="both"/>
        <w:rPr>
          <w:szCs w:val="22"/>
          <w:lang w:val="en-GB"/>
        </w:rPr>
      </w:pPr>
      <w:r>
        <w:rPr>
          <w:szCs w:val="22"/>
          <w:lang w:val="en-GB"/>
        </w:rPr>
        <w:t xml:space="preserve">For all Service Desk Services on the Self Service Portal (e.g. call logging, tracking, etc) available, </w:t>
      </w:r>
    </w:p>
    <w:p>
      <w:pPr>
        <w:pStyle w:val="BodyText"/>
        <w:spacing w:before="0" w:after="0"/>
        <w:jc w:val="both"/>
        <w:rPr>
          <w:szCs w:val="22"/>
          <w:lang w:val="en-GB"/>
        </w:rPr>
      </w:pPr>
      <w:r>
        <w:rPr>
          <w:szCs w:val="22"/>
          <w:lang w:val="en-GB"/>
        </w:rPr>
      </w:r>
    </w:p>
    <w:p>
      <w:pPr>
        <w:pStyle w:val="BodyText"/>
        <w:spacing w:before="0" w:after="0"/>
        <w:jc w:val="both"/>
        <w:rPr/>
      </w:pPr>
      <w:r>
        <w:rPr>
          <w:szCs w:val="22"/>
          <w:lang w:val="en-GB"/>
        </w:rPr>
        <w:t>Service Desk Portal Availability is calculated as (1 - (B / A)) * 100%, where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A = service availability window in minutes</w:t>
      </w:r>
    </w:p>
    <w:p>
      <w:pPr>
        <w:pStyle w:val="BodyText"/>
        <w:spacing w:before="0" w:after="0"/>
        <w:jc w:val="both"/>
        <w:rPr>
          <w:szCs w:val="22"/>
          <w:lang w:val="en-GB"/>
        </w:rPr>
      </w:pPr>
      <w:r>
        <w:rPr>
          <w:szCs w:val="22"/>
          <w:lang w:val="en-GB"/>
        </w:rPr>
        <w:t>B = non-scheduled downtime within service window in minutes</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 xml:space="preserve">Example: </w:t>
      </w:r>
    </w:p>
    <w:p>
      <w:pPr>
        <w:pStyle w:val="BodyText"/>
        <w:spacing w:before="0" w:after="0"/>
        <w:jc w:val="both"/>
        <w:rPr>
          <w:szCs w:val="22"/>
          <w:lang w:val="en-GB"/>
        </w:rPr>
      </w:pPr>
      <w:r>
        <w:rPr>
          <w:szCs w:val="22"/>
          <w:lang w:val="en-GB"/>
        </w:rPr>
      </w:r>
    </w:p>
    <w:p>
      <w:pPr>
        <w:pStyle w:val="BodyText"/>
        <w:spacing w:before="0" w:after="0"/>
        <w:jc w:val="both"/>
        <w:rPr>
          <w:szCs w:val="22"/>
        </w:rPr>
      </w:pPr>
      <w:r>
        <w:rPr>
          <w:szCs w:val="22"/>
        </w:rPr>
        <w:t>Service Window</w:t>
      </w:r>
    </w:p>
    <w:p>
      <w:pPr>
        <w:pStyle w:val="BodyText"/>
        <w:spacing w:before="0" w:after="0"/>
        <w:jc w:val="both"/>
        <w:rPr>
          <w:szCs w:val="22"/>
        </w:rPr>
      </w:pPr>
      <w:r>
        <w:rPr>
          <w:szCs w:val="22"/>
        </w:rPr>
        <w:tab/>
        <w:t>06:00 - 22:00 (Monday to Friday) and 07:00 - 17:00 (Saturday)</w:t>
      </w:r>
    </w:p>
    <w:p>
      <w:pPr>
        <w:pStyle w:val="BodyText"/>
        <w:spacing w:before="0" w:after="0"/>
        <w:jc w:val="both"/>
        <w:rPr>
          <w:szCs w:val="22"/>
        </w:rPr>
      </w:pPr>
      <w:r>
        <w:rPr>
          <w:szCs w:val="22"/>
        </w:rPr>
        <w:tab/>
        <w:t>= (5 * (22-6)) + (17-7) = 90 hours per week = 5400 minutes per week</w:t>
      </w:r>
    </w:p>
    <w:p>
      <w:pPr>
        <w:pStyle w:val="BodyText"/>
        <w:spacing w:before="0" w:after="0"/>
        <w:jc w:val="both"/>
        <w:rPr>
          <w:szCs w:val="22"/>
        </w:rPr>
      </w:pPr>
      <w:r>
        <w:rPr>
          <w:szCs w:val="22"/>
        </w:rPr>
        <w:tab/>
        <w:t>For example August 2006 has 23 workdays, plus 4 Saturdays:</w:t>
      </w:r>
    </w:p>
    <w:p>
      <w:pPr>
        <w:pStyle w:val="BodyText"/>
        <w:spacing w:before="0" w:after="0"/>
        <w:jc w:val="both"/>
        <w:rPr>
          <w:szCs w:val="22"/>
        </w:rPr>
      </w:pPr>
      <w:r>
        <w:rPr>
          <w:szCs w:val="22"/>
        </w:rPr>
        <w:tab/>
        <w:t>23 (weekdays) * ( 22 - 6 ) = 368 hours</w:t>
      </w:r>
    </w:p>
    <w:p>
      <w:pPr>
        <w:pStyle w:val="BodyText"/>
        <w:spacing w:before="0" w:after="0"/>
        <w:jc w:val="both"/>
        <w:rPr>
          <w:szCs w:val="22"/>
        </w:rPr>
      </w:pPr>
      <w:r>
        <w:rPr>
          <w:szCs w:val="22"/>
        </w:rPr>
        <w:tab/>
        <w:t>4 (Saturdays) * (17 - 7 ) = 40 hours</w:t>
      </w:r>
    </w:p>
    <w:p>
      <w:pPr>
        <w:pStyle w:val="BodyText"/>
        <w:spacing w:before="0" w:after="0"/>
        <w:jc w:val="both"/>
        <w:rPr>
          <w:szCs w:val="22"/>
        </w:rPr>
      </w:pPr>
      <w:r>
        <w:rPr>
          <w:szCs w:val="22"/>
        </w:rPr>
        <w:tab/>
        <w:t xml:space="preserve">total 408 hours * 60 (minutes per hour)  = </w:t>
      </w:r>
    </w:p>
    <w:p>
      <w:pPr>
        <w:pStyle w:val="BodyText"/>
        <w:spacing w:before="0" w:after="0"/>
        <w:jc w:val="both"/>
        <w:rPr>
          <w:szCs w:val="22"/>
        </w:rPr>
      </w:pPr>
      <w:r>
        <w:rPr>
          <w:szCs w:val="22"/>
        </w:rPr>
        <w:tab/>
        <w:t>24.480 minutes Service Window = A</w:t>
      </w:r>
    </w:p>
    <w:p>
      <w:pPr>
        <w:pStyle w:val="BodyText"/>
        <w:spacing w:before="0" w:after="0"/>
        <w:jc w:val="both"/>
        <w:rPr>
          <w:szCs w:val="22"/>
        </w:rPr>
      </w:pPr>
      <w:r>
        <w:rPr>
          <w:szCs w:val="22"/>
        </w:rPr>
      </w:r>
    </w:p>
    <w:p>
      <w:pPr>
        <w:pStyle w:val="BodyText"/>
        <w:spacing w:before="0" w:after="0"/>
        <w:jc w:val="both"/>
        <w:rPr>
          <w:szCs w:val="22"/>
        </w:rPr>
      </w:pPr>
      <w:r>
        <w:rPr>
          <w:szCs w:val="22"/>
        </w:rPr>
        <w:t>Non Scheduled Downtime</w:t>
      </w:r>
    </w:p>
    <w:p>
      <w:pPr>
        <w:pStyle w:val="BodyText"/>
        <w:spacing w:before="0" w:after="0"/>
        <w:jc w:val="both"/>
        <w:rPr>
          <w:szCs w:val="22"/>
        </w:rPr>
      </w:pPr>
      <w:r>
        <w:rPr>
          <w:szCs w:val="22"/>
        </w:rPr>
        <w:tab/>
        <w:t>Example downtime: 5 minutes = B</w:t>
      </w:r>
    </w:p>
    <w:p>
      <w:pPr>
        <w:pStyle w:val="BodyText"/>
        <w:spacing w:before="0" w:after="0"/>
        <w:jc w:val="both"/>
        <w:rPr>
          <w:szCs w:val="22"/>
        </w:rPr>
      </w:pPr>
      <w:r>
        <w:rPr>
          <w:szCs w:val="22"/>
        </w:rPr>
      </w:r>
    </w:p>
    <w:p>
      <w:pPr>
        <w:pStyle w:val="BodyText"/>
        <w:spacing w:before="0" w:after="0"/>
        <w:jc w:val="both"/>
        <w:rPr>
          <w:szCs w:val="22"/>
        </w:rPr>
      </w:pPr>
      <w:r>
        <w:rPr>
          <w:szCs w:val="22"/>
        </w:rPr>
        <w:t>Result:</w:t>
      </w:r>
    </w:p>
    <w:p>
      <w:pPr>
        <w:pStyle w:val="BodyText"/>
        <w:spacing w:before="0" w:after="0"/>
        <w:jc w:val="both"/>
        <w:rPr>
          <w:szCs w:val="22"/>
          <w:lang w:val="en-GB"/>
        </w:rPr>
      </w:pPr>
      <w:r>
        <w:rPr>
          <w:szCs w:val="22"/>
        </w:rPr>
        <w:tab/>
        <w:t>(100% - (5 / 24480)) * 100% = 0,999795752 = 99.98%</w:t>
      </w:r>
    </w:p>
    <w:p>
      <w:pPr>
        <w:pStyle w:val="Heading1Numbered"/>
        <w:numPr>
          <w:ilvl w:val="0"/>
          <w:numId w:val="4"/>
        </w:numPr>
        <w:ind w:hanging="0" w:start="0"/>
        <w:jc w:val="both"/>
        <w:outlineLvl w:val="0"/>
        <w:rPr>
          <w:rFonts w:ascii="Times New Roman" w:hAnsi="Times New Roman" w:cs="Times New Roman"/>
          <w:sz w:val="22"/>
          <w:szCs w:val="22"/>
          <w:lang w:val="en-GB"/>
        </w:rPr>
      </w:pPr>
      <w:bookmarkStart w:id="23" w:name="__RefHeading___Toc151896991"/>
      <w:bookmarkEnd w:id="23"/>
      <w:r>
        <w:rPr>
          <w:rFonts w:cs="Times New Roman" w:ascii="Times New Roman" w:hAnsi="Times New Roman"/>
          <w:sz w:val="22"/>
          <w:szCs w:val="22"/>
          <w:lang w:val="en-GB"/>
        </w:rPr>
        <w:t>Base Service Desk Services Performance</w:t>
      </w:r>
    </w:p>
    <w:p>
      <w:pPr>
        <w:pStyle w:val="Heading2Numbered"/>
        <w:numPr>
          <w:ilvl w:val="1"/>
          <w:numId w:val="4"/>
        </w:numPr>
        <w:ind w:hanging="0" w:start="0"/>
        <w:jc w:val="both"/>
        <w:rPr>
          <w:rFonts w:ascii="Times New Roman" w:hAnsi="Times New Roman" w:cs="Times New Roman"/>
          <w:sz w:val="22"/>
          <w:szCs w:val="22"/>
          <w:lang w:val="en-GB"/>
        </w:rPr>
      </w:pPr>
      <w:bookmarkStart w:id="24" w:name="__RefHeading___Toc151896992"/>
      <w:bookmarkEnd w:id="24"/>
      <w:r>
        <w:rPr>
          <w:rFonts w:cs="Times New Roman" w:ascii="Times New Roman" w:hAnsi="Times New Roman"/>
          <w:sz w:val="22"/>
          <w:szCs w:val="22"/>
          <w:lang w:val="en-GB"/>
        </w:rPr>
        <w:t>Base Service Desk Services – Performance</w:t>
      </w:r>
    </w:p>
    <w:p>
      <w:pPr>
        <w:pStyle w:val="BodyText"/>
        <w:spacing w:before="0" w:after="0"/>
        <w:jc w:val="both"/>
        <w:rPr>
          <w:szCs w:val="22"/>
          <w:lang w:val="en-GB"/>
        </w:rPr>
      </w:pPr>
      <w:r>
        <w:rPr>
          <w:szCs w:val="22"/>
          <w:lang w:val="en-GB"/>
        </w:rPr>
        <w:t xml:space="preserve">To honour the setup of the service desk, the formula for this item is different. The best a service desk can do, is solve the Incident during first contact, or (when it cannot resolve the Incident) assign it (first time right) to the correct second line Solver Group. </w:t>
      </w:r>
    </w:p>
    <w:p>
      <w:pPr>
        <w:pStyle w:val="BodyText"/>
        <w:spacing w:before="0" w:after="0"/>
        <w:jc w:val="both"/>
        <w:rPr>
          <w:szCs w:val="22"/>
          <w:lang w:val="en-GB"/>
        </w:rPr>
      </w:pPr>
      <w:r>
        <w:rPr>
          <w:szCs w:val="22"/>
          <w:lang w:val="en-GB"/>
        </w:rPr>
      </w:r>
    </w:p>
    <w:p>
      <w:pPr>
        <w:pStyle w:val="BodyText"/>
        <w:spacing w:before="0" w:after="0"/>
        <w:jc w:val="both"/>
        <w:rPr/>
      </w:pPr>
      <w:r>
        <w:rPr>
          <w:szCs w:val="22"/>
          <w:lang w:val="en-GB"/>
        </w:rPr>
        <w:t>The 1</w:t>
      </w:r>
      <w:r>
        <w:rPr>
          <w:szCs w:val="22"/>
          <w:vertAlign w:val="superscript"/>
          <w:lang w:val="en-GB"/>
        </w:rPr>
        <w:t>st</w:t>
      </w:r>
      <w:r>
        <w:rPr>
          <w:szCs w:val="22"/>
          <w:lang w:val="en-GB"/>
        </w:rPr>
        <w:t xml:space="preserve"> part lists the performance with high priority notifications.</w:t>
      </w:r>
    </w:p>
    <w:p>
      <w:pPr>
        <w:pStyle w:val="BodyText"/>
        <w:spacing w:before="0" w:after="0"/>
        <w:jc w:val="both"/>
        <w:rPr>
          <w:szCs w:val="22"/>
          <w:lang w:val="en-GB"/>
        </w:rPr>
      </w:pPr>
      <w:r>
        <w:rPr>
          <w:szCs w:val="22"/>
          <w:lang w:val="en-GB"/>
        </w:rPr>
      </w:r>
    </w:p>
    <w:p>
      <w:pPr>
        <w:pStyle w:val="BodyText"/>
        <w:spacing w:before="0" w:after="0"/>
        <w:jc w:val="both"/>
        <w:rPr/>
      </w:pPr>
      <w:r>
        <w:rPr>
          <w:szCs w:val="22"/>
          <w:lang w:val="en-GB"/>
        </w:rPr>
        <w:t>The 2</w:t>
      </w:r>
      <w:r>
        <w:rPr>
          <w:szCs w:val="22"/>
          <w:vertAlign w:val="superscript"/>
          <w:lang w:val="en-GB"/>
        </w:rPr>
        <w:t>nd</w:t>
      </w:r>
      <w:r>
        <w:rPr>
          <w:szCs w:val="22"/>
          <w:lang w:val="en-GB"/>
        </w:rPr>
        <w:t xml:space="preserve"> part of the formula therefore the percentage correctly assigned Incidents (of the non-Service-Desk-resolved Incidents) to the Service Desk resolved Incidents.</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The overall performance figure is an average of the two parts above.</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Formula:</w:t>
      </w:r>
    </w:p>
    <w:p>
      <w:pPr>
        <w:pStyle w:val="BodyText"/>
        <w:spacing w:before="0" w:after="0"/>
        <w:jc w:val="both"/>
        <w:rPr>
          <w:szCs w:val="22"/>
          <w:lang w:val="en-GB"/>
        </w:rPr>
      </w:pPr>
      <w:r>
        <w:rPr>
          <w:szCs w:val="22"/>
          <w:lang w:val="en-GB"/>
        </w:rPr>
        <w:tab/>
        <w:t>average ( part-one% ; part-two% )</w:t>
      </w:r>
    </w:p>
    <w:p>
      <w:pPr>
        <w:pStyle w:val="BodyText"/>
        <w:spacing w:before="0" w:after="0"/>
        <w:jc w:val="both"/>
        <w:rPr>
          <w:szCs w:val="22"/>
          <w:lang w:val="en-GB"/>
        </w:rPr>
      </w:pPr>
      <w:r>
        <w:rPr>
          <w:szCs w:val="22"/>
          <w:lang w:val="en-GB"/>
        </w:rPr>
      </w:r>
    </w:p>
    <w:p>
      <w:pPr>
        <w:pStyle w:val="BodyText"/>
        <w:spacing w:before="0" w:after="0"/>
        <w:jc w:val="both"/>
        <w:rPr>
          <w:szCs w:val="22"/>
          <w:lang w:val="en-GB"/>
        </w:rPr>
      </w:pPr>
      <w:r>
        <w:rPr>
          <w:szCs w:val="22"/>
          <w:lang w:val="en-GB"/>
        </w:rPr>
        <w:t>Where:</w:t>
      </w:r>
    </w:p>
    <w:p>
      <w:pPr>
        <w:pStyle w:val="BodyText"/>
        <w:spacing w:before="0" w:after="0"/>
        <w:jc w:val="both"/>
        <w:rPr>
          <w:szCs w:val="22"/>
          <w:lang w:val="en-GB"/>
        </w:rPr>
      </w:pPr>
      <w:r>
        <w:rPr>
          <w:szCs w:val="22"/>
          <w:lang w:val="en-GB"/>
        </w:rPr>
        <w:tab/>
        <w:t>part-one% = notification-on-time%</w:t>
      </w:r>
    </w:p>
    <w:p>
      <w:pPr>
        <w:pStyle w:val="BodyText"/>
        <w:spacing w:before="0" w:after="0"/>
        <w:jc w:val="both"/>
        <w:rPr>
          <w:szCs w:val="22"/>
          <w:lang w:val="en-GB"/>
        </w:rPr>
      </w:pPr>
      <w:r>
        <w:rPr>
          <w:szCs w:val="22"/>
          <w:lang w:val="en-GB"/>
        </w:rPr>
        <w:tab/>
        <w:t>part-two% = resolution% + correct assignment% * (100% - resolution%)</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SD - Notification of outage within 15 minutes after the notification is received from the Resolver Group.</w:t>
      </w:r>
    </w:p>
    <w:p>
      <w:pPr>
        <w:pStyle w:val="BodyText"/>
        <w:jc w:val="both"/>
        <w:rPr/>
      </w:pPr>
      <w:r>
        <w:rPr>
          <w:szCs w:val="22"/>
          <w:lang w:val="en-GB"/>
        </w:rPr>
        <w:t>Outage is Priority 1 Incident, excluding Incidents for single users.</w:t>
      </w:r>
    </w:p>
    <w:p>
      <w:pPr>
        <w:pStyle w:val="BodyText"/>
        <w:jc w:val="both"/>
        <w:rPr>
          <w:szCs w:val="22"/>
          <w:lang w:val="en-GB"/>
        </w:rPr>
      </w:pPr>
      <w:r>
        <w:rPr>
          <w:szCs w:val="22"/>
          <w:lang w:val="en-GB"/>
        </w:rPr>
        <w:t>Notification of outage is calculated as (A / B) * 100%, where:</w:t>
      </w:r>
    </w:p>
    <w:p>
      <w:pPr>
        <w:pStyle w:val="BodyText"/>
        <w:jc w:val="both"/>
        <w:rPr>
          <w:szCs w:val="22"/>
          <w:lang w:val="en-GB"/>
        </w:rPr>
      </w:pPr>
      <w:r>
        <w:rPr>
          <w:szCs w:val="22"/>
          <w:lang w:val="en-GB"/>
        </w:rPr>
        <w:t>A = The number of outages for which the notification is posted on the Portal and/or the IVR of the Service Desk and/or a mail is send to the affected Authorised Users within 15 minutes after the notification is received from the Resolver Groups</w:t>
      </w:r>
    </w:p>
    <w:p>
      <w:pPr>
        <w:pStyle w:val="BodyText"/>
        <w:jc w:val="both"/>
        <w:rPr/>
      </w:pPr>
      <w:r>
        <w:rPr>
          <w:szCs w:val="22"/>
          <w:lang w:val="en-GB"/>
        </w:rPr>
        <w:t>B = Number of outages for which the Service Desk receives a communication notification from the Resolver Groups.</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15/16 * 100% =  93,75%</w:t>
      </w:r>
    </w:p>
    <w:p>
      <w:pPr>
        <w:pStyle w:val="BodyText"/>
        <w:jc w:val="both"/>
        <w:rPr>
          <w:szCs w:val="22"/>
          <w:lang w:val="en-GB"/>
        </w:rPr>
      </w:pPr>
      <w:r>
        <w:rPr>
          <w:szCs w:val="22"/>
          <w:lang w:val="en-GB"/>
        </w:rPr>
        <w:t>The Resolver Group should include the following information for the notification:</w:t>
      </w:r>
    </w:p>
    <w:p>
      <w:pPr>
        <w:pStyle w:val="Normal"/>
        <w:numPr>
          <w:ilvl w:val="0"/>
          <w:numId w:val="6"/>
        </w:numPr>
        <w:jc w:val="both"/>
        <w:rPr>
          <w:szCs w:val="22"/>
        </w:rPr>
      </w:pPr>
      <w:r>
        <w:rPr>
          <w:szCs w:val="22"/>
        </w:rPr>
        <w:t>Incident number;</w:t>
      </w:r>
    </w:p>
    <w:p>
      <w:pPr>
        <w:pStyle w:val="Normal"/>
        <w:numPr>
          <w:ilvl w:val="0"/>
          <w:numId w:val="6"/>
        </w:numPr>
        <w:jc w:val="both"/>
        <w:rPr>
          <w:szCs w:val="22"/>
        </w:rPr>
      </w:pPr>
      <w:r>
        <w:rPr>
          <w:szCs w:val="22"/>
        </w:rPr>
        <w:t>Impact: Users, application(s), Services affected;</w:t>
      </w:r>
    </w:p>
    <w:p>
      <w:pPr>
        <w:pStyle w:val="Normal"/>
        <w:numPr>
          <w:ilvl w:val="0"/>
          <w:numId w:val="6"/>
        </w:numPr>
        <w:jc w:val="both"/>
        <w:rPr>
          <w:szCs w:val="22"/>
        </w:rPr>
      </w:pPr>
      <w:r>
        <w:rPr>
          <w:szCs w:val="22"/>
        </w:rPr>
        <w:t>Possible Cause;</w:t>
      </w:r>
    </w:p>
    <w:p>
      <w:pPr>
        <w:pStyle w:val="Normal"/>
        <w:numPr>
          <w:ilvl w:val="0"/>
          <w:numId w:val="6"/>
        </w:numPr>
        <w:jc w:val="both"/>
        <w:rPr>
          <w:szCs w:val="22"/>
        </w:rPr>
      </w:pPr>
      <w:r>
        <w:rPr>
          <w:szCs w:val="22"/>
        </w:rPr>
        <w:t>Status and Expected time to restore Services;</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SD - Percentage of In-Scope Incidents resolved by the Service Desk</w:t>
      </w:r>
    </w:p>
    <w:p>
      <w:pPr>
        <w:pStyle w:val="BodyText"/>
        <w:jc w:val="both"/>
        <w:rPr/>
      </w:pPr>
      <w:r>
        <w:rPr>
          <w:szCs w:val="22"/>
          <w:lang w:val="en-GB"/>
        </w:rPr>
        <w:t>Percentage of In-Scope Incidents resolved by the Service Desk is calculated as  (B / A) * 100%, where</w:t>
      </w:r>
    </w:p>
    <w:p>
      <w:pPr>
        <w:pStyle w:val="BodyText"/>
        <w:jc w:val="both"/>
        <w:rPr/>
      </w:pPr>
      <w:r>
        <w:rPr>
          <w:szCs w:val="22"/>
          <w:lang w:val="en-GB"/>
        </w:rPr>
        <w:t>A = the total number of In Scope Incidents, and</w:t>
      </w:r>
    </w:p>
    <w:p>
      <w:pPr>
        <w:pStyle w:val="BodyText"/>
        <w:jc w:val="both"/>
        <w:rPr/>
      </w:pPr>
      <w:r>
        <w:rPr>
          <w:szCs w:val="22"/>
          <w:lang w:val="en-GB"/>
        </w:rPr>
        <w:t>B = the total number of Incidents resolved by the Service Desk.</w:t>
      </w:r>
    </w:p>
    <w:p>
      <w:pPr>
        <w:pStyle w:val="BodyText"/>
        <w:jc w:val="both"/>
        <w:rPr>
          <w:szCs w:val="22"/>
          <w:lang w:val="en-GB"/>
        </w:rPr>
      </w:pPr>
      <w:r>
        <w:rPr>
          <w:szCs w:val="22"/>
          <w:lang w:val="en-GB"/>
        </w:rPr>
        <w:t xml:space="preserve">Example: </w:t>
      </w:r>
    </w:p>
    <w:p>
      <w:pPr>
        <w:pStyle w:val="BodyText"/>
        <w:jc w:val="both"/>
        <w:rPr/>
      </w:pPr>
      <w:r>
        <w:rPr>
          <w:szCs w:val="22"/>
          <w:lang w:val="en-GB"/>
        </w:rPr>
        <w:t>A = the total number of In Scope Incidents = 40000</w:t>
      </w:r>
    </w:p>
    <w:p>
      <w:pPr>
        <w:pStyle w:val="BodyText"/>
        <w:jc w:val="both"/>
        <w:rPr/>
      </w:pPr>
      <w:r>
        <w:rPr>
          <w:szCs w:val="22"/>
          <w:lang w:val="en-GB"/>
        </w:rPr>
        <w:t>B = the total number of Incidents resolved by the Service Desk = 38000</w:t>
      </w:r>
    </w:p>
    <w:p>
      <w:pPr>
        <w:pStyle w:val="BodyText"/>
        <w:jc w:val="both"/>
        <w:rPr>
          <w:szCs w:val="22"/>
          <w:lang w:val="en-GB"/>
        </w:rPr>
      </w:pPr>
      <w:r>
        <w:rPr>
          <w:szCs w:val="22"/>
          <w:lang w:val="en-GB"/>
        </w:rPr>
        <w:t>(38000 / 40000) * 100% = 95%</w:t>
      </w:r>
    </w:p>
    <w:p>
      <w:pPr>
        <w:pStyle w:val="BodyText"/>
        <w:jc w:val="both"/>
        <w:rPr/>
      </w:pPr>
      <w:r>
        <w:rPr>
          <w:szCs w:val="22"/>
          <w:lang w:val="en-GB"/>
        </w:rPr>
        <w:t>In Scope means the Incident relates to the Services.</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SD - Call assignment accuracy</w:t>
      </w:r>
    </w:p>
    <w:p>
      <w:pPr>
        <w:pStyle w:val="BodyText"/>
        <w:jc w:val="both"/>
        <w:rPr/>
      </w:pPr>
      <w:r>
        <w:rPr>
          <w:szCs w:val="22"/>
          <w:lang w:val="en-GB"/>
        </w:rPr>
        <w:t>Call assignment accuracy is calculated as (B / A) * 100%, where</w:t>
      </w:r>
    </w:p>
    <w:p>
      <w:pPr>
        <w:pStyle w:val="BodyText"/>
        <w:jc w:val="both"/>
        <w:rPr/>
      </w:pPr>
      <w:r>
        <w:rPr>
          <w:szCs w:val="22"/>
          <w:lang w:val="en-GB"/>
        </w:rPr>
        <w:t>A = the number of calls assigned to one of the Solver Groups during the Measurement Window, and</w:t>
      </w:r>
    </w:p>
    <w:p>
      <w:pPr>
        <w:pStyle w:val="BodyText"/>
        <w:jc w:val="both"/>
        <w:rPr/>
      </w:pPr>
      <w:r>
        <w:rPr>
          <w:szCs w:val="22"/>
          <w:lang w:val="en-GB"/>
        </w:rPr>
        <w:t>B = the number of calls that fall within “A” above that are accepted by the assigned Solver Group, excluding those number of calls that were assigned to another Solver Group previously.</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the number of calls assigned to one of the Solver Groups during the Measurement Window = 10000</w:t>
      </w:r>
    </w:p>
    <w:p>
      <w:pPr>
        <w:pStyle w:val="BodyText"/>
        <w:jc w:val="both"/>
        <w:rPr>
          <w:szCs w:val="22"/>
          <w:lang w:val="en-GB"/>
        </w:rPr>
      </w:pPr>
      <w:r>
        <w:rPr>
          <w:szCs w:val="22"/>
          <w:lang w:val="en-GB"/>
        </w:rPr>
        <w:t>B = the number of calls that fall within “A” above that are accepted by the assigned Solver Group, excluding those number of calls that were assigned to another Solver Group previously = 9500</w:t>
      </w:r>
    </w:p>
    <w:p>
      <w:pPr>
        <w:pStyle w:val="BodyText"/>
        <w:jc w:val="both"/>
        <w:rPr/>
      </w:pPr>
      <w:r>
        <w:rPr>
          <w:szCs w:val="22"/>
          <w:lang w:val="en-GB"/>
        </w:rPr>
        <w:t xml:space="preserve"> </w:t>
      </w:r>
      <w:r>
        <w:rPr>
          <w:szCs w:val="22"/>
          <w:lang w:val="en-GB"/>
        </w:rPr>
        <w:t>(9500 / 10000) * 100% = 95%</w:t>
      </w:r>
    </w:p>
    <w:p>
      <w:pPr>
        <w:pStyle w:val="Heading1Numbered"/>
        <w:numPr>
          <w:ilvl w:val="0"/>
          <w:numId w:val="4"/>
        </w:numPr>
        <w:ind w:hanging="0" w:start="0"/>
        <w:jc w:val="both"/>
        <w:outlineLvl w:val="0"/>
        <w:rPr>
          <w:rFonts w:ascii="Times New Roman" w:hAnsi="Times New Roman" w:cs="Times New Roman"/>
          <w:sz w:val="22"/>
          <w:szCs w:val="22"/>
          <w:lang w:val="en-GB"/>
        </w:rPr>
      </w:pPr>
      <w:bookmarkStart w:id="25" w:name="__RefHeading___Toc151896993"/>
      <w:bookmarkEnd w:id="25"/>
      <w:r>
        <w:rPr>
          <w:rFonts w:cs="Times New Roman" w:ascii="Times New Roman" w:hAnsi="Times New Roman"/>
          <w:sz w:val="22"/>
          <w:szCs w:val="22"/>
          <w:lang w:val="en-GB"/>
        </w:rPr>
        <w:t>IMAC Services Performance</w:t>
      </w:r>
    </w:p>
    <w:p>
      <w:pPr>
        <w:pStyle w:val="BodyText"/>
        <w:jc w:val="both"/>
        <w:rPr>
          <w:szCs w:val="22"/>
          <w:lang w:val="en-GB"/>
        </w:rPr>
      </w:pPr>
      <w:r>
        <w:rPr>
          <w:szCs w:val="22"/>
          <w:lang w:val="en-GB"/>
        </w:rPr>
        <w:t>The IMAC Response and Management Service is there to take Service Requests of authorized users and ensure these are delivered within the agreed timeframes and the agreed Service Levels. The actual IMACs laid down below and relevant time lines will be agreed together with the first release of the Service Catalogue.</w:t>
      </w:r>
    </w:p>
    <w:p>
      <w:pPr>
        <w:pStyle w:val="Heading2Numbered"/>
        <w:numPr>
          <w:ilvl w:val="1"/>
          <w:numId w:val="4"/>
        </w:numPr>
        <w:ind w:hanging="0" w:start="0"/>
        <w:jc w:val="both"/>
        <w:rPr>
          <w:rFonts w:ascii="Times New Roman" w:hAnsi="Times New Roman" w:cs="Times New Roman"/>
          <w:sz w:val="22"/>
          <w:szCs w:val="22"/>
          <w:lang w:val="en-GB"/>
        </w:rPr>
      </w:pPr>
      <w:bookmarkStart w:id="26" w:name="__RefHeading___Toc151896994"/>
      <w:bookmarkEnd w:id="26"/>
      <w:r>
        <w:rPr>
          <w:rFonts w:cs="Times New Roman" w:ascii="Times New Roman" w:hAnsi="Times New Roman"/>
          <w:sz w:val="22"/>
          <w:szCs w:val="22"/>
          <w:lang w:val="en-GB"/>
        </w:rPr>
        <w:t>IMAC Response &amp; Management Service – Performance</w:t>
      </w:r>
    </w:p>
    <w:p>
      <w:pPr>
        <w:pStyle w:val="BodyText"/>
        <w:jc w:val="both"/>
        <w:rPr>
          <w:szCs w:val="22"/>
          <w:lang w:val="en-GB"/>
        </w:rPr>
      </w:pPr>
      <w:r>
        <w:rPr>
          <w:szCs w:val="22"/>
          <w:lang w:val="en-GB"/>
        </w:rPr>
        <w:t>The formula used to calculate the realised level for this Critical Service Level is the average of the realised level described in the paragraph 8.1.1 through 8.1.3 below.</w:t>
      </w:r>
    </w:p>
    <w:p>
      <w:pPr>
        <w:pStyle w:val="BodyText"/>
        <w:jc w:val="both"/>
        <w:rPr>
          <w:szCs w:val="22"/>
          <w:lang w:val="en-GB"/>
        </w:rPr>
      </w:pPr>
      <w:r>
        <w:rPr>
          <w:szCs w:val="22"/>
          <w:lang w:val="en-GB"/>
        </w:rPr>
        <w:t>For all the paragraphs and sub-paragraphs below the following calculation will be used:</w:t>
      </w:r>
    </w:p>
    <w:p>
      <w:pPr>
        <w:pStyle w:val="BodyText"/>
        <w:jc w:val="both"/>
        <w:rPr>
          <w:szCs w:val="22"/>
          <w:lang w:val="en-GB"/>
        </w:rPr>
      </w:pPr>
      <w:r>
        <w:rPr>
          <w:szCs w:val="22"/>
          <w:lang w:val="en-GB"/>
        </w:rPr>
        <w:t>Completion of relevant IMACs by the relevant PST Supplier is calculated as (1 - (B / A)) * 100%, where</w:t>
      </w:r>
    </w:p>
    <w:p>
      <w:pPr>
        <w:pStyle w:val="BodyText"/>
        <w:jc w:val="both"/>
        <w:rPr>
          <w:szCs w:val="22"/>
          <w:lang w:val="en-GB"/>
        </w:rPr>
      </w:pPr>
      <w:r>
        <w:rPr>
          <w:szCs w:val="22"/>
          <w:lang w:val="en-GB"/>
        </w:rPr>
        <w:t>A = the number of the relevant IMACs required to be completed by the relevant PST Supplier during the Measurement Window; and,</w:t>
      </w:r>
    </w:p>
    <w:p>
      <w:pPr>
        <w:pStyle w:val="BodyText"/>
        <w:jc w:val="both"/>
        <w:rPr>
          <w:szCs w:val="22"/>
          <w:lang w:val="en-GB"/>
        </w:rPr>
      </w:pPr>
      <w:r>
        <w:rPr>
          <w:szCs w:val="22"/>
          <w:lang w:val="en-GB"/>
        </w:rPr>
        <w:t>B = the number of relevant IMACs that fall within “A” above that are unsuccessfully completed by the relevant PST supplier within the relevant time, measured the receipt of the validated relevant IMACs by the Service Desk.</w:t>
      </w:r>
    </w:p>
    <w:p>
      <w:pPr>
        <w:pStyle w:val="BodyText"/>
        <w:jc w:val="both"/>
        <w:rPr>
          <w:szCs w:val="22"/>
          <w:lang w:val="en-GB"/>
        </w:rPr>
      </w:pPr>
      <w:r>
        <w:rPr>
          <w:szCs w:val="22"/>
          <w:lang w:val="en-GB"/>
        </w:rPr>
        <w:t>Note: all IMAC will be defined together will the first release of the Service Catalogue</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Soft IMACs completed within the agreed time frame</w:t>
      </w:r>
    </w:p>
    <w:p>
      <w:pPr>
        <w:pStyle w:val="BodyText"/>
        <w:jc w:val="both"/>
        <w:rPr>
          <w:szCs w:val="22"/>
          <w:lang w:val="en-GB"/>
        </w:rPr>
      </w:pPr>
      <w:r>
        <w:rPr>
          <w:szCs w:val="22"/>
          <w:lang w:val="en-GB"/>
        </w:rPr>
        <w:t>This paragraphs consists of the 5 sub-paragraphs as listed below:</w:t>
      </w:r>
    </w:p>
    <w:p>
      <w:pPr>
        <w:pStyle w:val="BodyText"/>
        <w:jc w:val="both"/>
        <w:rPr>
          <w:b/>
          <w:szCs w:val="22"/>
          <w:lang w:val="en-GB"/>
        </w:rPr>
      </w:pPr>
      <w:r>
        <w:rPr>
          <w:b/>
          <w:szCs w:val="22"/>
          <w:lang w:val="en-GB"/>
        </w:rPr>
        <w:t>SM &amp; EUC (-UIS) - Standard change small' duration &lt; 1 business day (other users/locations)</w:t>
      </w:r>
    </w:p>
    <w:p>
      <w:pPr>
        <w:pStyle w:val="BodyText"/>
        <w:jc w:val="both"/>
        <w:rPr>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LAN - LAN Soft IMAC</w:t>
      </w:r>
    </w:p>
    <w:p>
      <w:pPr>
        <w:pStyle w:val="BodyText"/>
        <w:jc w:val="both"/>
        <w:rPr>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Voice - Voice Soft IMAC</w:t>
      </w:r>
    </w:p>
    <w:p>
      <w:pPr>
        <w:pStyle w:val="BodyText"/>
        <w:jc w:val="both"/>
        <w:rPr>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LAN &amp; Voice - Soft IMAC Videoconferencing equipment in 2 business days</w:t>
      </w:r>
    </w:p>
    <w:p>
      <w:pPr>
        <w:pStyle w:val="BodyText"/>
        <w:jc w:val="both"/>
        <w:rPr>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LAN &amp; Voice Hard IMAC Videoconferencing equipment in 5 business days</w:t>
      </w:r>
    </w:p>
    <w:p>
      <w:pPr>
        <w:pStyle w:val="BodyText"/>
        <w:jc w:val="both"/>
        <w:rPr>
          <w:szCs w:val="22"/>
          <w:lang w:val="en-GB"/>
        </w:rPr>
      </w:pPr>
      <w:r>
        <w:rPr>
          <w:szCs w:val="22"/>
          <w:lang w:val="en-GB"/>
        </w:rPr>
        <w:t>For the calculation please refer to the general calculation as described in paragraph 8.1.</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Soft &amp; Hard IMACs Named Location completed within the agreed time frame</w:t>
      </w:r>
    </w:p>
    <w:p>
      <w:pPr>
        <w:pStyle w:val="BodyText"/>
        <w:jc w:val="both"/>
        <w:rPr>
          <w:szCs w:val="22"/>
          <w:lang w:val="en-GB"/>
        </w:rPr>
      </w:pPr>
      <w:r>
        <w:rPr>
          <w:szCs w:val="22"/>
          <w:lang w:val="en-GB"/>
        </w:rPr>
        <w:t>This paragraphs consists of the 8 sub-paragraphs as listed below:</w:t>
      </w:r>
    </w:p>
    <w:p>
      <w:pPr>
        <w:pStyle w:val="BodyText"/>
        <w:jc w:val="both"/>
        <w:rPr>
          <w:b/>
          <w:szCs w:val="22"/>
          <w:lang w:val="en-GB"/>
        </w:rPr>
      </w:pPr>
      <w:r>
        <w:rPr>
          <w:b/>
          <w:szCs w:val="22"/>
          <w:lang w:val="en-GB"/>
        </w:rPr>
        <w:t>SM &amp; EUC (-UIS) - Standard change small' duration &lt; ,5 business day (named locations)</w:t>
      </w:r>
    </w:p>
    <w:p>
      <w:pPr>
        <w:pStyle w:val="BodyText"/>
        <w:jc w:val="both"/>
        <w:rPr>
          <w:b/>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LAN - LAN Soft IMAC</w:t>
      </w:r>
    </w:p>
    <w:p>
      <w:pPr>
        <w:pStyle w:val="BodyText"/>
        <w:jc w:val="both"/>
        <w:rPr>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Voice - Voice Soft IMAC</w:t>
      </w:r>
    </w:p>
    <w:p>
      <w:pPr>
        <w:pStyle w:val="BodyText"/>
        <w:jc w:val="both"/>
        <w:rPr>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LAN - LAN Hard IMAC</w:t>
      </w:r>
    </w:p>
    <w:p>
      <w:pPr>
        <w:pStyle w:val="BodyText"/>
        <w:jc w:val="both"/>
        <w:rPr>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Voice - Voice Hard IMAC</w:t>
      </w:r>
    </w:p>
    <w:p>
      <w:pPr>
        <w:pStyle w:val="BodyText"/>
        <w:jc w:val="both"/>
        <w:rPr>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LAN &amp; Voice - Soft IMAC Videoconferencing equipment in 2 business days</w:t>
      </w:r>
    </w:p>
    <w:p>
      <w:pPr>
        <w:pStyle w:val="BodyText"/>
        <w:jc w:val="both"/>
        <w:rPr>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LAN &amp; Voice Hard IMAC Videoconferencing equipment in 5 business days</w:t>
      </w:r>
    </w:p>
    <w:p>
      <w:pPr>
        <w:pStyle w:val="BodyText"/>
        <w:jc w:val="both"/>
        <w:rPr>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DTHW - Completion of service request DTHW Named Locations</w:t>
      </w:r>
    </w:p>
    <w:p>
      <w:pPr>
        <w:pStyle w:val="BodyText"/>
        <w:jc w:val="both"/>
        <w:rPr>
          <w:b/>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Hard IMACs completed within the agreed time frame</w:t>
      </w:r>
    </w:p>
    <w:p>
      <w:pPr>
        <w:pStyle w:val="BodyText"/>
        <w:jc w:val="both"/>
        <w:rPr>
          <w:szCs w:val="22"/>
          <w:lang w:val="en-GB"/>
        </w:rPr>
      </w:pPr>
      <w:r>
        <w:rPr>
          <w:szCs w:val="22"/>
          <w:lang w:val="en-GB"/>
        </w:rPr>
        <w:t>This paragraphs consists of the 4 sub-paragraphs as listed below:</w:t>
      </w:r>
    </w:p>
    <w:p>
      <w:pPr>
        <w:pStyle w:val="BodyText"/>
        <w:jc w:val="both"/>
        <w:rPr>
          <w:b/>
          <w:szCs w:val="22"/>
          <w:lang w:val="en-GB"/>
        </w:rPr>
      </w:pPr>
      <w:r>
        <w:rPr>
          <w:b/>
          <w:szCs w:val="22"/>
          <w:lang w:val="en-GB"/>
        </w:rPr>
        <w:t>DTHW - Completion of service request DTHW bronze</w:t>
      </w:r>
    </w:p>
    <w:p>
      <w:pPr>
        <w:pStyle w:val="BodyText"/>
        <w:jc w:val="both"/>
        <w:rPr>
          <w:b/>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DTHW - Completion of service request DTHW silver</w:t>
      </w:r>
    </w:p>
    <w:p>
      <w:pPr>
        <w:pStyle w:val="BodyText"/>
        <w:jc w:val="both"/>
        <w:rPr>
          <w:b/>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LAN - LAN Hard IMAC</w:t>
      </w:r>
    </w:p>
    <w:p>
      <w:pPr>
        <w:pStyle w:val="BodyText"/>
        <w:jc w:val="both"/>
        <w:rPr>
          <w:szCs w:val="22"/>
          <w:lang w:val="en-GB"/>
        </w:rPr>
      </w:pPr>
      <w:r>
        <w:rPr>
          <w:szCs w:val="22"/>
          <w:lang w:val="en-GB"/>
        </w:rPr>
        <w:t>For the calculation please refer to the general calculation as described in paragraph 8.1.</w:t>
      </w:r>
    </w:p>
    <w:p>
      <w:pPr>
        <w:pStyle w:val="BodyText"/>
        <w:jc w:val="both"/>
        <w:rPr>
          <w:b/>
          <w:szCs w:val="22"/>
          <w:lang w:val="en-GB"/>
        </w:rPr>
      </w:pPr>
      <w:r>
        <w:rPr>
          <w:b/>
          <w:szCs w:val="22"/>
          <w:lang w:val="en-GB"/>
        </w:rPr>
        <w:t>Voice - Voice Hard IMAC</w:t>
      </w:r>
    </w:p>
    <w:p>
      <w:pPr>
        <w:pStyle w:val="BodyText"/>
        <w:jc w:val="both"/>
        <w:rPr>
          <w:b/>
          <w:szCs w:val="22"/>
          <w:lang w:val="en-GB"/>
        </w:rPr>
      </w:pPr>
      <w:r>
        <w:rPr>
          <w:szCs w:val="22"/>
          <w:lang w:val="en-GB"/>
        </w:rPr>
        <w:t>For the calculation please refer to the general calculation as described in paragraph 8.1.</w:t>
      </w:r>
    </w:p>
    <w:p>
      <w:pPr>
        <w:pStyle w:val="Heading1Numbered"/>
        <w:numPr>
          <w:ilvl w:val="0"/>
          <w:numId w:val="4"/>
        </w:numPr>
        <w:ind w:hanging="0" w:start="0"/>
        <w:jc w:val="both"/>
        <w:outlineLvl w:val="0"/>
        <w:rPr>
          <w:rFonts w:ascii="Times New Roman" w:hAnsi="Times New Roman" w:cs="Times New Roman"/>
          <w:sz w:val="22"/>
          <w:szCs w:val="22"/>
          <w:lang w:val="en-GB"/>
        </w:rPr>
      </w:pPr>
      <w:bookmarkStart w:id="27" w:name="__RefHeading___Toc151896995"/>
      <w:bookmarkEnd w:id="27"/>
      <w:r>
        <w:rPr>
          <w:rFonts w:cs="Times New Roman" w:ascii="Times New Roman" w:hAnsi="Times New Roman"/>
          <w:sz w:val="22"/>
          <w:szCs w:val="22"/>
          <w:lang w:val="en-GB"/>
        </w:rPr>
        <w:t>Incident Services Performance</w:t>
      </w:r>
    </w:p>
    <w:p>
      <w:pPr>
        <w:pStyle w:val="BodyText"/>
        <w:jc w:val="both"/>
        <w:rPr/>
      </w:pPr>
      <w:r>
        <w:rPr>
          <w:szCs w:val="22"/>
          <w:lang w:val="en-GB"/>
        </w:rPr>
        <w:t>The Incident Response and Management Service is there to restore normal service operation after Incidents and minimize the adverse impact on business operations, thus ensuring that the agreed levels of service quality and availability are maintained.</w:t>
      </w:r>
    </w:p>
    <w:p>
      <w:pPr>
        <w:pStyle w:val="BodyText"/>
        <w:jc w:val="both"/>
        <w:rPr>
          <w:szCs w:val="22"/>
          <w:lang w:val="en-GB"/>
        </w:rPr>
      </w:pPr>
      <w:r>
        <w:rPr>
          <w:szCs w:val="22"/>
          <w:lang w:val="en-GB"/>
        </w:rPr>
        <w:t>When the Authorised User submits the Incident using the Portal, from the earlier of (i) the time the relevant Service Desk web handles the registration form; or (ii) 15 minutes after web registration form is submitted to the PST Supplier; or where the Authorised User registers the Incident using the Portal, but more information is required before resolution can be commenced, from the earlier of (i) the end of a call from the Service Desk to the Authorised User following up the Incident; or (ii) two Business Hours after the Portal registration form is submitted to the PST Supplier; provided that if the PST Supplier is unable to contact the Authorised User despite using Commercially Reasonable Efforts then the measurement period will be put on hold until the Authorised User is contacted</w:t>
      </w:r>
    </w:p>
    <w:p>
      <w:pPr>
        <w:pStyle w:val="Heading2Numbered"/>
        <w:numPr>
          <w:ilvl w:val="1"/>
          <w:numId w:val="4"/>
        </w:numPr>
        <w:ind w:hanging="0" w:start="0"/>
        <w:jc w:val="both"/>
        <w:rPr>
          <w:rFonts w:ascii="Times New Roman" w:hAnsi="Times New Roman" w:cs="Times New Roman"/>
          <w:sz w:val="22"/>
          <w:szCs w:val="22"/>
          <w:lang w:val="en-GB"/>
        </w:rPr>
      </w:pPr>
      <w:bookmarkStart w:id="28" w:name="__RefHeading___Toc151896996"/>
      <w:bookmarkEnd w:id="28"/>
      <w:r>
        <w:rPr>
          <w:rFonts w:cs="Times New Roman" w:ascii="Times New Roman" w:hAnsi="Times New Roman"/>
          <w:sz w:val="22"/>
          <w:szCs w:val="22"/>
          <w:lang w:val="en-GB"/>
        </w:rPr>
        <w:t>Incident Response &amp; Management Service – Performance</w:t>
      </w:r>
    </w:p>
    <w:p>
      <w:pPr>
        <w:pStyle w:val="BodyText"/>
        <w:jc w:val="both"/>
        <w:rPr/>
      </w:pPr>
      <w:r>
        <w:rPr>
          <w:szCs w:val="22"/>
          <w:lang w:val="en-GB"/>
        </w:rPr>
        <w:t>The formula used to calculate the realised level for this Critical Service Level is the average of the realised level described in the paragraph 9.1.1 through 9.1.4 below.</w:t>
      </w:r>
    </w:p>
    <w:p>
      <w:pPr>
        <w:pStyle w:val="BodyText"/>
        <w:jc w:val="both"/>
        <w:rPr>
          <w:szCs w:val="22"/>
          <w:lang w:val="en-GB"/>
        </w:rPr>
      </w:pPr>
      <w:r>
        <w:rPr>
          <w:szCs w:val="22"/>
          <w:lang w:val="en-GB"/>
        </w:rPr>
        <w:t>Unless specified below the following calculation will be used for all the paragraphs and sub-paragraphs:</w:t>
      </w:r>
    </w:p>
    <w:p>
      <w:pPr>
        <w:pStyle w:val="BodyText"/>
        <w:jc w:val="both"/>
        <w:rPr/>
      </w:pPr>
      <w:r>
        <w:rPr>
          <w:szCs w:val="22"/>
          <w:lang w:val="en-GB"/>
        </w:rPr>
        <w:t>Solving the relevant Incident by the relevant PST Supplier is calculated as (B / A) * 100%, where</w:t>
      </w:r>
    </w:p>
    <w:p>
      <w:pPr>
        <w:pStyle w:val="BodyText"/>
        <w:jc w:val="both"/>
        <w:rPr>
          <w:szCs w:val="22"/>
          <w:lang w:val="en-GB"/>
        </w:rPr>
      </w:pPr>
      <w:r>
        <w:rPr>
          <w:szCs w:val="22"/>
          <w:lang w:val="en-GB"/>
        </w:rPr>
        <w:t>A = the number of the relevant Incident required to be solved by the relevant PST Supplier during the Measurement Window; and,</w:t>
      </w:r>
    </w:p>
    <w:p>
      <w:pPr>
        <w:pStyle w:val="BodyText"/>
        <w:jc w:val="both"/>
        <w:rPr>
          <w:szCs w:val="22"/>
          <w:lang w:val="en-GB"/>
        </w:rPr>
      </w:pPr>
      <w:r>
        <w:rPr>
          <w:szCs w:val="22"/>
          <w:lang w:val="en-GB"/>
        </w:rPr>
        <w:t>B = the number of relevant Incidents that fall within “A” above that are not solved by the relevant PST supplier within the relevant time.</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the number of the relevant Incident required to be solved by the relevant PST Supplier during the Measurement Window = 20000</w:t>
      </w:r>
    </w:p>
    <w:p>
      <w:pPr>
        <w:pStyle w:val="BodyText"/>
        <w:jc w:val="both"/>
        <w:rPr>
          <w:szCs w:val="22"/>
          <w:lang w:val="en-GB"/>
        </w:rPr>
      </w:pPr>
      <w:r>
        <w:rPr>
          <w:szCs w:val="22"/>
          <w:lang w:val="en-GB"/>
        </w:rPr>
        <w:t xml:space="preserve"> </w:t>
      </w:r>
      <w:r>
        <w:rPr>
          <w:szCs w:val="22"/>
          <w:lang w:val="en-GB"/>
        </w:rPr>
        <w:t>B = the number of relevant Incidents that fall within “A” above that are not solved by the relevant PST supplier within the relevant time.= 18000</w:t>
      </w:r>
    </w:p>
    <w:p>
      <w:pPr>
        <w:pStyle w:val="BodyText"/>
        <w:jc w:val="both"/>
        <w:rPr>
          <w:szCs w:val="22"/>
          <w:lang w:val="en-GB"/>
        </w:rPr>
      </w:pPr>
      <w:r>
        <w:rPr>
          <w:szCs w:val="22"/>
          <w:lang w:val="en-GB"/>
        </w:rPr>
        <w:tab/>
        <w:t>18000 / 20000 * 100% = 90%</w:t>
      </w:r>
    </w:p>
    <w:p>
      <w:pPr>
        <w:pStyle w:val="BodyText"/>
        <w:jc w:val="both"/>
        <w:rPr>
          <w:szCs w:val="22"/>
          <w:lang w:val="en-GB"/>
        </w:rPr>
      </w:pPr>
      <w:r>
        <w:rPr>
          <w:szCs w:val="22"/>
          <w:lang w:val="en-GB"/>
        </w:rPr>
        <w:t>Note: time lines for the different Incident priority levels are laid down in Attachment 3E.</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Incident resolution - priority 1</w:t>
      </w:r>
    </w:p>
    <w:p>
      <w:pPr>
        <w:pStyle w:val="BodyText"/>
        <w:jc w:val="both"/>
        <w:rPr>
          <w:b/>
          <w:szCs w:val="22"/>
          <w:lang w:val="en-GB"/>
        </w:rPr>
      </w:pPr>
      <w:r>
        <w:rPr>
          <w:b/>
          <w:szCs w:val="22"/>
          <w:lang w:val="en-GB"/>
        </w:rPr>
        <w:t>SD - Communication message available for authorised users &lt; 25 minutes</w:t>
      </w:r>
    </w:p>
    <w:p>
      <w:pPr>
        <w:pStyle w:val="BodyText"/>
        <w:jc w:val="both"/>
        <w:rPr/>
      </w:pPr>
      <w:r>
        <w:rPr>
          <w:szCs w:val="22"/>
          <w:lang w:val="en-GB"/>
        </w:rPr>
        <w:t>Completion communication message on priority 1 Incidents is calculated as (B / A) * 100%</w:t>
      </w:r>
    </w:p>
    <w:p>
      <w:pPr>
        <w:pStyle w:val="BodyText"/>
        <w:jc w:val="both"/>
        <w:rPr>
          <w:szCs w:val="22"/>
          <w:lang w:val="en-GB"/>
        </w:rPr>
      </w:pPr>
      <w:r>
        <w:rPr>
          <w:szCs w:val="22"/>
          <w:lang w:val="en-GB"/>
        </w:rPr>
        <w:t>, where</w:t>
      </w:r>
    </w:p>
    <w:p>
      <w:pPr>
        <w:pStyle w:val="BodyText"/>
        <w:jc w:val="both"/>
        <w:rPr/>
      </w:pPr>
      <w:r>
        <w:rPr>
          <w:szCs w:val="22"/>
          <w:lang w:val="en-GB"/>
        </w:rPr>
        <w:t>A = the number of priority 1 Incidents; and,</w:t>
      </w:r>
    </w:p>
    <w:p>
      <w:pPr>
        <w:pStyle w:val="BodyText"/>
        <w:jc w:val="both"/>
        <w:rPr/>
      </w:pPr>
      <w:r>
        <w:rPr>
          <w:szCs w:val="22"/>
          <w:lang w:val="en-GB"/>
        </w:rPr>
        <w:t>B = the number of priority 1 Incidents that fall within “A” above that are unsuccessfully communicated to Authorised Users within 25 minutes via a messages on the IVR and/or a message on the Service Portal. This message should include the following information for the notification:</w:t>
      </w:r>
    </w:p>
    <w:p>
      <w:pPr>
        <w:pStyle w:val="Normal"/>
        <w:numPr>
          <w:ilvl w:val="0"/>
          <w:numId w:val="6"/>
        </w:numPr>
        <w:jc w:val="both"/>
        <w:rPr>
          <w:szCs w:val="22"/>
        </w:rPr>
      </w:pPr>
      <w:r>
        <w:rPr>
          <w:szCs w:val="22"/>
        </w:rPr>
        <w:t>Incident number;</w:t>
      </w:r>
    </w:p>
    <w:p>
      <w:pPr>
        <w:pStyle w:val="Normal"/>
        <w:numPr>
          <w:ilvl w:val="0"/>
          <w:numId w:val="6"/>
        </w:numPr>
        <w:jc w:val="both"/>
        <w:rPr>
          <w:szCs w:val="22"/>
        </w:rPr>
      </w:pPr>
      <w:r>
        <w:rPr>
          <w:szCs w:val="22"/>
        </w:rPr>
        <w:t>Impact: Users, application(s), Services affected;</w:t>
      </w:r>
    </w:p>
    <w:p>
      <w:pPr>
        <w:pStyle w:val="Normal"/>
        <w:numPr>
          <w:ilvl w:val="0"/>
          <w:numId w:val="6"/>
        </w:numPr>
        <w:jc w:val="both"/>
        <w:rPr>
          <w:szCs w:val="22"/>
        </w:rPr>
      </w:pPr>
      <w:r>
        <w:rPr>
          <w:szCs w:val="22"/>
        </w:rPr>
        <w:t>Possible Cause;</w:t>
      </w:r>
    </w:p>
    <w:p>
      <w:pPr>
        <w:pStyle w:val="Normal"/>
        <w:numPr>
          <w:ilvl w:val="0"/>
          <w:numId w:val="6"/>
        </w:numPr>
        <w:jc w:val="both"/>
        <w:rPr>
          <w:szCs w:val="22"/>
        </w:rPr>
      </w:pPr>
      <w:r>
        <w:rPr>
          <w:szCs w:val="22"/>
        </w:rPr>
        <w:t>Status and Expected time to restore Services;</w:t>
      </w:r>
    </w:p>
    <w:p>
      <w:pPr>
        <w:pStyle w:val="BodyText"/>
        <w:jc w:val="both"/>
        <w:rPr>
          <w:szCs w:val="22"/>
        </w:rPr>
      </w:pPr>
      <w:r>
        <w:rPr>
          <w:szCs w:val="22"/>
        </w:rPr>
        <w:t xml:space="preserve">Example: </w:t>
      </w:r>
    </w:p>
    <w:p>
      <w:pPr>
        <w:pStyle w:val="BodyText"/>
        <w:jc w:val="both"/>
        <w:rPr/>
      </w:pPr>
      <w:r>
        <w:rPr>
          <w:szCs w:val="22"/>
          <w:lang w:val="en-GB"/>
        </w:rPr>
        <w:t>A = the number of priority 1 Incidents = 1000</w:t>
      </w:r>
    </w:p>
    <w:p>
      <w:pPr>
        <w:pStyle w:val="BodyText"/>
        <w:jc w:val="both"/>
        <w:rPr/>
      </w:pPr>
      <w:r>
        <w:rPr>
          <w:szCs w:val="22"/>
          <w:lang w:val="en-GB"/>
        </w:rPr>
        <w:t>B = the number of priority 1 Incidents that fall within “A” above that are unsuccessfully communicated to Authorised Users within 25 minutes via a messages on the IVR and/or a message on the Service Portal. This message should include the following information for the notification: = 950</w:t>
      </w:r>
    </w:p>
    <w:p>
      <w:pPr>
        <w:pStyle w:val="BodyText"/>
        <w:jc w:val="both"/>
        <w:rPr>
          <w:szCs w:val="22"/>
          <w:lang w:val="en-GB"/>
        </w:rPr>
      </w:pPr>
      <w:r>
        <w:rPr>
          <w:szCs w:val="22"/>
          <w:lang w:val="en-GB"/>
        </w:rPr>
        <w:tab/>
        <w:t>950 / 1000 * 100% = 95%</w:t>
      </w:r>
    </w:p>
    <w:p>
      <w:pPr>
        <w:pStyle w:val="BodyText"/>
        <w:jc w:val="both"/>
        <w:rPr>
          <w:szCs w:val="22"/>
          <w:lang w:val="en-GB"/>
        </w:rPr>
      </w:pPr>
      <w:r>
        <w:rPr>
          <w:szCs w:val="22"/>
          <w:lang w:val="en-GB"/>
        </w:rPr>
      </w:r>
    </w:p>
    <w:p>
      <w:pPr>
        <w:pStyle w:val="BodyText"/>
        <w:jc w:val="both"/>
        <w:rPr>
          <w:b/>
          <w:szCs w:val="22"/>
          <w:lang w:val="en-GB"/>
        </w:rPr>
      </w:pPr>
      <w:r>
        <w:rPr>
          <w:b/>
          <w:szCs w:val="22"/>
          <w:lang w:val="en-GB"/>
        </w:rPr>
        <w:t>SD &amp; SM &amp; LAN &amp; Voice &amp; DTHW &amp; EUC - Incident priority 1 resolution time &lt; 4 hours</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pPr>
      <w:r>
        <w:rPr>
          <w:szCs w:val="22"/>
          <w:lang w:val="en-GB"/>
        </w:rPr>
        <w:t>Note: the priority 1 Incidents stated above must exclude the priority 1 Incidents raised for a single user.</w:t>
      </w:r>
    </w:p>
    <w:p>
      <w:pPr>
        <w:pStyle w:val="BodyText"/>
        <w:jc w:val="both"/>
        <w:rPr>
          <w:szCs w:val="22"/>
          <w:lang w:val="en-GB"/>
        </w:rPr>
      </w:pPr>
      <w:r>
        <w:rPr>
          <w:szCs w:val="22"/>
          <w:lang w:val="en-GB"/>
        </w:rPr>
      </w:r>
    </w:p>
    <w:p>
      <w:pPr>
        <w:pStyle w:val="BodyText"/>
        <w:jc w:val="both"/>
        <w:rPr>
          <w:b/>
          <w:szCs w:val="22"/>
          <w:lang w:val="en-GB"/>
        </w:rPr>
      </w:pPr>
      <w:r>
        <w:rPr>
          <w:b/>
          <w:szCs w:val="22"/>
          <w:lang w:val="en-GB"/>
        </w:rPr>
        <w:t>SD &amp; SM &amp; LAN &amp; Voice &amp; DTHW &amp; EUC - Incident priority 1 resolution time &lt; 2 hours</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pPr>
      <w:r>
        <w:rPr>
          <w:szCs w:val="22"/>
          <w:lang w:val="en-GB"/>
        </w:rPr>
        <w:t>Note: the priority 1 Incidents stated above must exclude the priority 1 Incidents raised for a single user.</w:t>
      </w:r>
    </w:p>
    <w:p>
      <w:pPr>
        <w:pStyle w:val="BodyText"/>
        <w:jc w:val="both"/>
        <w:rPr>
          <w:szCs w:val="22"/>
          <w:lang w:val="en-GB"/>
        </w:rPr>
      </w:pPr>
      <w:r>
        <w:rPr>
          <w:szCs w:val="22"/>
          <w:lang w:val="en-GB"/>
        </w:rPr>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Incident resolution - priorities 2, 3 and 4</w:t>
      </w:r>
    </w:p>
    <w:p>
      <w:pPr>
        <w:pStyle w:val="BodyText"/>
        <w:jc w:val="both"/>
        <w:rPr>
          <w:szCs w:val="22"/>
          <w:lang w:val="en-GB"/>
        </w:rPr>
      </w:pPr>
      <w:r>
        <w:rPr>
          <w:szCs w:val="22"/>
          <w:lang w:val="en-GB"/>
        </w:rPr>
        <w:t>This paragraphs consists of the 7 sub-paragraphs as listed below:</w:t>
      </w:r>
    </w:p>
    <w:p>
      <w:pPr>
        <w:pStyle w:val="BodyText"/>
        <w:jc w:val="both"/>
        <w:rPr>
          <w:b/>
          <w:szCs w:val="22"/>
          <w:lang w:val="en-GB"/>
        </w:rPr>
      </w:pPr>
      <w:r>
        <w:rPr>
          <w:b/>
          <w:szCs w:val="22"/>
          <w:lang w:val="en-GB"/>
        </w:rPr>
        <w:t>DTHW - Incident resolution time  (priority level 3/4 - 24 working hours)</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b/>
          <w:szCs w:val="22"/>
          <w:lang w:val="en-GB"/>
        </w:rPr>
      </w:pPr>
      <w:r>
        <w:rPr>
          <w:b/>
          <w:szCs w:val="22"/>
          <w:lang w:val="en-GB"/>
        </w:rPr>
        <w:t>DTHW - Break &amp; Fix End User Computing  Authorized Users  (next business day)</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b/>
          <w:szCs w:val="22"/>
          <w:lang w:val="en-GB"/>
        </w:rPr>
      </w:pPr>
      <w:r>
        <w:rPr>
          <w:b/>
          <w:szCs w:val="22"/>
          <w:lang w:val="en-GB"/>
        </w:rPr>
        <w:t>SM &amp; EUC (-UIS) - Incident priority 2 resolution time &lt; 8 hours</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b/>
          <w:szCs w:val="22"/>
          <w:lang w:val="en-GB"/>
        </w:rPr>
      </w:pPr>
      <w:r>
        <w:rPr>
          <w:b/>
          <w:szCs w:val="22"/>
          <w:lang w:val="en-GB"/>
        </w:rPr>
        <w:t>SM &amp; EUC (-UIS) - Incident priority 3 resolution time &lt; 24 hours</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b/>
          <w:szCs w:val="22"/>
          <w:lang w:val="en-GB"/>
        </w:rPr>
      </w:pPr>
      <w:r>
        <w:rPr>
          <w:b/>
          <w:szCs w:val="22"/>
          <w:lang w:val="en-GB"/>
        </w:rPr>
        <w:t>SM &amp; EUC (-UIS) - Incident priority 4 resolution time &lt; 10 business days</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b/>
          <w:szCs w:val="22"/>
          <w:lang w:val="en-GB"/>
        </w:rPr>
      </w:pPr>
      <w:r>
        <w:rPr>
          <w:b/>
          <w:szCs w:val="22"/>
          <w:lang w:val="en-GB"/>
        </w:rPr>
        <w:t>LAN - LAN Incidents</w:t>
      </w:r>
    </w:p>
    <w:p>
      <w:pPr>
        <w:pStyle w:val="BodyText"/>
        <w:jc w:val="both"/>
        <w:rPr>
          <w:szCs w:val="22"/>
          <w:lang w:val="en-GB"/>
        </w:rPr>
      </w:pPr>
      <w:r>
        <w:rPr>
          <w:szCs w:val="22"/>
          <w:lang w:val="en-GB"/>
        </w:rPr>
        <w:t>For the calculation please refer to the general calculation as described in paragraph 9.1.</w:t>
      </w:r>
    </w:p>
    <w:p>
      <w:pPr>
        <w:pStyle w:val="BodyText"/>
        <w:jc w:val="both"/>
        <w:rPr>
          <w:szCs w:val="22"/>
          <w:lang w:val="en-GB"/>
        </w:rPr>
      </w:pPr>
      <w:r>
        <w:rPr>
          <w:szCs w:val="22"/>
          <w:lang w:val="en-GB"/>
        </w:rPr>
        <w:t>Time lines to solve Incidents are stated in Attachment 3-E (</w:t>
      </w:r>
      <w:r>
        <w:rPr>
          <w:i/>
          <w:szCs w:val="22"/>
          <w:lang w:val="en-GB"/>
        </w:rPr>
        <w:t>Priority Levels</w:t>
      </w:r>
      <w:r>
        <w:rPr>
          <w:szCs w:val="22"/>
          <w:lang w:val="en-GB"/>
        </w:rPr>
        <w:t>)</w:t>
      </w:r>
    </w:p>
    <w:p>
      <w:pPr>
        <w:pStyle w:val="BodyText"/>
        <w:jc w:val="both"/>
        <w:rPr>
          <w:b/>
          <w:szCs w:val="22"/>
          <w:lang w:val="en-GB"/>
        </w:rPr>
      </w:pPr>
      <w:r>
        <w:rPr>
          <w:b/>
          <w:szCs w:val="22"/>
          <w:lang w:val="en-GB"/>
        </w:rPr>
        <w:t>Voice - Voice Incidents</w:t>
      </w:r>
    </w:p>
    <w:p>
      <w:pPr>
        <w:pStyle w:val="BodyText"/>
        <w:jc w:val="both"/>
        <w:rPr>
          <w:szCs w:val="22"/>
          <w:lang w:val="en-GB"/>
        </w:rPr>
      </w:pPr>
      <w:r>
        <w:rPr>
          <w:szCs w:val="22"/>
          <w:lang w:val="en-GB"/>
        </w:rPr>
        <w:t>For the calculation please refer to the general calculation as described in paragraph 9.1.</w:t>
      </w:r>
    </w:p>
    <w:p>
      <w:pPr>
        <w:pStyle w:val="BodyText"/>
        <w:jc w:val="both"/>
        <w:rPr>
          <w:szCs w:val="22"/>
          <w:lang w:val="en-GB"/>
        </w:rPr>
      </w:pPr>
      <w:r>
        <w:rPr>
          <w:szCs w:val="22"/>
          <w:lang w:val="en-GB"/>
        </w:rPr>
        <w:t>Time lines to solve Incidents are stated in Attachment 3-E (</w:t>
      </w:r>
      <w:r>
        <w:rPr>
          <w:i/>
          <w:szCs w:val="22"/>
          <w:lang w:val="en-GB"/>
        </w:rPr>
        <w:t>Priority Levels</w:t>
      </w:r>
      <w:r>
        <w:rPr>
          <w:szCs w:val="22"/>
          <w:lang w:val="en-GB"/>
        </w:rPr>
        <w:t>)</w:t>
      </w:r>
    </w:p>
    <w:p>
      <w:pPr>
        <w:pStyle w:val="BodyText"/>
        <w:jc w:val="both"/>
        <w:rPr>
          <w:b/>
          <w:szCs w:val="22"/>
          <w:lang w:val="en-GB"/>
        </w:rPr>
      </w:pPr>
      <w:r>
        <w:rPr>
          <w:b/>
          <w:szCs w:val="22"/>
          <w:lang w:val="en-GB"/>
        </w:rPr>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Incident resolution optional upgraded priority level</w:t>
      </w:r>
    </w:p>
    <w:p>
      <w:pPr>
        <w:pStyle w:val="BodyText"/>
        <w:jc w:val="both"/>
        <w:rPr>
          <w:szCs w:val="22"/>
          <w:lang w:val="en-GB"/>
        </w:rPr>
      </w:pPr>
      <w:r>
        <w:rPr>
          <w:szCs w:val="22"/>
          <w:lang w:val="en-GB"/>
        </w:rPr>
        <w:t>This paragraphs consists of the 9 sub-paragraphs as listed below:</w:t>
      </w:r>
    </w:p>
    <w:p>
      <w:pPr>
        <w:pStyle w:val="BodyText"/>
        <w:jc w:val="both"/>
        <w:rPr/>
      </w:pPr>
      <w:r>
        <w:rPr>
          <w:b/>
          <w:szCs w:val="22"/>
          <w:lang w:val="en-GB"/>
        </w:rPr>
        <w:t>DTHW - Optional  upgrade bronze to priority 2 (request/Incident)</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pPr>
      <w:r>
        <w:rPr>
          <w:b/>
          <w:szCs w:val="22"/>
          <w:lang w:val="en-GB"/>
        </w:rPr>
        <w:t xml:space="preserve">DTHW - Optional  upgrade silver to priority 1 (request/Incident)  </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pPr>
      <w:r>
        <w:rPr>
          <w:b/>
          <w:szCs w:val="22"/>
          <w:lang w:val="en-GB"/>
        </w:rPr>
        <w:t>UIS - Optional  upgrade  bronze to priority 2 (request/Incident)</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pPr>
      <w:r>
        <w:rPr>
          <w:b/>
          <w:szCs w:val="22"/>
          <w:lang w:val="en-GB"/>
        </w:rPr>
        <w:t>UIS - Optional  upgrade silver to priority 1 (request/Incident)</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b/>
          <w:szCs w:val="22"/>
          <w:lang w:val="en-GB"/>
        </w:rPr>
      </w:pPr>
      <w:r>
        <w:rPr>
          <w:b/>
          <w:szCs w:val="22"/>
          <w:lang w:val="en-GB"/>
        </w:rPr>
        <w:t>SM &amp; EUC (-UIS) - Incident priority 2 resolution time &lt; 8 hours</w:t>
      </w:r>
    </w:p>
    <w:p>
      <w:pPr>
        <w:pStyle w:val="BodyText"/>
        <w:jc w:val="both"/>
        <w:rPr>
          <w:szCs w:val="22"/>
          <w:lang w:val="en-GB"/>
        </w:rPr>
      </w:pPr>
      <w:r>
        <w:rPr>
          <w:szCs w:val="22"/>
          <w:lang w:val="en-GB"/>
        </w:rPr>
        <w:t>For the calculation please refer to the general calculation as described in paragraph 9.1.</w:t>
      </w:r>
    </w:p>
    <w:p>
      <w:pPr>
        <w:pStyle w:val="BodyText"/>
        <w:jc w:val="both"/>
        <w:rPr>
          <w:b/>
          <w:szCs w:val="22"/>
          <w:lang w:val="en-GB"/>
        </w:rPr>
      </w:pPr>
      <w:r>
        <w:rPr>
          <w:b/>
          <w:szCs w:val="22"/>
          <w:lang w:val="en-GB"/>
        </w:rPr>
        <w:t>SM &amp; EUC (-UIS) - Incident priority 3 resolution time &lt; 24 hours</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b/>
          <w:szCs w:val="22"/>
          <w:lang w:val="en-GB"/>
        </w:rPr>
      </w:pPr>
      <w:r>
        <w:rPr>
          <w:b/>
          <w:szCs w:val="22"/>
          <w:lang w:val="en-GB"/>
        </w:rPr>
        <w:t>SM &amp; EUC (-UIS) - Incident priority 4 resolution time &lt; 10 business days</w:t>
      </w:r>
    </w:p>
    <w:p>
      <w:pPr>
        <w:pStyle w:val="BodyText"/>
        <w:jc w:val="both"/>
        <w:rPr>
          <w:b/>
          <w:szCs w:val="22"/>
          <w:lang w:val="en-GB"/>
        </w:rPr>
      </w:pPr>
      <w:r>
        <w:rPr>
          <w:szCs w:val="22"/>
          <w:lang w:val="en-GB"/>
        </w:rPr>
        <w:t>For the calculation please refer to the general calculation as described in paragraph 9.1.</w:t>
      </w:r>
    </w:p>
    <w:p>
      <w:pPr>
        <w:pStyle w:val="BodyText"/>
        <w:jc w:val="both"/>
        <w:rPr>
          <w:b/>
          <w:szCs w:val="22"/>
          <w:lang w:val="en-GB"/>
        </w:rPr>
      </w:pPr>
      <w:r>
        <w:rPr>
          <w:b/>
          <w:szCs w:val="22"/>
          <w:lang w:val="en-GB"/>
        </w:rPr>
        <w:t>LAN - LAN Incidents</w:t>
      </w:r>
    </w:p>
    <w:p>
      <w:pPr>
        <w:pStyle w:val="BodyText"/>
        <w:jc w:val="both"/>
        <w:rPr>
          <w:szCs w:val="22"/>
          <w:lang w:val="en-GB"/>
        </w:rPr>
      </w:pPr>
      <w:r>
        <w:rPr>
          <w:szCs w:val="22"/>
          <w:lang w:val="en-GB"/>
        </w:rPr>
        <w:t>For the calculation please refer to the general calculation as described in paragraph 9.1.</w:t>
      </w:r>
    </w:p>
    <w:p>
      <w:pPr>
        <w:pStyle w:val="BodyText"/>
        <w:jc w:val="both"/>
        <w:rPr>
          <w:szCs w:val="22"/>
          <w:lang w:val="en-GB"/>
        </w:rPr>
      </w:pPr>
      <w:r>
        <w:rPr>
          <w:szCs w:val="22"/>
          <w:lang w:val="en-GB"/>
        </w:rPr>
        <w:t>Time lines to solve Incidents are stated in Attachment 3-E (</w:t>
      </w:r>
      <w:r>
        <w:rPr>
          <w:i/>
          <w:szCs w:val="22"/>
          <w:lang w:val="en-GB"/>
        </w:rPr>
        <w:t>Priority Levels</w:t>
      </w:r>
      <w:r>
        <w:rPr>
          <w:szCs w:val="22"/>
          <w:lang w:val="en-GB"/>
        </w:rPr>
        <w:t>)</w:t>
      </w:r>
    </w:p>
    <w:p>
      <w:pPr>
        <w:pStyle w:val="BodyText"/>
        <w:jc w:val="both"/>
        <w:rPr>
          <w:szCs w:val="22"/>
          <w:lang w:val="en-GB"/>
        </w:rPr>
      </w:pPr>
      <w:r>
        <w:rPr>
          <w:b/>
          <w:szCs w:val="22"/>
          <w:lang w:val="en-GB"/>
        </w:rPr>
        <w:t>Voice - Voice Incidents</w:t>
      </w:r>
    </w:p>
    <w:p>
      <w:pPr>
        <w:pStyle w:val="BodyText"/>
        <w:jc w:val="both"/>
        <w:rPr>
          <w:szCs w:val="22"/>
          <w:lang w:val="en-GB"/>
        </w:rPr>
      </w:pPr>
      <w:r>
        <w:rPr>
          <w:szCs w:val="22"/>
          <w:lang w:val="en-GB"/>
        </w:rPr>
        <w:t>For the calculation please refer to the general calculation as described in paragraph 9.1.</w:t>
      </w:r>
    </w:p>
    <w:p>
      <w:pPr>
        <w:pStyle w:val="BodyText"/>
        <w:jc w:val="both"/>
        <w:rPr>
          <w:szCs w:val="22"/>
          <w:lang w:val="en-GB"/>
        </w:rPr>
      </w:pPr>
      <w:r>
        <w:rPr>
          <w:szCs w:val="22"/>
          <w:lang w:val="en-GB"/>
        </w:rPr>
        <w:t>Time lines to solve Incidents are stated in Attachment 3-E (</w:t>
      </w:r>
      <w:r>
        <w:rPr>
          <w:i/>
          <w:szCs w:val="22"/>
          <w:lang w:val="en-GB"/>
        </w:rPr>
        <w:t>Priority Levels</w:t>
      </w:r>
      <w:r>
        <w:rPr>
          <w:szCs w:val="22"/>
          <w:lang w:val="en-GB"/>
        </w:rPr>
        <w:t>)</w:t>
      </w:r>
    </w:p>
    <w:p>
      <w:pPr>
        <w:pStyle w:val="BodyText"/>
        <w:jc w:val="both"/>
        <w:rPr>
          <w:b/>
          <w:szCs w:val="22"/>
          <w:lang w:val="en-GB"/>
        </w:rPr>
      </w:pPr>
      <w:r>
        <w:rPr>
          <w:b/>
          <w:szCs w:val="22"/>
          <w:lang w:val="en-GB"/>
        </w:rPr>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Incident timelines Dealing Room</w:t>
      </w:r>
    </w:p>
    <w:p>
      <w:pPr>
        <w:pStyle w:val="BodyText"/>
        <w:jc w:val="both"/>
        <w:rPr>
          <w:szCs w:val="22"/>
        </w:rPr>
      </w:pPr>
      <w:r>
        <w:rPr>
          <w:szCs w:val="22"/>
        </w:rPr>
        <w:t>It might be the case that under certain circumstances the logging of an Incident will take place after the solving of it.</w:t>
      </w:r>
    </w:p>
    <w:p>
      <w:pPr>
        <w:pStyle w:val="BodyText"/>
        <w:jc w:val="both"/>
        <w:rPr>
          <w:szCs w:val="22"/>
        </w:rPr>
      </w:pPr>
      <w:r>
        <w:rPr>
          <w:szCs w:val="22"/>
        </w:rPr>
        <w:t>The sub-paragraphs as set below are subject to the following assumptions:</w:t>
      </w:r>
    </w:p>
    <w:p>
      <w:pPr>
        <w:pStyle w:val="BodyText"/>
        <w:numPr>
          <w:ilvl w:val="0"/>
          <w:numId w:val="13"/>
        </w:numPr>
        <w:jc w:val="both"/>
        <w:rPr>
          <w:szCs w:val="22"/>
        </w:rPr>
      </w:pPr>
      <w:r>
        <w:rPr>
          <w:szCs w:val="22"/>
        </w:rPr>
        <w:t>no change rights for TFS</w:t>
      </w:r>
    </w:p>
    <w:p>
      <w:pPr>
        <w:pStyle w:val="BodyText"/>
        <w:numPr>
          <w:ilvl w:val="0"/>
          <w:numId w:val="13"/>
        </w:numPr>
        <w:jc w:val="both"/>
        <w:rPr>
          <w:szCs w:val="22"/>
        </w:rPr>
      </w:pPr>
      <w:r>
        <w:rPr>
          <w:szCs w:val="22"/>
        </w:rPr>
        <w:t>only read rights for TFS</w:t>
      </w:r>
    </w:p>
    <w:p>
      <w:pPr>
        <w:pStyle w:val="BodyText"/>
        <w:numPr>
          <w:ilvl w:val="0"/>
          <w:numId w:val="13"/>
        </w:numPr>
        <w:jc w:val="both"/>
        <w:rPr>
          <w:szCs w:val="22"/>
        </w:rPr>
      </w:pPr>
      <w:r>
        <w:rPr>
          <w:szCs w:val="22"/>
        </w:rPr>
        <w:t>TFS does not solve Incidents</w:t>
      </w:r>
    </w:p>
    <w:p>
      <w:pPr>
        <w:pStyle w:val="BodyText"/>
        <w:numPr>
          <w:ilvl w:val="0"/>
          <w:numId w:val="13"/>
        </w:numPr>
        <w:jc w:val="both"/>
        <w:rPr>
          <w:szCs w:val="22"/>
        </w:rPr>
      </w:pPr>
      <w:r>
        <w:rPr>
          <w:szCs w:val="22"/>
        </w:rPr>
        <w:t>the time to respond to an Incident and to solve the Incident starts at the moment the PST Supplier(s) are informed of the Incident</w:t>
      </w:r>
    </w:p>
    <w:p>
      <w:pPr>
        <w:pStyle w:val="BodyText"/>
        <w:numPr>
          <w:ilvl w:val="0"/>
          <w:numId w:val="13"/>
        </w:numPr>
        <w:jc w:val="both"/>
        <w:rPr>
          <w:szCs w:val="22"/>
          <w:lang w:val="en-GB"/>
        </w:rPr>
      </w:pPr>
      <w:r>
        <w:rPr>
          <w:szCs w:val="22"/>
          <w:lang w:val="en-GB"/>
        </w:rPr>
        <w:t>TFS will act as demand management for business and TFS will act as Authorised User</w:t>
      </w:r>
    </w:p>
    <w:p>
      <w:pPr>
        <w:pStyle w:val="BodyText"/>
        <w:numPr>
          <w:ilvl w:val="0"/>
          <w:numId w:val="13"/>
        </w:numPr>
        <w:jc w:val="both"/>
        <w:rPr>
          <w:szCs w:val="22"/>
          <w:lang w:val="en-GB"/>
        </w:rPr>
      </w:pPr>
      <w:r>
        <w:rPr>
          <w:szCs w:val="22"/>
          <w:lang w:val="en-GB"/>
        </w:rPr>
        <w:t>TFS will do first Incident analysis</w:t>
      </w:r>
    </w:p>
    <w:p>
      <w:pPr>
        <w:pStyle w:val="BodyText"/>
        <w:numPr>
          <w:ilvl w:val="0"/>
          <w:numId w:val="13"/>
        </w:numPr>
        <w:jc w:val="both"/>
        <w:rPr>
          <w:szCs w:val="22"/>
          <w:lang w:val="en-GB"/>
        </w:rPr>
      </w:pPr>
      <w:r>
        <w:rPr>
          <w:szCs w:val="22"/>
          <w:lang w:val="en-GB"/>
        </w:rPr>
        <w:t>TFS will report Incidents to PST Suppliers with probable causes</w:t>
      </w:r>
    </w:p>
    <w:p>
      <w:pPr>
        <w:pStyle w:val="BodyText"/>
        <w:jc w:val="both"/>
        <w:rPr>
          <w:b/>
          <w:szCs w:val="22"/>
        </w:rPr>
      </w:pPr>
      <w:r>
        <w:rPr>
          <w:b/>
          <w:szCs w:val="22"/>
        </w:rPr>
        <w:t>SD &amp; SM &amp; LAN &amp; DTHW &amp; EUC - Incident response time priority 1, 2, 3 and 4</w:t>
      </w:r>
    </w:p>
    <w:p>
      <w:pPr>
        <w:pStyle w:val="BodyText"/>
        <w:jc w:val="both"/>
        <w:rPr/>
      </w:pPr>
      <w:r>
        <w:rPr>
          <w:szCs w:val="22"/>
          <w:lang w:val="en-GB"/>
        </w:rPr>
        <w:t>Percentage of priority 1, 2, 3 and 4 Incidents regarding the Dealing Room responded to within the agreed time frame is calculated as (1 - (B / A)) * 100%, where</w:t>
      </w:r>
    </w:p>
    <w:p>
      <w:pPr>
        <w:pStyle w:val="BodyText"/>
        <w:jc w:val="both"/>
        <w:rPr>
          <w:szCs w:val="22"/>
          <w:lang w:val="en-GB"/>
        </w:rPr>
      </w:pPr>
      <w:r>
        <w:rPr>
          <w:szCs w:val="22"/>
          <w:lang w:val="en-GB"/>
        </w:rPr>
        <w:t>A = the number of priority 1, 2, 3 and 4 Incidents regarding the Dealing Room; and,</w:t>
      </w:r>
    </w:p>
    <w:p>
      <w:pPr>
        <w:pStyle w:val="BodyText"/>
        <w:jc w:val="both"/>
        <w:rPr/>
      </w:pPr>
      <w:r>
        <w:rPr>
          <w:szCs w:val="22"/>
          <w:lang w:val="en-GB"/>
        </w:rPr>
        <w:t>B = the number of priority 1, 2, 3 and 4 Incidents regarding the Dealing room that fall within “A” above which are not responded to within the agreed time frame.</w:t>
      </w:r>
    </w:p>
    <w:p>
      <w:pPr>
        <w:pStyle w:val="BodyText"/>
        <w:jc w:val="both"/>
        <w:rPr>
          <w:szCs w:val="22"/>
          <w:lang w:val="en-GB"/>
        </w:rPr>
      </w:pPr>
      <w:r>
        <w:rPr>
          <w:szCs w:val="22"/>
          <w:lang w:val="en-GB"/>
        </w:rPr>
        <w:t>Note: the respond timelines for priority 1, 2, 3 and 4 Incidents regarding the Dealing Room are: less then 5 minutes for priority 1; less then 15 minutes for priority 2; less then 4 hours for priority 3; and less then 24 hours for priority 4.</w:t>
      </w:r>
    </w:p>
    <w:p>
      <w:pPr>
        <w:pStyle w:val="BodyText"/>
        <w:jc w:val="both"/>
        <w:rPr>
          <w:szCs w:val="22"/>
          <w:lang w:val="en-GB"/>
        </w:rPr>
      </w:pPr>
      <w:r>
        <w:rPr>
          <w:szCs w:val="22"/>
          <w:lang w:val="en-GB"/>
        </w:rPr>
      </w:r>
    </w:p>
    <w:p>
      <w:pPr>
        <w:pStyle w:val="BodyText"/>
        <w:jc w:val="both"/>
        <w:rPr>
          <w:szCs w:val="22"/>
          <w:lang w:val="en-GB"/>
        </w:rPr>
      </w:pPr>
      <w:r>
        <w:rPr>
          <w:szCs w:val="22"/>
          <w:lang w:val="en-GB"/>
        </w:rPr>
      </w:r>
    </w:p>
    <w:p>
      <w:pPr>
        <w:pStyle w:val="BodyText"/>
        <w:jc w:val="both"/>
        <w:rPr>
          <w:b/>
          <w:szCs w:val="22"/>
        </w:rPr>
      </w:pPr>
      <w:r>
        <w:rPr>
          <w:b/>
          <w:szCs w:val="22"/>
        </w:rPr>
        <w:t>SD &amp; SM &amp; LAN &amp; DTHW &amp; EUC - Incident resolution time priority 1, 2, 3 and 4 Long</w:t>
      </w:r>
    </w:p>
    <w:p>
      <w:pPr>
        <w:pStyle w:val="BodyText"/>
        <w:jc w:val="both"/>
        <w:rPr>
          <w:szCs w:val="22"/>
          <w:lang w:val="en-GB"/>
        </w:rPr>
      </w:pPr>
      <w:r>
        <w:rPr>
          <w:szCs w:val="22"/>
          <w:lang w:val="en-GB"/>
        </w:rPr>
        <w:t>For the calculation please refer to the general calculation as described in paragraph 9.1</w:t>
      </w:r>
    </w:p>
    <w:p>
      <w:pPr>
        <w:pStyle w:val="BodyText"/>
        <w:jc w:val="both"/>
        <w:rPr>
          <w:szCs w:val="22"/>
          <w:lang w:val="en-GB"/>
        </w:rPr>
      </w:pPr>
      <w:r>
        <w:rPr>
          <w:szCs w:val="22"/>
          <w:lang w:val="en-GB"/>
        </w:rPr>
        <w:t xml:space="preserve">Note: the resolve timelines for priority 1, 2, 3 and 4 Incidents Long regarding the Dealing Room are: </w:t>
      </w:r>
    </w:p>
    <w:p>
      <w:pPr>
        <w:pStyle w:val="BodyText"/>
        <w:jc w:val="both"/>
        <w:rPr>
          <w:szCs w:val="22"/>
          <w:lang w:val="en-GB"/>
        </w:rPr>
      </w:pPr>
      <w:r>
        <w:rPr>
          <w:szCs w:val="22"/>
          <w:lang w:val="en-GB"/>
        </w:rPr>
        <w:t xml:space="preserve">less than 3 hours for priority 1; </w:t>
      </w:r>
    </w:p>
    <w:p>
      <w:pPr>
        <w:pStyle w:val="BodyText"/>
        <w:jc w:val="both"/>
        <w:rPr>
          <w:szCs w:val="22"/>
          <w:lang w:val="en-GB"/>
        </w:rPr>
      </w:pPr>
      <w:r>
        <w:rPr>
          <w:szCs w:val="22"/>
          <w:lang w:val="en-GB"/>
        </w:rPr>
        <w:t xml:space="preserve">less than 6 hours for priority 2; </w:t>
      </w:r>
    </w:p>
    <w:p>
      <w:pPr>
        <w:pStyle w:val="BodyText"/>
        <w:jc w:val="both"/>
        <w:rPr>
          <w:szCs w:val="22"/>
          <w:lang w:val="en-GB"/>
        </w:rPr>
      </w:pPr>
      <w:r>
        <w:rPr>
          <w:szCs w:val="22"/>
          <w:lang w:val="en-GB"/>
        </w:rPr>
        <w:t xml:space="preserve">less than 1 week for priority 3; and </w:t>
      </w:r>
    </w:p>
    <w:p>
      <w:pPr>
        <w:pStyle w:val="BodyText"/>
        <w:jc w:val="both"/>
        <w:rPr/>
      </w:pPr>
      <w:r>
        <w:rPr>
          <w:szCs w:val="22"/>
          <w:lang w:val="en-GB"/>
        </w:rPr>
        <w:t>less than 3 weeks for priority 4.</w:t>
      </w:r>
    </w:p>
    <w:p>
      <w:pPr>
        <w:pStyle w:val="BodyText"/>
        <w:jc w:val="both"/>
        <w:rPr>
          <w:b/>
          <w:szCs w:val="22"/>
        </w:rPr>
      </w:pPr>
      <w:r>
        <w:rPr>
          <w:b/>
          <w:szCs w:val="22"/>
        </w:rPr>
        <w:t>SD &amp; SM &amp; LAN &amp; DTHW &amp; EUC - Incident resolution time priority 1, 2, 3 and 4 Short</w:t>
      </w:r>
    </w:p>
    <w:p>
      <w:pPr>
        <w:pStyle w:val="BodyText"/>
        <w:jc w:val="both"/>
        <w:rPr>
          <w:szCs w:val="22"/>
          <w:lang w:val="en-GB"/>
        </w:rPr>
      </w:pPr>
      <w:r>
        <w:rPr>
          <w:szCs w:val="22"/>
          <w:lang w:val="en-GB"/>
        </w:rPr>
        <w:t>For the calculation please refer to the general calculation as described in paragraph 9.1</w:t>
      </w:r>
    </w:p>
    <w:p>
      <w:pPr>
        <w:pStyle w:val="BodyText"/>
        <w:jc w:val="both"/>
        <w:rPr>
          <w:szCs w:val="22"/>
          <w:lang w:val="en-GB"/>
        </w:rPr>
      </w:pPr>
      <w:r>
        <w:rPr>
          <w:szCs w:val="22"/>
          <w:lang w:val="en-GB"/>
        </w:rPr>
        <w:t xml:space="preserve">Note: the resolve timelines for priority 1, 2, 3 and 4 Incidents Short regarding the Dealing Room are: </w:t>
      </w:r>
    </w:p>
    <w:p>
      <w:pPr>
        <w:pStyle w:val="BodyText"/>
        <w:jc w:val="both"/>
        <w:rPr>
          <w:szCs w:val="22"/>
          <w:lang w:val="en-GB"/>
        </w:rPr>
      </w:pPr>
      <w:r>
        <w:rPr>
          <w:szCs w:val="22"/>
          <w:lang w:val="en-GB"/>
        </w:rPr>
        <w:t xml:space="preserve">less than 1 hour for priority 1; </w:t>
      </w:r>
    </w:p>
    <w:p>
      <w:pPr>
        <w:pStyle w:val="BodyText"/>
        <w:jc w:val="both"/>
        <w:rPr>
          <w:szCs w:val="22"/>
          <w:lang w:val="en-GB"/>
        </w:rPr>
      </w:pPr>
      <w:r>
        <w:rPr>
          <w:szCs w:val="22"/>
          <w:lang w:val="en-GB"/>
        </w:rPr>
        <w:t xml:space="preserve">less than 2 hours for priority 2; </w:t>
      </w:r>
    </w:p>
    <w:p>
      <w:pPr>
        <w:pStyle w:val="BodyText"/>
        <w:jc w:val="both"/>
        <w:rPr>
          <w:szCs w:val="22"/>
          <w:lang w:val="en-GB"/>
        </w:rPr>
      </w:pPr>
      <w:r>
        <w:rPr>
          <w:szCs w:val="22"/>
          <w:lang w:val="en-GB"/>
        </w:rPr>
        <w:t xml:space="preserve">less than 24 hours for priority 3; and </w:t>
      </w:r>
    </w:p>
    <w:p>
      <w:pPr>
        <w:pStyle w:val="BodyText"/>
        <w:jc w:val="both"/>
        <w:rPr/>
      </w:pPr>
      <w:r>
        <w:rPr>
          <w:szCs w:val="22"/>
          <w:lang w:val="en-GB"/>
        </w:rPr>
        <w:t>less than 2 weeks for priority 4.</w:t>
      </w:r>
    </w:p>
    <w:p>
      <w:pPr>
        <w:pStyle w:val="BodyText"/>
        <w:jc w:val="both"/>
        <w:rPr>
          <w:szCs w:val="22"/>
          <w:lang w:val="en-GB"/>
        </w:rPr>
      </w:pPr>
      <w:r>
        <w:rPr>
          <w:szCs w:val="22"/>
          <w:lang w:val="en-GB"/>
        </w:rPr>
      </w:r>
    </w:p>
    <w:p>
      <w:pPr>
        <w:pStyle w:val="Heading1Numbered"/>
        <w:numPr>
          <w:ilvl w:val="0"/>
          <w:numId w:val="4"/>
        </w:numPr>
        <w:ind w:hanging="0" w:start="0"/>
        <w:jc w:val="both"/>
        <w:outlineLvl w:val="0"/>
        <w:rPr>
          <w:rFonts w:ascii="Times New Roman" w:hAnsi="Times New Roman" w:cs="Times New Roman"/>
          <w:sz w:val="22"/>
          <w:szCs w:val="22"/>
          <w:lang w:val="en-GB"/>
        </w:rPr>
      </w:pPr>
      <w:bookmarkStart w:id="29" w:name="__RefHeading___Toc151896997"/>
      <w:bookmarkEnd w:id="29"/>
      <w:r>
        <w:rPr>
          <w:rFonts w:cs="Times New Roman" w:ascii="Times New Roman" w:hAnsi="Times New Roman"/>
          <w:sz w:val="22"/>
          <w:szCs w:val="22"/>
          <w:lang w:val="en-GB"/>
        </w:rPr>
        <w:t>Integrator Services</w:t>
      </w:r>
    </w:p>
    <w:p>
      <w:pPr>
        <w:pStyle w:val="BodyText"/>
        <w:jc w:val="both"/>
        <w:rPr>
          <w:szCs w:val="22"/>
          <w:lang w:val="en-GB"/>
        </w:rPr>
      </w:pPr>
      <w:r>
        <w:rPr>
          <w:szCs w:val="22"/>
          <w:lang w:val="en-GB"/>
        </w:rPr>
        <w:t xml:space="preserve">The Integrator Service is a collection of Services which manage the delivery of Services and Services that manages overall processes like ITIL, BCP &amp; DRP, Security &amp; Audits and PMO. </w:t>
      </w:r>
    </w:p>
    <w:p>
      <w:pPr>
        <w:pStyle w:val="Heading2Numbered"/>
        <w:numPr>
          <w:ilvl w:val="1"/>
          <w:numId w:val="4"/>
        </w:numPr>
        <w:ind w:hanging="0" w:start="0"/>
        <w:jc w:val="both"/>
        <w:rPr>
          <w:rFonts w:ascii="Times New Roman" w:hAnsi="Times New Roman" w:cs="Times New Roman"/>
          <w:sz w:val="22"/>
          <w:szCs w:val="22"/>
          <w:lang w:val="en-GB"/>
        </w:rPr>
      </w:pPr>
      <w:bookmarkStart w:id="30" w:name="__RefHeading___Toc151896998"/>
      <w:bookmarkEnd w:id="30"/>
      <w:r>
        <w:rPr>
          <w:rFonts w:cs="Times New Roman" w:ascii="Times New Roman" w:hAnsi="Times New Roman"/>
          <w:sz w:val="22"/>
          <w:szCs w:val="22"/>
          <w:lang w:val="en-GB"/>
        </w:rPr>
        <w:t>Service Management Service – Availability</w:t>
      </w:r>
    </w:p>
    <w:p>
      <w:pPr>
        <w:pStyle w:val="BodyText"/>
        <w:jc w:val="both"/>
        <w:rPr/>
      </w:pPr>
      <w:r>
        <w:rPr>
          <w:szCs w:val="22"/>
          <w:lang w:val="en-GB"/>
        </w:rPr>
        <w:t xml:space="preserve">The Service Management service availability will be measure through the 2IM availability to start managing priority 1 Incident and high impact priority 1 Incident within the agreed timeframe. </w:t>
      </w:r>
    </w:p>
    <w:p>
      <w:pPr>
        <w:pStyle w:val="BodyText"/>
        <w:jc w:val="both"/>
        <w:rPr/>
      </w:pPr>
      <w:r>
        <w:rPr>
          <w:szCs w:val="22"/>
          <w:lang w:val="en-GB"/>
        </w:rPr>
        <w:t>The formula used to calculate the realised level for this Critical Service Level is the average of the realised level described in the paragraph 10.1.1 through 10.1.2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Handling priority 1 Incident.</w:t>
      </w:r>
    </w:p>
    <w:p>
      <w:pPr>
        <w:pStyle w:val="Normal"/>
        <w:ind w:start="720" w:end="0"/>
        <w:jc w:val="both"/>
        <w:rPr/>
      </w:pPr>
      <w:r>
        <w:rPr>
          <w:szCs w:val="22"/>
          <w:lang w:val="en-GB" w:eastAsia="fr-FR"/>
        </w:rPr>
        <w:t xml:space="preserve">This item is to measure the 2IM availability based on the time requested to be onboard and start the Priority 1 management. This the first 2IM responsibility, in case of priority 1 Incident, 2IM will be informed by the Service Desk and must answer and start Incident management after 15 minutes. </w:t>
      </w:r>
    </w:p>
    <w:p>
      <w:pPr>
        <w:pStyle w:val="Normal"/>
        <w:ind w:start="720" w:end="0"/>
        <w:jc w:val="both"/>
        <w:rPr/>
      </w:pPr>
      <w:r>
        <w:rPr>
          <w:szCs w:val="22"/>
          <w:lang w:val="en-GB" w:eastAsia="fr-FR"/>
        </w:rPr>
        <w:t>The 2IM response time to manage priority 1 Incidents escalated by PST suppliers for an Incident resolution that requires involvement of several PST suppliers will be measured by the time requested to answer the Service Desk. This measures 2IM efficiency for priority 1 Incidents resolution.</w:t>
      </w:r>
    </w:p>
    <w:p>
      <w:pPr>
        <w:pStyle w:val="Normal"/>
        <w:ind w:start="720" w:end="0"/>
        <w:jc w:val="both"/>
        <w:rPr/>
      </w:pPr>
      <w:r>
        <w:rPr>
          <w:szCs w:val="22"/>
          <w:lang w:val="en-GB" w:eastAsia="fr-FR"/>
        </w:rPr>
        <w:t>2IM must start management of the Incidents within 15 minutes after escalation.</w:t>
      </w:r>
    </w:p>
    <w:p>
      <w:pPr>
        <w:pStyle w:val="Normal"/>
        <w:ind w:start="720" w:end="0"/>
        <w:jc w:val="both"/>
        <w:rPr/>
      </w:pPr>
      <w:r>
        <w:rPr>
          <w:szCs w:val="22"/>
        </w:rPr>
        <w:t xml:space="preserve">Handling of Priority 1 is calculated as </w:t>
      </w:r>
      <w:r>
        <w:rPr>
          <w:szCs w:val="22"/>
          <w:lang w:val="en-GB"/>
        </w:rPr>
        <w:t>(1 - (B / A)) * 100%</w:t>
      </w:r>
      <w:r>
        <w:rPr>
          <w:szCs w:val="22"/>
        </w:rPr>
        <w:t>where</w:t>
      </w:r>
    </w:p>
    <w:p>
      <w:pPr>
        <w:pStyle w:val="Normal"/>
        <w:ind w:start="720" w:end="0"/>
        <w:jc w:val="both"/>
        <w:rPr>
          <w:szCs w:val="22"/>
          <w:lang w:val="en-GB" w:eastAsia="fr-FR"/>
        </w:rPr>
      </w:pPr>
      <w:r>
        <w:rPr>
          <w:szCs w:val="22"/>
          <w:lang w:val="en-GB" w:eastAsia="fr-FR"/>
        </w:rPr>
        <w:t>A = number of calls escalated to 2IM</w:t>
      </w:r>
    </w:p>
    <w:p>
      <w:pPr>
        <w:pStyle w:val="Normal"/>
        <w:ind w:start="720" w:end="0"/>
        <w:jc w:val="both"/>
        <w:rPr>
          <w:szCs w:val="22"/>
          <w:lang w:val="en-GB" w:eastAsia="fr-FR"/>
        </w:rPr>
      </w:pPr>
      <w:r>
        <w:rPr>
          <w:szCs w:val="22"/>
          <w:lang w:val="en-GB" w:eastAsia="fr-FR"/>
        </w:rPr>
        <w:t>B = number of calls not answered by 2IM after 15 minutes after escalation.</w:t>
      </w:r>
    </w:p>
    <w:p>
      <w:pPr>
        <w:pStyle w:val="Normal"/>
        <w:ind w:start="720" w:end="0"/>
        <w:jc w:val="both"/>
        <w:rPr>
          <w:szCs w:val="22"/>
          <w:lang w:val="en-GB" w:eastAsia="fr-FR"/>
        </w:rPr>
      </w:pPr>
      <w:r>
        <w:rPr>
          <w:szCs w:val="22"/>
          <w:lang w:val="en-GB" w:eastAsia="fr-FR"/>
        </w:rPr>
        <w:t xml:space="preserve">Example: </w:t>
      </w:r>
    </w:p>
    <w:p>
      <w:pPr>
        <w:pStyle w:val="Normal"/>
        <w:ind w:start="720" w:end="0"/>
        <w:jc w:val="both"/>
        <w:rPr/>
      </w:pPr>
      <w:r>
        <w:rPr>
          <w:szCs w:val="22"/>
          <w:lang w:val="en-GB" w:eastAsia="fr-FR"/>
        </w:rPr>
        <w:t>Service Desk calls 2IM at 09:00pm for a Priority 1 Incident requiring 2IM involvement.</w:t>
      </w:r>
    </w:p>
    <w:p>
      <w:pPr>
        <w:pStyle w:val="Normal"/>
        <w:ind w:start="720" w:end="0"/>
        <w:jc w:val="both"/>
        <w:rPr/>
      </w:pPr>
      <w:r>
        <w:rPr>
          <w:szCs w:val="22"/>
          <w:lang w:val="en-GB" w:eastAsia="fr-FR"/>
        </w:rPr>
        <w:t>If 2IM answers and start management of the call before 09:15pm the Critical Service Level will be respected. If 2IM answers the call after 09:15pm it will be a service default.</w:t>
      </w:r>
    </w:p>
    <w:p>
      <w:pPr>
        <w:pStyle w:val="Normal"/>
        <w:ind w:start="720" w:end="0"/>
        <w:jc w:val="both"/>
        <w:rPr>
          <w:szCs w:val="22"/>
          <w:lang w:val="en-GB" w:eastAsia="fr-FR"/>
        </w:rPr>
      </w:pPr>
      <w:r>
        <w:rPr>
          <w:szCs w:val="22"/>
          <w:lang w:val="en-GB" w:eastAsia="fr-FR"/>
        </w:rPr>
      </w:r>
    </w:p>
    <w:p>
      <w:pPr>
        <w:pStyle w:val="Normal"/>
        <w:ind w:start="720" w:end="0"/>
        <w:jc w:val="both"/>
        <w:rPr>
          <w:szCs w:val="22"/>
          <w:lang w:val="en-GB" w:eastAsia="fr-FR"/>
        </w:rPr>
      </w:pPr>
      <w:r>
        <w:rPr>
          <w:szCs w:val="22"/>
          <w:lang w:val="en-GB" w:eastAsia="fr-FR"/>
        </w:rPr>
        <w:t>A = 100 Priority 1 calls escalated to 2IM by the Service Desk</w:t>
      </w:r>
    </w:p>
    <w:p>
      <w:pPr>
        <w:pStyle w:val="Normal"/>
        <w:ind w:start="720" w:end="0"/>
        <w:jc w:val="both"/>
        <w:rPr>
          <w:szCs w:val="22"/>
          <w:lang w:val="en-GB" w:eastAsia="fr-FR"/>
        </w:rPr>
      </w:pPr>
      <w:r>
        <w:rPr>
          <w:szCs w:val="22"/>
          <w:lang w:val="en-GB" w:eastAsia="fr-FR"/>
        </w:rPr>
        <w:t>B = 1 Priority 1 calls escalated to 2IM where not answered after 15 minutes after the escalation time.</w:t>
      </w:r>
    </w:p>
    <w:p>
      <w:pPr>
        <w:pStyle w:val="Normal"/>
        <w:ind w:start="720" w:end="0"/>
        <w:jc w:val="both"/>
        <w:rPr>
          <w:szCs w:val="22"/>
          <w:lang w:val="en-GB" w:eastAsia="fr-FR"/>
        </w:rPr>
      </w:pPr>
      <w:r>
        <w:rPr>
          <w:szCs w:val="22"/>
          <w:lang w:val="en-GB" w:eastAsia="fr-FR"/>
        </w:rPr>
      </w:r>
    </w:p>
    <w:p>
      <w:pPr>
        <w:pStyle w:val="Normal"/>
        <w:ind w:start="720" w:end="0"/>
        <w:jc w:val="both"/>
        <w:rPr>
          <w:szCs w:val="22"/>
          <w:lang w:val="en-GB" w:eastAsia="fr-FR"/>
        </w:rPr>
      </w:pPr>
      <w:r>
        <w:rPr>
          <w:szCs w:val="22"/>
          <w:lang w:val="en-GB" w:eastAsia="fr-FR"/>
        </w:rPr>
        <w:t>(1 – (1/100) * 100%) = 99%</w:t>
      </w:r>
    </w:p>
    <w:p>
      <w:pPr>
        <w:pStyle w:val="BodyText"/>
        <w:jc w:val="both"/>
        <w:rPr>
          <w:szCs w:val="22"/>
          <w:lang w:val="en-GB" w:eastAsia="fr-FR"/>
        </w:rPr>
      </w:pPr>
      <w:r>
        <w:rPr>
          <w:szCs w:val="22"/>
          <w:lang w:val="en-GB" w:eastAsia="fr-FR"/>
        </w:rPr>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High impact Incident management (priority 1)</w:t>
      </w:r>
    </w:p>
    <w:p>
      <w:pPr>
        <w:pStyle w:val="Normal"/>
        <w:ind w:start="720" w:end="0"/>
        <w:jc w:val="both"/>
        <w:rPr/>
      </w:pPr>
      <w:r>
        <w:rPr>
          <w:szCs w:val="22"/>
          <w:lang w:val="en-GB" w:eastAsia="fr-FR"/>
        </w:rPr>
        <w:t>This Item will measure the second 2IM responsibilities in case of Priority 1 Incident. When informed by the Service Desk (see 10.1.1) 2IM will follow up with the PST Suppliers if the problem has been clearly identified and if the right PST Suppliers are working to fix it. Within the 20 minutes, 2IM will be able to know which PST Suppliers are involved.</w:t>
      </w:r>
    </w:p>
    <w:p>
      <w:pPr>
        <w:pStyle w:val="Normal"/>
        <w:ind w:start="720" w:end="0"/>
        <w:jc w:val="both"/>
        <w:rPr>
          <w:szCs w:val="22"/>
          <w:lang w:val="en-GB" w:eastAsia="fr-FR"/>
        </w:rPr>
      </w:pPr>
      <w:r>
        <w:rPr>
          <w:szCs w:val="22"/>
          <w:lang w:val="en-GB" w:eastAsia="fr-FR"/>
        </w:rPr>
        <w:t xml:space="preserve">2IM average response time to process high impact Incidents will be measure by the time requested to verify and or involve PST Suppliers. This measures 2IM efficiency for high impact Incidents resolution Response Time to trigger the Solver Group must be less than 20 minutes (e.g. avoid ping-poing). </w:t>
      </w:r>
    </w:p>
    <w:p>
      <w:pPr>
        <w:pStyle w:val="Normal"/>
        <w:ind w:start="720" w:end="0"/>
        <w:jc w:val="both"/>
        <w:rPr>
          <w:szCs w:val="22"/>
          <w:lang w:val="en-GB" w:eastAsia="fr-FR"/>
        </w:rPr>
      </w:pPr>
      <w:r>
        <w:rPr>
          <w:szCs w:val="22"/>
          <w:lang w:val="en-GB" w:eastAsia="fr-FR"/>
        </w:rPr>
      </w:r>
    </w:p>
    <w:p>
      <w:pPr>
        <w:pStyle w:val="Normal"/>
        <w:ind w:start="720" w:end="0"/>
        <w:jc w:val="both"/>
        <w:rPr/>
      </w:pPr>
      <w:r>
        <w:rPr>
          <w:szCs w:val="22"/>
          <w:lang w:val="en-GB" w:eastAsia="fr-FR"/>
        </w:rPr>
        <w:t>High Impact Priority 1 Incidents management</w:t>
      </w:r>
      <w:r>
        <w:rPr>
          <w:szCs w:val="22"/>
        </w:rPr>
        <w:t xml:space="preserve"> is calculated as </w:t>
      </w:r>
      <w:r>
        <w:rPr>
          <w:szCs w:val="22"/>
          <w:lang w:val="en-GB"/>
        </w:rPr>
        <w:t>(1 - (B / A)) * 100%</w:t>
      </w:r>
      <w:r>
        <w:rPr>
          <w:szCs w:val="22"/>
        </w:rPr>
        <w:t>where</w:t>
      </w:r>
    </w:p>
    <w:p>
      <w:pPr>
        <w:pStyle w:val="Normal"/>
        <w:ind w:start="720" w:end="0"/>
        <w:jc w:val="both"/>
        <w:rPr>
          <w:szCs w:val="22"/>
          <w:lang w:val="en-GB" w:eastAsia="fr-FR"/>
        </w:rPr>
      </w:pPr>
      <w:r>
        <w:rPr>
          <w:szCs w:val="22"/>
          <w:lang w:val="en-GB" w:eastAsia="fr-FR"/>
        </w:rPr>
        <w:t>A = number of calls high Impact Incidents escalated to 2IM</w:t>
      </w:r>
    </w:p>
    <w:p>
      <w:pPr>
        <w:pStyle w:val="Normal"/>
        <w:ind w:start="720" w:end="0"/>
        <w:jc w:val="both"/>
        <w:rPr>
          <w:szCs w:val="22"/>
          <w:lang w:val="en-GB" w:eastAsia="fr-FR"/>
        </w:rPr>
      </w:pPr>
      <w:r>
        <w:rPr>
          <w:szCs w:val="22"/>
          <w:lang w:val="en-GB" w:eastAsia="fr-FR"/>
        </w:rPr>
        <w:t>B = number of calls not managed by 2IM after 20 minutes.</w:t>
      </w:r>
    </w:p>
    <w:p>
      <w:pPr>
        <w:pStyle w:val="Normal"/>
        <w:ind w:start="720" w:end="0"/>
        <w:jc w:val="both"/>
        <w:rPr>
          <w:szCs w:val="22"/>
          <w:lang w:val="en-GB" w:eastAsia="fr-FR"/>
        </w:rPr>
      </w:pPr>
      <w:r>
        <w:rPr>
          <w:szCs w:val="22"/>
          <w:lang w:val="en-GB" w:eastAsia="fr-FR"/>
        </w:rPr>
        <w:t xml:space="preserve">Example: </w:t>
      </w:r>
    </w:p>
    <w:p>
      <w:pPr>
        <w:pStyle w:val="Normal"/>
        <w:ind w:start="720" w:end="0"/>
        <w:jc w:val="both"/>
        <w:rPr/>
      </w:pPr>
      <w:r>
        <w:rPr>
          <w:szCs w:val="22"/>
          <w:lang w:val="en-GB" w:eastAsia="fr-FR"/>
        </w:rPr>
        <w:t>2IM answers the call within the 15 minutes and start the Incident management process at 09:15pm (see 10.1.1).</w:t>
      </w:r>
    </w:p>
    <w:p>
      <w:pPr>
        <w:pStyle w:val="Normal"/>
        <w:ind w:start="720" w:end="0"/>
        <w:jc w:val="both"/>
        <w:rPr>
          <w:szCs w:val="22"/>
          <w:lang w:val="en-GB" w:eastAsia="fr-FR"/>
        </w:rPr>
      </w:pPr>
      <w:r>
        <w:rPr>
          <w:szCs w:val="22"/>
          <w:lang w:val="en-GB" w:eastAsia="fr-FR"/>
        </w:rPr>
      </w:r>
    </w:p>
    <w:p>
      <w:pPr>
        <w:pStyle w:val="Normal"/>
        <w:ind w:start="720" w:end="0"/>
        <w:jc w:val="both"/>
        <w:rPr/>
      </w:pPr>
      <w:r>
        <w:rPr>
          <w:szCs w:val="22"/>
          <w:lang w:val="en-GB" w:eastAsia="fr-FR"/>
        </w:rPr>
        <w:t>If at 09:35 pm the PST Suppliers or all PST suppliers are not working to fix the Incident, it will be a service default.</w:t>
      </w:r>
    </w:p>
    <w:p>
      <w:pPr>
        <w:pStyle w:val="Normal"/>
        <w:ind w:start="720" w:end="0"/>
        <w:jc w:val="both"/>
        <w:rPr>
          <w:szCs w:val="22"/>
          <w:lang w:val="en-GB" w:eastAsia="fr-FR"/>
        </w:rPr>
      </w:pPr>
      <w:r>
        <w:rPr>
          <w:szCs w:val="22"/>
          <w:lang w:val="en-GB" w:eastAsia="fr-FR"/>
        </w:rPr>
      </w:r>
    </w:p>
    <w:p>
      <w:pPr>
        <w:pStyle w:val="Normal"/>
        <w:ind w:start="720" w:end="0"/>
        <w:jc w:val="both"/>
        <w:rPr>
          <w:szCs w:val="22"/>
          <w:lang w:val="en-GB" w:eastAsia="fr-FR"/>
        </w:rPr>
      </w:pPr>
      <w:r>
        <w:rPr>
          <w:szCs w:val="22"/>
          <w:lang w:val="en-GB" w:eastAsia="fr-FR"/>
        </w:rPr>
        <w:t>A = 100 Priority 1 calls escalated to 2IM</w:t>
      </w:r>
    </w:p>
    <w:p>
      <w:pPr>
        <w:pStyle w:val="Normal"/>
        <w:ind w:start="720" w:end="0"/>
        <w:jc w:val="both"/>
        <w:rPr>
          <w:szCs w:val="22"/>
          <w:lang w:val="en-GB" w:eastAsia="fr-FR"/>
        </w:rPr>
      </w:pPr>
      <w:r>
        <w:rPr>
          <w:szCs w:val="22"/>
          <w:lang w:val="en-GB" w:eastAsia="fr-FR"/>
        </w:rPr>
        <w:t>B = 1 Priority 1 calls escalated to 2IM where PST Suppliers were involved after more than 20 minutes after the escalation time.</w:t>
      </w:r>
    </w:p>
    <w:p>
      <w:pPr>
        <w:pStyle w:val="Normal"/>
        <w:ind w:start="720" w:end="0"/>
        <w:jc w:val="both"/>
        <w:rPr>
          <w:szCs w:val="22"/>
          <w:lang w:val="en-GB" w:eastAsia="fr-FR"/>
        </w:rPr>
      </w:pPr>
      <w:r>
        <w:rPr>
          <w:szCs w:val="22"/>
          <w:lang w:val="en-GB" w:eastAsia="fr-FR"/>
        </w:rPr>
      </w:r>
    </w:p>
    <w:p>
      <w:pPr>
        <w:pStyle w:val="Normal"/>
        <w:ind w:start="720" w:end="0"/>
        <w:jc w:val="both"/>
        <w:rPr>
          <w:szCs w:val="22"/>
          <w:lang w:val="en-GB" w:eastAsia="fr-FR"/>
        </w:rPr>
      </w:pPr>
      <w:r>
        <w:rPr>
          <w:szCs w:val="22"/>
          <w:lang w:val="en-GB" w:eastAsia="fr-FR"/>
        </w:rPr>
        <w:t>(1 – (1/100) * 100%) = 99%</w:t>
      </w:r>
    </w:p>
    <w:p>
      <w:pPr>
        <w:pStyle w:val="Normal"/>
        <w:ind w:start="720" w:end="0"/>
        <w:jc w:val="both"/>
        <w:rPr>
          <w:szCs w:val="22"/>
          <w:lang w:val="en-GB" w:eastAsia="fr-FR"/>
        </w:rPr>
      </w:pPr>
      <w:r>
        <w:rPr>
          <w:szCs w:val="22"/>
          <w:lang w:val="en-GB" w:eastAsia="fr-FR"/>
        </w:rPr>
      </w:r>
    </w:p>
    <w:p>
      <w:pPr>
        <w:pStyle w:val="BodyText"/>
        <w:jc w:val="both"/>
        <w:rPr>
          <w:szCs w:val="22"/>
          <w:lang w:val="en-GB" w:eastAsia="fr-FR"/>
        </w:rPr>
      </w:pPr>
      <w:r>
        <w:rPr>
          <w:szCs w:val="22"/>
          <w:lang w:val="en-GB" w:eastAsia="fr-FR"/>
        </w:rPr>
      </w:r>
    </w:p>
    <w:p>
      <w:pPr>
        <w:pStyle w:val="Heading2Numbered"/>
        <w:numPr>
          <w:ilvl w:val="1"/>
          <w:numId w:val="4"/>
        </w:numPr>
        <w:ind w:hanging="0" w:start="0"/>
        <w:jc w:val="both"/>
        <w:rPr>
          <w:rFonts w:ascii="Times New Roman" w:hAnsi="Times New Roman" w:cs="Times New Roman"/>
          <w:sz w:val="22"/>
          <w:szCs w:val="22"/>
          <w:lang w:val="en-GB"/>
        </w:rPr>
      </w:pPr>
      <w:bookmarkStart w:id="31" w:name="__RefHeading___Toc151896999"/>
      <w:bookmarkEnd w:id="31"/>
      <w:r>
        <w:rPr>
          <w:rFonts w:cs="Times New Roman" w:ascii="Times New Roman" w:hAnsi="Times New Roman"/>
          <w:sz w:val="22"/>
          <w:szCs w:val="22"/>
          <w:lang w:val="en-GB"/>
        </w:rPr>
        <w:t>Service Management Service – Performance</w:t>
      </w:r>
    </w:p>
    <w:p>
      <w:pPr>
        <w:pStyle w:val="Normal"/>
        <w:ind w:start="720" w:end="0"/>
        <w:jc w:val="both"/>
        <w:rPr>
          <w:szCs w:val="22"/>
          <w:lang w:val="en-GB" w:eastAsia="fr-FR"/>
        </w:rPr>
      </w:pPr>
      <w:r>
        <w:rPr>
          <w:szCs w:val="22"/>
          <w:lang w:val="en-GB" w:eastAsia="fr-FR"/>
        </w:rPr>
        <w:t>The Service Management service performance will be measure as an average of the following components:</w:t>
      </w:r>
    </w:p>
    <w:p>
      <w:pPr>
        <w:pStyle w:val="BulletList"/>
        <w:numPr>
          <w:ilvl w:val="0"/>
          <w:numId w:val="17"/>
        </w:numPr>
        <w:tabs>
          <w:tab w:val="clear" w:pos="720"/>
          <w:tab w:val="left" w:pos="1440" w:leader="none"/>
        </w:tabs>
        <w:ind w:hanging="360" w:start="1440" w:end="0"/>
        <w:jc w:val="both"/>
        <w:rPr>
          <w:szCs w:val="22"/>
          <w:lang w:val="en-GB" w:eastAsia="fr-FR"/>
        </w:rPr>
      </w:pPr>
      <w:r>
        <w:rPr>
          <w:szCs w:val="22"/>
          <w:lang w:val="en-GB" w:eastAsia="fr-FR"/>
        </w:rPr>
        <w:t>Service Quality</w:t>
      </w:r>
    </w:p>
    <w:p>
      <w:pPr>
        <w:pStyle w:val="BulletList"/>
        <w:numPr>
          <w:ilvl w:val="0"/>
          <w:numId w:val="17"/>
        </w:numPr>
        <w:tabs>
          <w:tab w:val="clear" w:pos="720"/>
          <w:tab w:val="left" w:pos="1440" w:leader="none"/>
        </w:tabs>
        <w:ind w:hanging="360" w:start="1440" w:end="0"/>
        <w:jc w:val="both"/>
        <w:rPr>
          <w:szCs w:val="22"/>
          <w:lang w:val="en-GB" w:eastAsia="fr-FR"/>
        </w:rPr>
      </w:pPr>
      <w:r>
        <w:rPr>
          <w:szCs w:val="22"/>
          <w:lang w:val="en-GB" w:eastAsia="fr-FR"/>
        </w:rPr>
        <w:t>Incident Management</w:t>
      </w:r>
    </w:p>
    <w:p>
      <w:pPr>
        <w:pStyle w:val="BulletList"/>
        <w:numPr>
          <w:ilvl w:val="0"/>
          <w:numId w:val="17"/>
        </w:numPr>
        <w:tabs>
          <w:tab w:val="clear" w:pos="720"/>
          <w:tab w:val="left" w:pos="1440" w:leader="none"/>
        </w:tabs>
        <w:ind w:hanging="360" w:start="1440" w:end="0"/>
        <w:jc w:val="both"/>
        <w:rPr>
          <w:szCs w:val="22"/>
          <w:lang w:val="en-GB" w:eastAsia="fr-FR"/>
        </w:rPr>
      </w:pPr>
      <w:r>
        <w:rPr>
          <w:szCs w:val="22"/>
          <w:lang w:val="en-GB" w:eastAsia="fr-FR"/>
        </w:rPr>
        <w:t>Effectiveness</w:t>
      </w:r>
    </w:p>
    <w:p>
      <w:pPr>
        <w:pStyle w:val="BodyText"/>
        <w:jc w:val="both"/>
        <w:rPr/>
      </w:pPr>
      <w:r>
        <w:rPr>
          <w:szCs w:val="22"/>
          <w:lang w:val="en-GB"/>
        </w:rPr>
        <w:t>The formula used to calculate the realised level for this Critical Service Level is the average of the realised level described in the paragraph 10.2.1 through 10.2.3 below.</w:t>
      </w:r>
    </w:p>
    <w:p>
      <w:pPr>
        <w:pStyle w:val="Heading3Numbered"/>
        <w:numPr>
          <w:ilvl w:val="2"/>
          <w:numId w:val="4"/>
        </w:numPr>
        <w:ind w:hanging="0" w:start="0"/>
        <w:jc w:val="both"/>
        <w:rPr>
          <w:rFonts w:ascii="Times New Roman" w:hAnsi="Times New Roman" w:cs="Times New Roman"/>
          <w:sz w:val="22"/>
          <w:szCs w:val="22"/>
        </w:rPr>
      </w:pPr>
      <w:r>
        <w:rPr>
          <w:rFonts w:cs="Times New Roman" w:ascii="Times New Roman" w:hAnsi="Times New Roman"/>
          <w:sz w:val="22"/>
          <w:szCs w:val="22"/>
        </w:rPr>
        <w:t>Service quality</w:t>
      </w:r>
    </w:p>
    <w:p>
      <w:pPr>
        <w:pStyle w:val="BodyText"/>
        <w:jc w:val="both"/>
        <w:rPr>
          <w:szCs w:val="22"/>
          <w:lang w:val="en-GB" w:eastAsia="fr-FR"/>
        </w:rPr>
      </w:pPr>
      <w:r>
        <w:rPr>
          <w:szCs w:val="22"/>
          <w:lang w:val="en-GB" w:eastAsia="fr-FR"/>
        </w:rPr>
        <w:t>The service quality performance will measure the 2IM capability to provide EuroBank with the following information on time. The reports should include proposals to improve found defects.</w:t>
      </w:r>
    </w:p>
    <w:p>
      <w:pPr>
        <w:pStyle w:val="BodyText"/>
        <w:jc w:val="both"/>
        <w:rPr>
          <w:szCs w:val="22"/>
        </w:rPr>
      </w:pPr>
      <w:r>
        <w:rPr>
          <w:szCs w:val="22"/>
        </w:rPr>
        <w:t>Service quality performance is calculated as ((A+B+C+D)/E) * 100%, where</w:t>
      </w:r>
    </w:p>
    <w:p>
      <w:pPr>
        <w:pStyle w:val="BodyText"/>
        <w:jc w:val="both"/>
        <w:rPr>
          <w:szCs w:val="22"/>
        </w:rPr>
      </w:pPr>
      <w:r>
        <w:rPr>
          <w:szCs w:val="22"/>
        </w:rPr>
        <w:t>E = number of results to be provided per year: 7</w:t>
      </w:r>
    </w:p>
    <w:p>
      <w:pPr>
        <w:pStyle w:val="BodyText"/>
        <w:jc w:val="both"/>
        <w:rPr>
          <w:szCs w:val="22"/>
        </w:rPr>
      </w:pPr>
      <w:r>
        <w:rPr>
          <w:szCs w:val="22"/>
        </w:rPr>
        <w:t xml:space="preserve">Example: </w:t>
      </w:r>
    </w:p>
    <w:p>
      <w:pPr>
        <w:pStyle w:val="BodyText"/>
        <w:jc w:val="both"/>
        <w:rPr/>
      </w:pPr>
      <w:r>
        <w:rPr>
          <w:szCs w:val="22"/>
        </w:rPr>
        <w:t xml:space="preserve">A = </w:t>
      </w:r>
      <w:r>
        <w:rPr>
          <w:szCs w:val="22"/>
          <w:lang w:val="en-GB"/>
        </w:rPr>
        <w:t>2 surveys result provided on time</w:t>
      </w:r>
    </w:p>
    <w:p>
      <w:pPr>
        <w:pStyle w:val="BodyText"/>
        <w:jc w:val="both"/>
        <w:rPr>
          <w:szCs w:val="22"/>
          <w:lang w:val="en-GB"/>
        </w:rPr>
      </w:pPr>
      <w:r>
        <w:rPr>
          <w:szCs w:val="22"/>
          <w:lang w:val="en-GB"/>
        </w:rPr>
        <w:t>B = 2 quality result provided on time</w:t>
      </w:r>
    </w:p>
    <w:p>
      <w:pPr>
        <w:pStyle w:val="BodyText"/>
        <w:jc w:val="both"/>
        <w:rPr>
          <w:szCs w:val="22"/>
          <w:lang w:val="en-GB"/>
        </w:rPr>
      </w:pPr>
      <w:r>
        <w:rPr>
          <w:szCs w:val="22"/>
          <w:lang w:val="en-GB"/>
        </w:rPr>
        <w:t>C = 1 sourcing and category management result provided on time</w:t>
      </w:r>
    </w:p>
    <w:p>
      <w:pPr>
        <w:pStyle w:val="BodyText"/>
        <w:jc w:val="both"/>
        <w:rPr>
          <w:szCs w:val="22"/>
          <w:lang w:val="en-GB"/>
        </w:rPr>
      </w:pPr>
      <w:r>
        <w:rPr>
          <w:szCs w:val="22"/>
          <w:lang w:val="en-GB"/>
        </w:rPr>
        <w:t>D = 1 organisation benchmarking result provided on time</w:t>
      </w:r>
    </w:p>
    <w:p>
      <w:pPr>
        <w:pStyle w:val="BodyText"/>
        <w:jc w:val="both"/>
        <w:rPr>
          <w:b/>
          <w:szCs w:val="22"/>
        </w:rPr>
      </w:pPr>
      <w:r>
        <w:rPr>
          <w:szCs w:val="22"/>
          <w:lang w:val="en-GB"/>
        </w:rPr>
        <w:t>( (2+2+1+1) / 7 ) * 100% =  85,71 %</w:t>
      </w:r>
    </w:p>
    <w:p>
      <w:pPr>
        <w:pStyle w:val="BodyText"/>
        <w:jc w:val="both"/>
        <w:rPr>
          <w:b/>
          <w:szCs w:val="22"/>
        </w:rPr>
      </w:pPr>
      <w:r>
        <w:rPr>
          <w:b/>
          <w:szCs w:val="22"/>
        </w:rPr>
        <w:t>2IM - Conducting user / client survey</w:t>
      </w:r>
    </w:p>
    <w:p>
      <w:pPr>
        <w:pStyle w:val="BodyText"/>
        <w:jc w:val="both"/>
        <w:rPr>
          <w:szCs w:val="22"/>
          <w:lang w:val="en-GB"/>
        </w:rPr>
      </w:pPr>
      <w:r>
        <w:rPr>
          <w:szCs w:val="22"/>
          <w:lang w:val="en-GB"/>
        </w:rPr>
        <w:t>Conducting user/client satisfaction survey: number of survey result/analysis and associated improvement initiatives by agreed timeframe – 2 per year.</w:t>
      </w:r>
    </w:p>
    <w:p>
      <w:pPr>
        <w:pStyle w:val="BodyText"/>
        <w:jc w:val="both"/>
        <w:rPr>
          <w:szCs w:val="22"/>
          <w:lang w:val="en-GB"/>
        </w:rPr>
      </w:pPr>
      <w:r>
        <w:rPr>
          <w:szCs w:val="22"/>
          <w:lang w:val="en-GB"/>
        </w:rPr>
        <w:t>A = number of survey result provided on time</w:t>
      </w:r>
    </w:p>
    <w:p>
      <w:pPr>
        <w:pStyle w:val="BodyText"/>
        <w:jc w:val="both"/>
        <w:rPr>
          <w:b/>
          <w:szCs w:val="22"/>
          <w:lang w:val="en-GB"/>
        </w:rPr>
      </w:pPr>
      <w:r>
        <w:rPr>
          <w:b/>
          <w:szCs w:val="22"/>
          <w:lang w:val="en-GB"/>
        </w:rPr>
        <w:t>2IM - Conducting quality audit</w:t>
      </w:r>
    </w:p>
    <w:p>
      <w:pPr>
        <w:pStyle w:val="BodyText"/>
        <w:jc w:val="both"/>
        <w:rPr>
          <w:szCs w:val="22"/>
          <w:lang w:val="en-GB"/>
        </w:rPr>
      </w:pPr>
      <w:r>
        <w:rPr>
          <w:szCs w:val="22"/>
          <w:lang w:val="en-GB"/>
        </w:rPr>
        <w:t>Conducting quality audit: number of audit analysis and associated improvement initiatives submitted to EuroBank within agreed timeframe – 2 per year.</w:t>
      </w:r>
    </w:p>
    <w:p>
      <w:pPr>
        <w:pStyle w:val="BodyText"/>
        <w:jc w:val="both"/>
        <w:rPr>
          <w:szCs w:val="22"/>
          <w:lang w:val="en-GB"/>
        </w:rPr>
      </w:pPr>
      <w:r>
        <w:rPr>
          <w:szCs w:val="22"/>
          <w:lang w:val="en-GB"/>
        </w:rPr>
        <w:t>B = number of quality result provided on time</w:t>
      </w:r>
    </w:p>
    <w:p>
      <w:pPr>
        <w:pStyle w:val="BodyText"/>
        <w:jc w:val="both"/>
        <w:rPr>
          <w:b/>
          <w:szCs w:val="22"/>
          <w:lang w:val="en-GB"/>
        </w:rPr>
      </w:pPr>
      <w:r>
        <w:rPr>
          <w:b/>
          <w:szCs w:val="22"/>
          <w:lang w:val="en-GB"/>
        </w:rPr>
        <w:t>2IM - Sourcing and category management</w:t>
      </w:r>
    </w:p>
    <w:p>
      <w:pPr>
        <w:pStyle w:val="BodyText"/>
        <w:jc w:val="both"/>
        <w:rPr/>
      </w:pPr>
      <w:r>
        <w:rPr>
          <w:szCs w:val="22"/>
          <w:lang w:val="en-GB"/>
        </w:rPr>
        <w:t>As part of the sourcing and category management, 2IM reviews yearly the IT Infrastructure category (e.g.. LAN Components, DTHW, …) strategy and identifies cost-saving opportunities using 2IM sourcing experts and category knowledge.</w:t>
      </w:r>
    </w:p>
    <w:p>
      <w:pPr>
        <w:pStyle w:val="BodyText"/>
        <w:jc w:val="both"/>
        <w:rPr>
          <w:szCs w:val="22"/>
          <w:lang w:val="en-GB"/>
        </w:rPr>
      </w:pPr>
      <w:r>
        <w:rPr>
          <w:szCs w:val="22"/>
          <w:lang w:val="en-GB"/>
        </w:rPr>
        <w:t>Sourcing and category management: Number of technology audits and improvement recommendations delivered to EuroBank within the agreed timeframe – 1 per year.</w:t>
      </w:r>
    </w:p>
    <w:p>
      <w:pPr>
        <w:pStyle w:val="BodyText"/>
        <w:jc w:val="both"/>
        <w:rPr>
          <w:szCs w:val="22"/>
          <w:lang w:val="en-GB"/>
        </w:rPr>
      </w:pPr>
      <w:r>
        <w:rPr>
          <w:szCs w:val="22"/>
          <w:lang w:val="en-GB"/>
        </w:rPr>
        <w:t>C = number of sourcing and category management result provided on time</w:t>
      </w:r>
    </w:p>
    <w:p>
      <w:pPr>
        <w:pStyle w:val="BodyText"/>
        <w:jc w:val="both"/>
        <w:rPr>
          <w:b/>
          <w:szCs w:val="22"/>
          <w:lang w:val="en-GB"/>
        </w:rPr>
      </w:pPr>
      <w:r>
        <w:rPr>
          <w:b/>
          <w:szCs w:val="22"/>
          <w:lang w:val="en-GB"/>
        </w:rPr>
        <w:t>2IM - Perform organisation benchmarking</w:t>
      </w:r>
    </w:p>
    <w:p>
      <w:pPr>
        <w:pStyle w:val="BodyText"/>
        <w:jc w:val="both"/>
        <w:rPr>
          <w:szCs w:val="22"/>
          <w:lang w:val="en-GB"/>
        </w:rPr>
      </w:pPr>
      <w:r>
        <w:rPr>
          <w:szCs w:val="22"/>
          <w:lang w:val="en-GB"/>
        </w:rPr>
        <w:t>Perform organisation benchmarking: Number of organisation benchmarking report and improvement recommendations delivered to EuroBank within the agreed timeframe – 2 per year.</w:t>
      </w:r>
    </w:p>
    <w:p>
      <w:pPr>
        <w:pStyle w:val="BodyText"/>
        <w:jc w:val="both"/>
        <w:rPr>
          <w:szCs w:val="22"/>
          <w:lang w:val="en-GB"/>
        </w:rPr>
      </w:pPr>
      <w:r>
        <w:rPr>
          <w:szCs w:val="22"/>
          <w:lang w:val="en-GB"/>
        </w:rPr>
        <w:t>D = number of organisation benchmarking result provided on time</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 xml:space="preserve">Incident </w:t>
      </w:r>
      <w:r>
        <w:rPr>
          <w:rFonts w:cs="Times New Roman" w:ascii="Times New Roman" w:hAnsi="Times New Roman"/>
          <w:sz w:val="22"/>
          <w:szCs w:val="22"/>
        </w:rPr>
        <w:t>Management</w:t>
      </w:r>
    </w:p>
    <w:p>
      <w:pPr>
        <w:pStyle w:val="BodyText"/>
        <w:jc w:val="both"/>
        <w:rPr/>
      </w:pPr>
      <w:r>
        <w:rPr>
          <w:b/>
          <w:szCs w:val="22"/>
          <w:lang w:val="en-GB"/>
        </w:rPr>
        <w:t>2IM - Reporting priority 1 Incident to EuroBank</w:t>
      </w:r>
    </w:p>
    <w:p>
      <w:pPr>
        <w:pStyle w:val="BodyText"/>
        <w:jc w:val="both"/>
        <w:rPr/>
      </w:pPr>
      <w:r>
        <w:rPr>
          <w:szCs w:val="22"/>
          <w:lang w:val="en-GB"/>
        </w:rPr>
        <w:t>This Item will measure the 2IM performance to coordinate the priority 1 Incident with EuroBank retained organization. This is the third responsibility of 2IM in case of Priority 1 Incident: inform EuroBank with the nature of the Incident to allow EuroBank to have the right people on board and to communicate the necessary information internally.</w:t>
      </w:r>
    </w:p>
    <w:p>
      <w:pPr>
        <w:pStyle w:val="BodyText"/>
        <w:jc w:val="both"/>
        <w:rPr/>
      </w:pPr>
      <w:r>
        <w:rPr>
          <w:szCs w:val="22"/>
          <w:lang w:val="en-GB"/>
        </w:rPr>
        <w:t>The Incident Management Performance will be calculated based on the time requested to inform EuroBank after the escalation time. This is the percentage of priority 1 Incidents communicated to EuroBank within agreed timeframe.</w:t>
      </w:r>
      <w:r>
        <w:rPr>
          <w:szCs w:val="22"/>
          <w:lang w:val="en-GB" w:eastAsia="fr-FR"/>
        </w:rPr>
      </w:r>
      <w:r>
        <w:rPr>
          <w:szCs w:val="22"/>
          <w:lang w:val="en-GB"/>
        </w:rPr>
      </w:r>
    </w:p>
    <w:p>
      <w:pPr>
        <w:pStyle w:val="BodyText"/>
        <w:jc w:val="both"/>
        <w:rPr>
          <w:szCs w:val="22"/>
          <w:lang w:val="en-GB"/>
        </w:rPr>
      </w:pPr>
      <w:r>
        <w:rPr>
          <w:szCs w:val="22"/>
          <w:lang w:val="en-GB"/>
        </w:rPr>
        <w:t>Incident Management performance is calculated as (1 - (B / A)) * 100%, where</w:t>
      </w:r>
    </w:p>
    <w:p>
      <w:pPr>
        <w:pStyle w:val="BodyText"/>
        <w:jc w:val="both"/>
        <w:rPr/>
      </w:pPr>
      <w:r>
        <w:rPr>
          <w:szCs w:val="22"/>
          <w:lang w:val="en-GB"/>
        </w:rPr>
        <w:t>A = total number of Priority 1 Incidents</w:t>
      </w:r>
    </w:p>
    <w:p>
      <w:pPr>
        <w:pStyle w:val="BodyText"/>
        <w:jc w:val="both"/>
        <w:rPr/>
      </w:pPr>
      <w:r>
        <w:rPr>
          <w:szCs w:val="22"/>
          <w:lang w:val="en-GB"/>
        </w:rPr>
        <w:t xml:space="preserve">B = number of Incidents not communicated on time </w:t>
      </w:r>
    </w:p>
    <w:p>
      <w:pPr>
        <w:pStyle w:val="BodyText"/>
        <w:jc w:val="both"/>
        <w:rPr>
          <w:szCs w:val="22"/>
          <w:lang w:val="en-GB"/>
        </w:rPr>
      </w:pPr>
      <w:r>
        <w:rPr>
          <w:szCs w:val="22"/>
          <w:lang w:val="en-GB"/>
        </w:rPr>
        <w:t xml:space="preserve">Example: </w:t>
      </w:r>
    </w:p>
    <w:p>
      <w:pPr>
        <w:pStyle w:val="Normal"/>
        <w:ind w:start="720" w:end="0"/>
        <w:jc w:val="both"/>
        <w:rPr/>
      </w:pPr>
      <w:r>
        <w:rPr>
          <w:szCs w:val="22"/>
          <w:lang w:val="en-GB" w:eastAsia="fr-FR"/>
        </w:rPr>
        <w:t>Service Desk calls 2IM at 09:00pm for a Priority 1 Incident requiring 2IM involvement.</w:t>
      </w:r>
    </w:p>
    <w:p>
      <w:pPr>
        <w:pStyle w:val="Normal"/>
        <w:ind w:start="720" w:end="0"/>
        <w:jc w:val="both"/>
        <w:rPr/>
      </w:pPr>
      <w:r>
        <w:rPr>
          <w:szCs w:val="22"/>
          <w:lang w:val="en-GB" w:eastAsia="fr-FR"/>
        </w:rPr>
        <w:t>2IM answers the call and start the Incident management process (see 10.1.1).</w:t>
      </w:r>
    </w:p>
    <w:p>
      <w:pPr>
        <w:pStyle w:val="Normal"/>
        <w:ind w:start="720" w:end="0"/>
        <w:jc w:val="both"/>
        <w:rPr>
          <w:szCs w:val="22"/>
          <w:lang w:val="en-GB" w:eastAsia="fr-FR"/>
        </w:rPr>
      </w:pPr>
      <w:r>
        <w:rPr>
          <w:szCs w:val="22"/>
          <w:lang w:val="en-GB" w:eastAsia="fr-FR"/>
        </w:rPr>
        <w:t>If after the agreed time frame, EuroBank have been not informed by 2IM, it will be a service default.</w:t>
      </w:r>
    </w:p>
    <w:p>
      <w:pPr>
        <w:pStyle w:val="Normal"/>
        <w:ind w:start="720" w:end="0"/>
        <w:jc w:val="both"/>
        <w:rPr>
          <w:szCs w:val="22"/>
          <w:lang w:val="en-GB" w:eastAsia="fr-FR"/>
        </w:rPr>
      </w:pPr>
      <w:r>
        <w:rPr>
          <w:szCs w:val="22"/>
          <w:lang w:val="en-GB" w:eastAsia="fr-FR"/>
        </w:rPr>
      </w:r>
    </w:p>
    <w:p>
      <w:pPr>
        <w:pStyle w:val="Normal"/>
        <w:ind w:start="720" w:end="0"/>
        <w:jc w:val="both"/>
        <w:rPr>
          <w:szCs w:val="22"/>
          <w:lang w:val="en-GB" w:eastAsia="fr-FR"/>
        </w:rPr>
      </w:pPr>
      <w:r>
        <w:rPr>
          <w:szCs w:val="22"/>
          <w:lang w:val="en-GB" w:eastAsia="fr-FR"/>
        </w:rPr>
        <w:t>A = 100 Priority 1 calls escalated to 2IM</w:t>
      </w:r>
    </w:p>
    <w:p>
      <w:pPr>
        <w:pStyle w:val="Normal"/>
        <w:ind w:start="720" w:end="0"/>
        <w:jc w:val="both"/>
        <w:rPr>
          <w:szCs w:val="22"/>
          <w:lang w:val="en-GB" w:eastAsia="fr-FR"/>
        </w:rPr>
      </w:pPr>
      <w:r>
        <w:rPr>
          <w:szCs w:val="22"/>
          <w:lang w:val="en-GB" w:eastAsia="fr-FR"/>
        </w:rPr>
        <w:t>B = 1 Priority 1 calls escalated to 2IM where EuroBank is not informed during the agreed time frame, after the escalation time.</w:t>
      </w:r>
    </w:p>
    <w:p>
      <w:pPr>
        <w:pStyle w:val="Normal"/>
        <w:ind w:start="720" w:end="0"/>
        <w:jc w:val="both"/>
        <w:rPr>
          <w:szCs w:val="22"/>
          <w:lang w:val="en-GB" w:eastAsia="fr-FR"/>
        </w:rPr>
      </w:pPr>
      <w:r>
        <w:rPr>
          <w:szCs w:val="22"/>
          <w:lang w:val="en-GB" w:eastAsia="fr-FR"/>
        </w:rPr>
      </w:r>
    </w:p>
    <w:p>
      <w:pPr>
        <w:pStyle w:val="Normal"/>
        <w:ind w:start="720" w:end="0"/>
        <w:jc w:val="both"/>
        <w:rPr>
          <w:szCs w:val="22"/>
          <w:lang w:val="en-GB" w:eastAsia="fr-FR"/>
        </w:rPr>
      </w:pPr>
      <w:r>
        <w:rPr>
          <w:szCs w:val="22"/>
          <w:lang w:val="en-GB" w:eastAsia="fr-FR"/>
        </w:rPr>
        <w:t>(1 – (1/100) * 100%) = 99%</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Effectiveness</w:t>
      </w:r>
    </w:p>
    <w:p>
      <w:pPr>
        <w:pStyle w:val="BodyText"/>
        <w:jc w:val="both"/>
        <w:rPr>
          <w:szCs w:val="22"/>
          <w:lang w:val="en-GB"/>
        </w:rPr>
      </w:pPr>
      <w:r>
        <w:rPr>
          <w:szCs w:val="22"/>
          <w:lang w:val="en-GB"/>
        </w:rPr>
        <w:t>The effectiveness will measure the 2IM capability to manage the PST service for the following areas. The effectiveness is the average of the different percentages.</w:t>
      </w:r>
    </w:p>
    <w:p>
      <w:pPr>
        <w:pStyle w:val="BodyText"/>
        <w:jc w:val="both"/>
        <w:rPr>
          <w:b/>
          <w:szCs w:val="22"/>
          <w:lang w:val="en-GB"/>
        </w:rPr>
      </w:pPr>
      <w:r>
        <w:rPr>
          <w:b/>
          <w:szCs w:val="22"/>
          <w:lang w:val="en-GB"/>
        </w:rPr>
        <w:t>2IM - Change Management</w:t>
      </w:r>
    </w:p>
    <w:p>
      <w:pPr>
        <w:pStyle w:val="BodyText"/>
        <w:jc w:val="both"/>
        <w:rPr>
          <w:szCs w:val="22"/>
          <w:lang w:val="en-GB"/>
        </w:rPr>
      </w:pPr>
      <w:r>
        <w:rPr>
          <w:szCs w:val="22"/>
          <w:lang w:val="en-GB"/>
        </w:rPr>
        <w:t>Change Management: percentage of changes executed according to the Change Management process within the Change Management schedule. Change Management performance is calculated as (B / A) * 100%, where</w:t>
      </w:r>
    </w:p>
    <w:p>
      <w:pPr>
        <w:pStyle w:val="BodyText"/>
        <w:jc w:val="both"/>
        <w:rPr>
          <w:szCs w:val="22"/>
          <w:lang w:val="en-GB"/>
        </w:rPr>
      </w:pPr>
      <w:r>
        <w:rPr>
          <w:szCs w:val="22"/>
          <w:lang w:val="en-GB"/>
        </w:rPr>
        <w:t>A = total number of changes</w:t>
      </w:r>
    </w:p>
    <w:p>
      <w:pPr>
        <w:pStyle w:val="BodyText"/>
        <w:jc w:val="both"/>
        <w:rPr>
          <w:szCs w:val="22"/>
          <w:lang w:val="en-GB"/>
        </w:rPr>
      </w:pPr>
      <w:r>
        <w:rPr>
          <w:szCs w:val="22"/>
          <w:lang w:val="en-GB"/>
        </w:rPr>
        <w:t>B = number of changes executed according to the Change Management process within the Change Management schedule</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100 changes executed during the month</w:t>
      </w:r>
    </w:p>
    <w:p>
      <w:pPr>
        <w:pStyle w:val="BodyText"/>
        <w:jc w:val="both"/>
        <w:rPr>
          <w:szCs w:val="22"/>
          <w:lang w:val="en-GB"/>
        </w:rPr>
      </w:pPr>
      <w:r>
        <w:rPr>
          <w:szCs w:val="22"/>
          <w:lang w:val="en-GB"/>
        </w:rPr>
        <w:t>B = 94 changes executed according to the Change Management process and schedule</w:t>
      </w:r>
    </w:p>
    <w:p>
      <w:pPr>
        <w:pStyle w:val="BodyText"/>
        <w:jc w:val="both"/>
        <w:rPr>
          <w:szCs w:val="22"/>
          <w:lang w:val="en-GB"/>
        </w:rPr>
      </w:pPr>
      <w:r>
        <w:rPr>
          <w:szCs w:val="22"/>
          <w:lang w:val="en-GB"/>
        </w:rPr>
        <w:t>(94/100)*100% = 94%</w:t>
      </w:r>
    </w:p>
    <w:p>
      <w:pPr>
        <w:pStyle w:val="BodyText"/>
        <w:jc w:val="both"/>
        <w:rPr>
          <w:b/>
          <w:szCs w:val="22"/>
          <w:lang w:val="en-GB"/>
        </w:rPr>
      </w:pPr>
      <w:r>
        <w:rPr>
          <w:b/>
          <w:szCs w:val="22"/>
          <w:lang w:val="en-GB"/>
        </w:rPr>
        <w:t>2IM - Problem Management</w:t>
      </w:r>
    </w:p>
    <w:p>
      <w:pPr>
        <w:pStyle w:val="BodyText"/>
        <w:jc w:val="both"/>
        <w:rPr>
          <w:szCs w:val="22"/>
          <w:lang w:val="en-GB"/>
        </w:rPr>
      </w:pPr>
      <w:r>
        <w:rPr>
          <w:szCs w:val="22"/>
          <w:lang w:val="en-GB"/>
        </w:rPr>
        <w:t>Problem Management: percentage of problem analysis results presented to EuroBank. Problem Management performance is calculated as (B / A) * 100%, where</w:t>
      </w:r>
    </w:p>
    <w:p>
      <w:pPr>
        <w:pStyle w:val="BodyText"/>
        <w:jc w:val="both"/>
        <w:rPr>
          <w:szCs w:val="22"/>
          <w:lang w:val="en-GB"/>
        </w:rPr>
      </w:pPr>
      <w:r>
        <w:rPr>
          <w:szCs w:val="22"/>
          <w:lang w:val="en-GB"/>
        </w:rPr>
        <w:t>A = total number of problem</w:t>
      </w:r>
    </w:p>
    <w:p>
      <w:pPr>
        <w:pStyle w:val="BodyText"/>
        <w:jc w:val="both"/>
        <w:rPr>
          <w:szCs w:val="22"/>
          <w:lang w:val="en-GB"/>
        </w:rPr>
      </w:pPr>
      <w:r>
        <w:rPr>
          <w:szCs w:val="22"/>
          <w:lang w:val="en-GB"/>
        </w:rPr>
        <w:t>B = number of problem analysis results presented to EuroBank</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100 problems identified and requiring investigation</w:t>
      </w:r>
    </w:p>
    <w:p>
      <w:pPr>
        <w:pStyle w:val="BodyText"/>
        <w:jc w:val="both"/>
        <w:rPr>
          <w:szCs w:val="22"/>
          <w:lang w:val="en-GB"/>
        </w:rPr>
      </w:pPr>
      <w:r>
        <w:rPr>
          <w:szCs w:val="22"/>
          <w:lang w:val="en-GB"/>
        </w:rPr>
        <w:t>B = 97 problems analysis result provided to EuroBank</w:t>
      </w:r>
    </w:p>
    <w:p>
      <w:pPr>
        <w:pStyle w:val="BodyText"/>
        <w:jc w:val="both"/>
        <w:rPr>
          <w:szCs w:val="22"/>
          <w:lang w:val="en-GB"/>
        </w:rPr>
      </w:pPr>
      <w:r>
        <w:rPr>
          <w:szCs w:val="22"/>
          <w:lang w:val="en-GB"/>
        </w:rPr>
        <w:t>(97/100)*100% = 97%</w:t>
      </w:r>
    </w:p>
    <w:p>
      <w:pPr>
        <w:pStyle w:val="BodyText"/>
        <w:jc w:val="both"/>
        <w:rPr>
          <w:b/>
          <w:szCs w:val="22"/>
          <w:lang w:val="en-GB"/>
        </w:rPr>
      </w:pPr>
      <w:r>
        <w:rPr>
          <w:b/>
          <w:szCs w:val="22"/>
          <w:lang w:val="en-GB"/>
        </w:rPr>
        <w:t>2IM - Incident Management</w:t>
      </w:r>
    </w:p>
    <w:p>
      <w:pPr>
        <w:pStyle w:val="BodyText"/>
        <w:jc w:val="both"/>
        <w:rPr/>
      </w:pPr>
      <w:r>
        <w:rPr>
          <w:szCs w:val="22"/>
          <w:lang w:val="en-GB"/>
        </w:rPr>
        <w:t>Incident Management: percentage of Priority 1 Incident analysis results presented to EuroBank (e.g. Root Cause Analysis). Incident Management performance is calculated as (B / A)) * 100%, where</w:t>
      </w:r>
    </w:p>
    <w:p>
      <w:pPr>
        <w:pStyle w:val="BodyText"/>
        <w:jc w:val="both"/>
        <w:rPr/>
      </w:pPr>
      <w:r>
        <w:rPr>
          <w:szCs w:val="22"/>
          <w:lang w:val="en-GB"/>
        </w:rPr>
        <w:t>A = total number of priority 1 Incidents</w:t>
      </w:r>
    </w:p>
    <w:p>
      <w:pPr>
        <w:pStyle w:val="BodyText"/>
        <w:jc w:val="both"/>
        <w:rPr/>
      </w:pPr>
      <w:r>
        <w:rPr>
          <w:szCs w:val="22"/>
          <w:lang w:val="en-GB"/>
        </w:rPr>
        <w:t>B = number of priority 1 Incident analysis results presented to EuroBank</w:t>
      </w:r>
    </w:p>
    <w:p>
      <w:pPr>
        <w:pStyle w:val="BodyText"/>
        <w:jc w:val="both"/>
        <w:rPr>
          <w:szCs w:val="22"/>
          <w:lang w:val="en-GB"/>
        </w:rPr>
      </w:pPr>
      <w:r>
        <w:rPr>
          <w:szCs w:val="22"/>
          <w:lang w:val="en-GB"/>
        </w:rPr>
        <w:t xml:space="preserve">Example: </w:t>
      </w:r>
    </w:p>
    <w:p>
      <w:pPr>
        <w:pStyle w:val="BodyText"/>
        <w:jc w:val="both"/>
        <w:rPr/>
      </w:pPr>
      <w:r>
        <w:rPr>
          <w:szCs w:val="22"/>
          <w:lang w:val="en-GB"/>
        </w:rPr>
        <w:t>A = 100 priority 1 Incidents during the measurement windows</w:t>
      </w:r>
    </w:p>
    <w:p>
      <w:pPr>
        <w:pStyle w:val="BodyText"/>
        <w:jc w:val="both"/>
        <w:rPr/>
      </w:pPr>
      <w:r>
        <w:rPr>
          <w:szCs w:val="22"/>
          <w:lang w:val="en-GB"/>
        </w:rPr>
        <w:t>B = 99 Incident reports presented to EuroBank</w:t>
      </w:r>
    </w:p>
    <w:p>
      <w:pPr>
        <w:pStyle w:val="BodyText"/>
        <w:jc w:val="both"/>
        <w:rPr>
          <w:szCs w:val="22"/>
          <w:lang w:val="en-GB"/>
        </w:rPr>
      </w:pPr>
      <w:r>
        <w:rPr>
          <w:szCs w:val="22"/>
          <w:lang w:val="en-GB"/>
        </w:rPr>
        <w:t>(99/100)*100% = 99%</w:t>
      </w:r>
    </w:p>
    <w:p>
      <w:pPr>
        <w:pStyle w:val="BodyText"/>
        <w:jc w:val="both"/>
        <w:rPr>
          <w:b/>
          <w:szCs w:val="22"/>
          <w:lang w:val="en-GB"/>
        </w:rPr>
      </w:pPr>
      <w:r>
        <w:rPr>
          <w:b/>
          <w:szCs w:val="22"/>
          <w:lang w:val="en-GB"/>
        </w:rPr>
        <w:t>2IM - Configuration management</w:t>
      </w:r>
    </w:p>
    <w:p>
      <w:pPr>
        <w:pStyle w:val="BodyText"/>
        <w:jc w:val="both"/>
        <w:rPr>
          <w:szCs w:val="22"/>
          <w:lang w:val="en-GB"/>
        </w:rPr>
      </w:pPr>
      <w:r>
        <w:rPr>
          <w:szCs w:val="22"/>
          <w:lang w:val="en-GB"/>
        </w:rPr>
        <w:t>Configuration management: Percentage of CMDB audits performed and resulting initiatives identified. Change Management performance is calculated as  (B / A) * 100%, where</w:t>
      </w:r>
    </w:p>
    <w:p>
      <w:pPr>
        <w:pStyle w:val="BodyText"/>
        <w:jc w:val="both"/>
        <w:rPr>
          <w:szCs w:val="22"/>
          <w:lang w:val="en-GB"/>
        </w:rPr>
      </w:pPr>
      <w:r>
        <w:rPr>
          <w:szCs w:val="22"/>
          <w:lang w:val="en-GB"/>
        </w:rPr>
        <w:t>A = total number of CMDB audits</w:t>
      </w:r>
    </w:p>
    <w:p>
      <w:pPr>
        <w:pStyle w:val="BodyText"/>
        <w:jc w:val="both"/>
        <w:rPr>
          <w:szCs w:val="22"/>
          <w:lang w:val="en-GB"/>
        </w:rPr>
      </w:pPr>
      <w:r>
        <w:rPr>
          <w:szCs w:val="22"/>
          <w:lang w:val="en-GB"/>
        </w:rPr>
        <w:t>B = number of CMDB audits provided on time to EuroBank and possible resulting initiatives identified</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10 CMDB audit executed during the measurement windows</w:t>
      </w:r>
    </w:p>
    <w:p>
      <w:pPr>
        <w:pStyle w:val="BodyText"/>
        <w:jc w:val="both"/>
        <w:rPr>
          <w:szCs w:val="22"/>
          <w:lang w:val="en-GB"/>
        </w:rPr>
      </w:pPr>
      <w:r>
        <w:rPr>
          <w:szCs w:val="22"/>
          <w:lang w:val="en-GB"/>
        </w:rPr>
        <w:t>B = 10 CMDB audit and possible resulting initiatives presented on time to EuroBank</w:t>
      </w:r>
    </w:p>
    <w:p>
      <w:pPr>
        <w:pStyle w:val="BodyText"/>
        <w:jc w:val="both"/>
        <w:rPr>
          <w:szCs w:val="22"/>
          <w:lang w:val="en-GB"/>
        </w:rPr>
      </w:pPr>
      <w:r>
        <w:rPr>
          <w:szCs w:val="22"/>
          <w:lang w:val="en-GB"/>
        </w:rPr>
        <w:t>(10/10)*100% = 100%</w:t>
      </w:r>
    </w:p>
    <w:p>
      <w:pPr>
        <w:pStyle w:val="Heading2Numbered"/>
        <w:numPr>
          <w:ilvl w:val="1"/>
          <w:numId w:val="4"/>
        </w:numPr>
        <w:ind w:hanging="0" w:start="0"/>
        <w:jc w:val="both"/>
        <w:rPr>
          <w:rFonts w:ascii="Times New Roman" w:hAnsi="Times New Roman" w:cs="Times New Roman"/>
          <w:sz w:val="22"/>
          <w:szCs w:val="22"/>
          <w:lang w:val="en-GB"/>
        </w:rPr>
      </w:pPr>
      <w:bookmarkStart w:id="32" w:name="__RefHeading___Toc151897000"/>
      <w:bookmarkEnd w:id="32"/>
      <w:r>
        <w:rPr>
          <w:rFonts w:cs="Times New Roman" w:ascii="Times New Roman" w:hAnsi="Times New Roman"/>
          <w:sz w:val="22"/>
          <w:szCs w:val="22"/>
          <w:lang w:val="en-GB"/>
        </w:rPr>
        <w:t>Security Management Service - Performance (incl audits)</w:t>
      </w:r>
    </w:p>
    <w:p>
      <w:pPr>
        <w:pStyle w:val="BodyText"/>
        <w:jc w:val="both"/>
        <w:rPr/>
      </w:pPr>
      <w:r>
        <w:rPr>
          <w:szCs w:val="22"/>
          <w:lang w:val="en-GB"/>
        </w:rPr>
        <w:t>The formula used to calculate the realised level for this Critical Service Level is the average of the realised level described in the paragraph 10.3.1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Critical Vulnerability mitigation plan must commence within 48 hours</w:t>
      </w:r>
    </w:p>
    <w:p>
      <w:pPr>
        <w:pStyle w:val="BodyText"/>
        <w:jc w:val="both"/>
        <w:rPr>
          <w:szCs w:val="22"/>
          <w:lang w:val="en-GB"/>
        </w:rPr>
      </w:pPr>
      <w:r>
        <w:rPr>
          <w:szCs w:val="22"/>
          <w:lang w:val="en-GB"/>
        </w:rPr>
        <w:t>When a Critical Vulnerability is detected by the  PST Suppliers, this is communicated to EuroBank by 2IM. The 2IM and the PST Suppliers build a mitigation plan which commences within those 48 hours. The measurement is calculated as (B / A) * 100%, where</w:t>
      </w:r>
    </w:p>
    <w:p>
      <w:pPr>
        <w:pStyle w:val="BodyText"/>
        <w:jc w:val="both"/>
        <w:rPr>
          <w:szCs w:val="22"/>
          <w:lang w:val="en-GB"/>
        </w:rPr>
      </w:pPr>
      <w:r>
        <w:rPr>
          <w:szCs w:val="22"/>
          <w:lang w:val="en-GB"/>
        </w:rPr>
        <w:t>A = the number of Critical Vulnerabilities detected within the Measurement Window; and,</w:t>
      </w:r>
    </w:p>
    <w:p>
      <w:pPr>
        <w:pStyle w:val="BodyText"/>
        <w:jc w:val="both"/>
        <w:rPr>
          <w:szCs w:val="22"/>
          <w:lang w:val="en-GB"/>
        </w:rPr>
      </w:pPr>
      <w:r>
        <w:rPr>
          <w:szCs w:val="22"/>
          <w:lang w:val="en-GB"/>
        </w:rPr>
        <w:t>B = the number of Critical Vulnerabilities which the mitigation plan commenced within 48 hours after detection by the PST.</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50 Critical Vulnerabilities detected</w:t>
      </w:r>
    </w:p>
    <w:p>
      <w:pPr>
        <w:pStyle w:val="BodyText"/>
        <w:jc w:val="both"/>
        <w:rPr>
          <w:szCs w:val="22"/>
          <w:lang w:val="en-GB"/>
        </w:rPr>
      </w:pPr>
      <w:r>
        <w:rPr>
          <w:szCs w:val="22"/>
          <w:lang w:val="en-GB"/>
        </w:rPr>
        <w:t>B = 48 mitigation plans commenced within 48 hours after detection</w:t>
      </w:r>
    </w:p>
    <w:p>
      <w:pPr>
        <w:pStyle w:val="BodyText"/>
        <w:jc w:val="both"/>
        <w:rPr>
          <w:szCs w:val="22"/>
          <w:lang w:val="en-GB"/>
        </w:rPr>
      </w:pPr>
      <w:r>
        <w:rPr>
          <w:szCs w:val="22"/>
          <w:lang w:val="en-GB"/>
        </w:rPr>
        <w:t>(48/50) * 100% = 96%</w:t>
      </w:r>
    </w:p>
    <w:p>
      <w:pPr>
        <w:pStyle w:val="Normal"/>
        <w:ind w:start="720" w:end="0"/>
        <w:jc w:val="both"/>
        <w:rPr>
          <w:szCs w:val="22"/>
        </w:rPr>
      </w:pPr>
      <w:r>
        <w:rPr>
          <w:szCs w:val="22"/>
        </w:rPr>
        <w:t xml:space="preserve">This measurement is processed on a 6 months basis. </w:t>
      </w:r>
      <w:r>
        <w:rPr>
          <w:szCs w:val="22"/>
          <w:lang w:val="en-GB" w:eastAsia="fr-FR"/>
        </w:rPr>
        <w:t xml:space="preserve"> </w:t>
      </w:r>
    </w:p>
    <w:p>
      <w:pPr>
        <w:pStyle w:val="Heading2Numbered"/>
        <w:numPr>
          <w:ilvl w:val="1"/>
          <w:numId w:val="4"/>
        </w:numPr>
        <w:ind w:hanging="0" w:start="0"/>
        <w:jc w:val="both"/>
        <w:rPr>
          <w:rFonts w:ascii="Times New Roman" w:hAnsi="Times New Roman" w:cs="Times New Roman"/>
          <w:sz w:val="22"/>
          <w:szCs w:val="22"/>
          <w:lang w:val="en-GB"/>
        </w:rPr>
      </w:pPr>
      <w:bookmarkStart w:id="33" w:name="__RefHeading___Toc151897001"/>
      <w:bookmarkEnd w:id="33"/>
      <w:r>
        <w:rPr>
          <w:rFonts w:cs="Times New Roman" w:ascii="Times New Roman" w:hAnsi="Times New Roman"/>
          <w:sz w:val="22"/>
          <w:szCs w:val="22"/>
          <w:lang w:val="en-GB"/>
        </w:rPr>
        <w:t>BCP &amp; DRP Service – Performance</w:t>
      </w:r>
    </w:p>
    <w:p>
      <w:pPr>
        <w:pStyle w:val="BodyText"/>
        <w:jc w:val="both"/>
        <w:rPr/>
      </w:pPr>
      <w:r>
        <w:rPr>
          <w:szCs w:val="22"/>
          <w:lang w:val="en-GB"/>
        </w:rPr>
        <w:t>The formula used to calculate the Expected Level and the Minimum Level for this Critical Service Level is</w:t>
      </w:r>
      <w:r>
        <w:rPr>
          <w:szCs w:val="22"/>
        </w:rPr>
        <w:t>.</w:t>
      </w:r>
    </w:p>
    <w:p>
      <w:pPr>
        <w:pStyle w:val="BodyText"/>
        <w:jc w:val="both"/>
        <w:rPr>
          <w:szCs w:val="22"/>
          <w:lang w:val="en-GB"/>
        </w:rPr>
      </w:pPr>
      <w:r>
        <w:rPr>
          <w:szCs w:val="22"/>
          <w:lang w:val="en-GB"/>
        </w:rPr>
        <w:t>((A + B) / 4 ) * 100%</w:t>
      </w:r>
    </w:p>
    <w:p>
      <w:pPr>
        <w:pStyle w:val="BodyText"/>
        <w:jc w:val="both"/>
        <w:rPr>
          <w:szCs w:val="22"/>
          <w:lang w:val="en-GB"/>
        </w:rPr>
      </w:pPr>
      <w:r>
        <w:rPr>
          <w:szCs w:val="22"/>
          <w:lang w:val="en-GB"/>
        </w:rPr>
        <w:t>Where:</w:t>
      </w:r>
    </w:p>
    <w:p>
      <w:pPr>
        <w:pStyle w:val="BodyText"/>
        <w:jc w:val="both"/>
        <w:rPr>
          <w:szCs w:val="22"/>
          <w:lang w:val="en-GB"/>
        </w:rPr>
      </w:pPr>
      <w:r>
        <w:rPr>
          <w:szCs w:val="22"/>
          <w:lang w:val="en-GB"/>
        </w:rPr>
        <w:t>4 = number of deliverable for the current year</w:t>
      </w:r>
    </w:p>
    <w:p>
      <w:pPr>
        <w:pStyle w:val="BodyText"/>
        <w:jc w:val="both"/>
        <w:rPr>
          <w:szCs w:val="22"/>
          <w:lang w:val="en-GB"/>
        </w:rPr>
      </w:pPr>
      <w:r>
        <w:rPr>
          <w:szCs w:val="22"/>
          <w:lang w:val="en-GB"/>
        </w:rPr>
        <w:t>A is the number of internal BCP provided to EuroBank (maximum 2 per year)</w:t>
      </w:r>
    </w:p>
    <w:p>
      <w:pPr>
        <w:pStyle w:val="BodyText"/>
        <w:jc w:val="both"/>
        <w:rPr>
          <w:szCs w:val="22"/>
          <w:lang w:val="en-GB"/>
        </w:rPr>
      </w:pPr>
      <w:r>
        <w:rPr>
          <w:szCs w:val="22"/>
          <w:lang w:val="en-GB"/>
        </w:rPr>
        <w:t>B is the number of DR Plans and Reports provided on time (maximum 2 per year)</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2 BCP provided to EuroBank</w:t>
      </w:r>
    </w:p>
    <w:p>
      <w:pPr>
        <w:pStyle w:val="BodyText"/>
        <w:jc w:val="both"/>
        <w:rPr>
          <w:szCs w:val="22"/>
          <w:lang w:val="en-GB"/>
        </w:rPr>
      </w:pPr>
      <w:r>
        <w:rPr>
          <w:szCs w:val="22"/>
          <w:lang w:val="en-GB"/>
        </w:rPr>
        <w:t>B = 1 DR Plan and Test Result provided to EuroBank</w:t>
      </w:r>
    </w:p>
    <w:p>
      <w:pPr>
        <w:pStyle w:val="BodyText"/>
        <w:jc w:val="both"/>
        <w:rPr>
          <w:szCs w:val="22"/>
          <w:lang w:val="en-GB"/>
        </w:rPr>
      </w:pPr>
      <w:r>
        <w:rPr>
          <w:szCs w:val="22"/>
          <w:lang w:val="en-GB"/>
        </w:rPr>
        <w:t>((2+1) /4) * 100% = 75%</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PST Internal Business Continuity Plan Services plans and improvements provided on time</w:t>
      </w:r>
    </w:p>
    <w:p>
      <w:pPr>
        <w:pStyle w:val="BodyText"/>
        <w:jc w:val="both"/>
        <w:rPr>
          <w:szCs w:val="22"/>
          <w:lang w:val="en-GB"/>
        </w:rPr>
      </w:pPr>
      <w:r>
        <w:rPr>
          <w:szCs w:val="22"/>
          <w:lang w:val="en-GB"/>
        </w:rPr>
        <w:t>The PST internal BCP and the improvement related to the previous period of time must be provided on the agreed time.</w:t>
      </w:r>
    </w:p>
    <w:p>
      <w:pPr>
        <w:pStyle w:val="BodyText"/>
        <w:jc w:val="both"/>
        <w:rPr>
          <w:szCs w:val="22"/>
          <w:lang w:val="en-GB"/>
        </w:rPr>
      </w:pPr>
      <w:r>
        <w:rPr>
          <w:szCs w:val="22"/>
          <w:lang w:val="en-GB"/>
        </w:rPr>
        <w:t>2IM to provide 2 BCP and improvement plan per year at an mutual agreed date.</w:t>
      </w:r>
    </w:p>
    <w:p>
      <w:pPr>
        <w:pStyle w:val="BodyText"/>
        <w:jc w:val="both"/>
        <w:rPr>
          <w:szCs w:val="22"/>
          <w:lang w:val="en-GB"/>
        </w:rPr>
      </w:pPr>
      <w:r>
        <w:rPr>
          <w:szCs w:val="22"/>
          <w:lang w:val="en-GB"/>
        </w:rPr>
        <w:t>A = number of BCP and improvement plan provided par year</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PST Internal Disaster Recovery Plan testing and reporting</w:t>
      </w:r>
    </w:p>
    <w:p>
      <w:pPr>
        <w:pStyle w:val="BodyText"/>
        <w:jc w:val="both"/>
        <w:rPr>
          <w:szCs w:val="22"/>
          <w:lang w:val="en-GB"/>
        </w:rPr>
      </w:pPr>
      <w:r>
        <w:rPr>
          <w:szCs w:val="22"/>
          <w:lang w:val="en-GB"/>
        </w:rPr>
        <w:t>The PST must conduct 2 DRP testing per year. For each 2IM must provide EuroBank with the DRP Plan and the test result on the agreed time.</w:t>
      </w:r>
    </w:p>
    <w:p>
      <w:pPr>
        <w:pStyle w:val="BodyText"/>
        <w:jc w:val="both"/>
        <w:rPr>
          <w:szCs w:val="22"/>
          <w:lang w:val="en-GB"/>
        </w:rPr>
      </w:pPr>
      <w:r>
        <w:rPr>
          <w:szCs w:val="22"/>
          <w:lang w:val="en-GB"/>
        </w:rPr>
        <w:t>2IM to provide 2 DRP and test report per year at an mutual agreed date.</w:t>
      </w:r>
    </w:p>
    <w:p>
      <w:pPr>
        <w:pStyle w:val="BodyText"/>
        <w:jc w:val="both"/>
        <w:rPr>
          <w:szCs w:val="22"/>
          <w:lang w:val="en-GB"/>
        </w:rPr>
      </w:pPr>
      <w:r>
        <w:rPr>
          <w:szCs w:val="22"/>
          <w:lang w:val="en-GB"/>
        </w:rPr>
        <w:t>B = number of DRP and testing report provided par year</w:t>
      </w:r>
    </w:p>
    <w:p>
      <w:pPr>
        <w:pStyle w:val="Heading2Numbered"/>
        <w:numPr>
          <w:ilvl w:val="1"/>
          <w:numId w:val="4"/>
        </w:numPr>
        <w:ind w:hanging="0" w:start="0"/>
        <w:jc w:val="both"/>
        <w:rPr>
          <w:rFonts w:ascii="Times New Roman" w:hAnsi="Times New Roman" w:cs="Times New Roman"/>
          <w:sz w:val="22"/>
          <w:szCs w:val="22"/>
          <w:lang w:val="en-GB"/>
        </w:rPr>
      </w:pPr>
      <w:bookmarkStart w:id="34" w:name="__RefHeading___Toc151897002"/>
      <w:bookmarkEnd w:id="34"/>
      <w:r>
        <w:rPr>
          <w:rFonts w:cs="Times New Roman" w:ascii="Times New Roman" w:hAnsi="Times New Roman"/>
          <w:sz w:val="22"/>
          <w:szCs w:val="22"/>
          <w:lang w:val="en-GB"/>
        </w:rPr>
        <w:t>PMO Service – Performance</w:t>
      </w:r>
    </w:p>
    <w:p>
      <w:pPr>
        <w:pStyle w:val="BodyText"/>
        <w:jc w:val="both"/>
        <w:rPr/>
      </w:pPr>
      <w:r>
        <w:rPr>
          <w:szCs w:val="22"/>
          <w:lang w:val="en-GB"/>
        </w:rPr>
        <w:t>The formula used to calculate the realised level for this Critical Service Level is the average of the realised level described in the paragraph 10.5.1 through 10.5.4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Conducting monthly performance review meetings</w:t>
      </w:r>
    </w:p>
    <w:p>
      <w:pPr>
        <w:pStyle w:val="BodyText"/>
        <w:jc w:val="both"/>
        <w:rPr>
          <w:szCs w:val="22"/>
          <w:lang w:val="en-GB"/>
        </w:rPr>
      </w:pPr>
      <w:r>
        <w:rPr>
          <w:szCs w:val="22"/>
          <w:lang w:val="en-GB"/>
        </w:rPr>
        <w:t>2IM holds monthly performance reviews (e.g. service review meetings) to agree actual charges to date, monthly and yearly forecasts and any other agreed key performance indicators</w:t>
      </w:r>
    </w:p>
    <w:p>
      <w:pPr>
        <w:pStyle w:val="BodyText"/>
        <w:jc w:val="both"/>
        <w:rPr>
          <w:szCs w:val="22"/>
          <w:lang w:val="en-GB"/>
        </w:rPr>
      </w:pPr>
      <w:r>
        <w:rPr>
          <w:szCs w:val="22"/>
          <w:lang w:val="en-GB"/>
        </w:rPr>
        <w:t>The percentage of monthly performance review meetings held against the time schedule with the monthly forecasts and agreed performance indicators is calculated as (B / A) * 100%, where</w:t>
      </w:r>
    </w:p>
    <w:p>
      <w:pPr>
        <w:pStyle w:val="BodyText"/>
        <w:jc w:val="both"/>
        <w:rPr>
          <w:szCs w:val="22"/>
          <w:lang w:val="en-GB"/>
        </w:rPr>
      </w:pPr>
      <w:r>
        <w:rPr>
          <w:szCs w:val="22"/>
          <w:lang w:val="en-GB"/>
        </w:rPr>
        <w:t>A = the total number of expected performance reviews during the considered period of time,</w:t>
      </w:r>
    </w:p>
    <w:p>
      <w:pPr>
        <w:pStyle w:val="BodyText"/>
        <w:jc w:val="both"/>
        <w:rPr>
          <w:szCs w:val="22"/>
          <w:lang w:val="en-GB"/>
        </w:rPr>
      </w:pPr>
      <w:r>
        <w:rPr>
          <w:szCs w:val="22"/>
          <w:lang w:val="en-GB"/>
        </w:rPr>
        <w:t xml:space="preserve">B = the number of performance reviews held during the considered period of time and compliant to the fixed number of expected performance indicators. </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40 performance reviews expected during the period</w:t>
      </w:r>
    </w:p>
    <w:p>
      <w:pPr>
        <w:pStyle w:val="BodyText"/>
        <w:jc w:val="both"/>
        <w:rPr>
          <w:szCs w:val="22"/>
          <w:lang w:val="en-GB"/>
        </w:rPr>
      </w:pPr>
      <w:r>
        <w:rPr>
          <w:szCs w:val="22"/>
          <w:lang w:val="en-GB"/>
        </w:rPr>
        <w:t>B = 38 performance reviews delivered on time during the period</w:t>
      </w:r>
    </w:p>
    <w:p>
      <w:pPr>
        <w:pStyle w:val="BodyText"/>
        <w:jc w:val="both"/>
        <w:rPr>
          <w:szCs w:val="22"/>
          <w:lang w:val="en-GB"/>
        </w:rPr>
      </w:pPr>
      <w:r>
        <w:rPr>
          <w:szCs w:val="22"/>
          <w:lang w:val="en-GB"/>
        </w:rPr>
        <w:t>(38/40) * 100% = 95%</w:t>
      </w:r>
    </w:p>
    <w:p>
      <w:pPr>
        <w:pStyle w:val="BodyText"/>
        <w:jc w:val="both"/>
        <w:rPr>
          <w:szCs w:val="22"/>
          <w:lang w:val="en-GB"/>
        </w:rPr>
      </w:pPr>
      <w:r>
        <w:rPr>
          <w:szCs w:val="22"/>
          <w:lang w:val="en-GB"/>
        </w:rPr>
        <w:t>This measurement is processed on a yearly basis.</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On-demand performance information request</w:t>
      </w:r>
    </w:p>
    <w:p>
      <w:pPr>
        <w:pStyle w:val="Normal"/>
        <w:ind w:start="720" w:end="0"/>
        <w:jc w:val="both"/>
        <w:rPr>
          <w:szCs w:val="22"/>
        </w:rPr>
      </w:pPr>
      <w:r>
        <w:rPr>
          <w:szCs w:val="22"/>
        </w:rPr>
        <w:t xml:space="preserve">When ad-hoc performance information is requested by EuroBank, 2IM provides the requested performance information within 3 working days. </w:t>
      </w:r>
    </w:p>
    <w:p>
      <w:pPr>
        <w:pStyle w:val="Normal"/>
        <w:ind w:start="720" w:end="0"/>
        <w:jc w:val="both"/>
        <w:rPr/>
      </w:pPr>
      <w:r>
        <w:rPr>
          <w:szCs w:val="22"/>
        </w:rPr>
        <w:t xml:space="preserve">The percentage of requests is calculated as </w:t>
      </w:r>
      <w:r>
        <w:rPr>
          <w:szCs w:val="22"/>
          <w:lang w:val="en-GB"/>
        </w:rPr>
        <w:t>(B / A) * 100%</w:t>
      </w:r>
      <w:r>
        <w:rPr>
          <w:szCs w:val="22"/>
        </w:rPr>
        <w:t>, where</w:t>
      </w:r>
    </w:p>
    <w:p>
      <w:pPr>
        <w:pStyle w:val="Normal"/>
        <w:ind w:start="720" w:end="0"/>
        <w:jc w:val="both"/>
        <w:rPr>
          <w:szCs w:val="22"/>
        </w:rPr>
      </w:pPr>
      <w:r>
        <w:rPr>
          <w:szCs w:val="22"/>
        </w:rPr>
        <w:t>A = the number of requests during the considered period of time,</w:t>
      </w:r>
    </w:p>
    <w:p>
      <w:pPr>
        <w:pStyle w:val="Normal"/>
        <w:ind w:start="720" w:end="0"/>
        <w:jc w:val="both"/>
        <w:rPr>
          <w:szCs w:val="22"/>
        </w:rPr>
      </w:pPr>
      <w:r>
        <w:rPr>
          <w:szCs w:val="22"/>
        </w:rPr>
        <w:t>B = the number of successful requests completed within 3 working days during the considered period of time.</w:t>
      </w:r>
    </w:p>
    <w:p>
      <w:pPr>
        <w:pStyle w:val="Normal"/>
        <w:ind w:start="720" w:end="0"/>
        <w:jc w:val="both"/>
        <w:rPr>
          <w:szCs w:val="22"/>
        </w:rPr>
      </w:pPr>
      <w:r>
        <w:rPr>
          <w:szCs w:val="22"/>
        </w:rPr>
        <w:t xml:space="preserve">Example: </w:t>
      </w:r>
    </w:p>
    <w:p>
      <w:pPr>
        <w:pStyle w:val="BodyText"/>
        <w:jc w:val="both"/>
        <w:rPr>
          <w:szCs w:val="22"/>
          <w:lang w:val="en-GB"/>
        </w:rPr>
      </w:pPr>
      <w:r>
        <w:rPr>
          <w:szCs w:val="22"/>
          <w:lang w:val="en-GB"/>
        </w:rPr>
        <w:t>A = 40 number of request during the period</w:t>
      </w:r>
    </w:p>
    <w:p>
      <w:pPr>
        <w:pStyle w:val="BodyText"/>
        <w:jc w:val="both"/>
        <w:rPr>
          <w:szCs w:val="22"/>
          <w:lang w:val="en-GB"/>
        </w:rPr>
      </w:pPr>
      <w:r>
        <w:rPr>
          <w:szCs w:val="22"/>
          <w:lang w:val="en-GB"/>
        </w:rPr>
        <w:t>B = 38 number of request answered on time during the period</w:t>
      </w:r>
    </w:p>
    <w:p>
      <w:pPr>
        <w:pStyle w:val="BodyText"/>
        <w:jc w:val="both"/>
        <w:rPr>
          <w:szCs w:val="22"/>
          <w:lang w:val="en-GB"/>
        </w:rPr>
      </w:pPr>
      <w:r>
        <w:rPr>
          <w:szCs w:val="22"/>
          <w:lang w:val="en-GB"/>
        </w:rPr>
        <w:t>(38/40) * 100% = 95%</w:t>
      </w:r>
    </w:p>
    <w:p>
      <w:pPr>
        <w:pStyle w:val="Normal"/>
        <w:ind w:start="720" w:end="0"/>
        <w:jc w:val="both"/>
        <w:rPr>
          <w:szCs w:val="22"/>
        </w:rPr>
      </w:pPr>
      <w:r>
        <w:rPr>
          <w:szCs w:val="22"/>
        </w:rPr>
        <w:t>In case no ad-hoc performance information has been requested by EuroBank during the considered period of time, the measurement is N/A. This measurement is processed on a monthly basis.</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Managing the project portfolio</w:t>
      </w:r>
    </w:p>
    <w:p>
      <w:pPr>
        <w:pStyle w:val="BodyText"/>
        <w:jc w:val="both"/>
        <w:rPr>
          <w:szCs w:val="22"/>
          <w:lang w:val="en-GB"/>
        </w:rPr>
      </w:pPr>
      <w:r>
        <w:rPr>
          <w:szCs w:val="22"/>
          <w:lang w:val="en-GB"/>
        </w:rPr>
        <w:t>Percentage of project status, issue and risk log consolidated and escalated to EuroBank within agreed timeframe.</w:t>
      </w:r>
    </w:p>
    <w:p>
      <w:pPr>
        <w:pStyle w:val="BodyText"/>
        <w:jc w:val="both"/>
        <w:rPr>
          <w:szCs w:val="22"/>
          <w:lang w:val="en-GB"/>
        </w:rPr>
      </w:pPr>
      <w:r>
        <w:rPr>
          <w:szCs w:val="22"/>
          <w:lang w:val="en-GB"/>
        </w:rPr>
        <w:t>Portfolio management is calculated as (B / A) 100%, where</w:t>
      </w:r>
    </w:p>
    <w:p>
      <w:pPr>
        <w:pStyle w:val="BodyText"/>
        <w:jc w:val="both"/>
        <w:rPr>
          <w:szCs w:val="22"/>
          <w:lang w:val="en-GB"/>
        </w:rPr>
      </w:pPr>
      <w:r>
        <w:rPr>
          <w:szCs w:val="22"/>
          <w:lang w:val="en-GB"/>
        </w:rPr>
        <w:t>A = total number of project status</w:t>
      </w:r>
    </w:p>
    <w:p>
      <w:pPr>
        <w:pStyle w:val="BodyText"/>
        <w:jc w:val="both"/>
        <w:rPr>
          <w:szCs w:val="22"/>
          <w:lang w:val="en-GB"/>
        </w:rPr>
      </w:pPr>
      <w:r>
        <w:rPr>
          <w:szCs w:val="22"/>
          <w:lang w:val="en-GB"/>
        </w:rPr>
        <w:t>B = number of project status presented to EuroBank on time</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40 project status expected during the period</w:t>
      </w:r>
    </w:p>
    <w:p>
      <w:pPr>
        <w:pStyle w:val="BodyText"/>
        <w:jc w:val="both"/>
        <w:rPr>
          <w:szCs w:val="22"/>
          <w:lang w:val="en-GB"/>
        </w:rPr>
      </w:pPr>
      <w:r>
        <w:rPr>
          <w:szCs w:val="22"/>
          <w:lang w:val="en-GB"/>
        </w:rPr>
        <w:t>B = 38 project status delivered on time during the period</w:t>
      </w:r>
    </w:p>
    <w:p>
      <w:pPr>
        <w:pStyle w:val="BodyText"/>
        <w:jc w:val="both"/>
        <w:rPr>
          <w:szCs w:val="22"/>
          <w:lang w:val="en-GB"/>
        </w:rPr>
      </w:pPr>
      <w:r>
        <w:rPr>
          <w:szCs w:val="22"/>
          <w:lang w:val="en-GB"/>
        </w:rPr>
        <w:t>(38/40) * 100% = 95%</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Demand volume alert</w:t>
      </w:r>
    </w:p>
    <w:p>
      <w:pPr>
        <w:pStyle w:val="BodyText"/>
        <w:jc w:val="both"/>
        <w:rPr>
          <w:szCs w:val="22"/>
          <w:lang w:val="en-GB"/>
        </w:rPr>
      </w:pPr>
      <w:r>
        <w:rPr>
          <w:szCs w:val="22"/>
          <w:lang w:val="en-GB"/>
        </w:rPr>
        <w:t>Provide EuroBank with demand volume alert when differs by 20% on agreed timeframe. (e.g. capacity of storage for File &amp; Print service)</w:t>
      </w:r>
    </w:p>
    <w:p>
      <w:pPr>
        <w:pStyle w:val="BodyText"/>
        <w:jc w:val="both"/>
        <w:rPr>
          <w:szCs w:val="22"/>
          <w:lang w:val="en-GB"/>
        </w:rPr>
      </w:pPr>
      <w:r>
        <w:rPr>
          <w:szCs w:val="22"/>
          <w:lang w:val="en-GB"/>
        </w:rPr>
        <w:t>Demand volume alert is calculated as (B / A) * 100%, where</w:t>
      </w:r>
    </w:p>
    <w:p>
      <w:pPr>
        <w:pStyle w:val="BodyText"/>
        <w:jc w:val="both"/>
        <w:rPr>
          <w:szCs w:val="22"/>
          <w:lang w:val="en-GB"/>
        </w:rPr>
      </w:pPr>
      <w:r>
        <w:rPr>
          <w:szCs w:val="22"/>
          <w:lang w:val="en-GB"/>
        </w:rPr>
        <w:t>A = total number of alert</w:t>
      </w:r>
    </w:p>
    <w:p>
      <w:pPr>
        <w:pStyle w:val="BodyText"/>
        <w:jc w:val="both"/>
        <w:rPr>
          <w:szCs w:val="22"/>
          <w:lang w:val="en-GB"/>
        </w:rPr>
      </w:pPr>
      <w:r>
        <w:rPr>
          <w:szCs w:val="22"/>
          <w:lang w:val="en-GB"/>
        </w:rPr>
        <w:t>B = number of alert presented to EuroBank on time</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40 alerts during the measurement window</w:t>
      </w:r>
    </w:p>
    <w:p>
      <w:pPr>
        <w:pStyle w:val="BodyText"/>
        <w:jc w:val="both"/>
        <w:rPr>
          <w:szCs w:val="22"/>
          <w:lang w:val="en-GB"/>
        </w:rPr>
      </w:pPr>
      <w:r>
        <w:rPr>
          <w:szCs w:val="22"/>
          <w:lang w:val="en-GB"/>
        </w:rPr>
        <w:t>B = 38 alerts presented on time during the period</w:t>
      </w:r>
    </w:p>
    <w:p>
      <w:pPr>
        <w:pStyle w:val="BodyText"/>
        <w:jc w:val="both"/>
        <w:rPr>
          <w:szCs w:val="22"/>
          <w:lang w:val="en-GB"/>
        </w:rPr>
      </w:pPr>
      <w:r>
        <w:rPr>
          <w:szCs w:val="22"/>
          <w:lang w:val="en-GB"/>
        </w:rPr>
        <w:t>(38/40) * 100% = 95%</w:t>
      </w:r>
    </w:p>
    <w:p>
      <w:pPr>
        <w:pStyle w:val="Heading2Numbered"/>
        <w:numPr>
          <w:ilvl w:val="1"/>
          <w:numId w:val="4"/>
        </w:numPr>
        <w:ind w:hanging="0" w:start="0"/>
        <w:jc w:val="both"/>
        <w:rPr>
          <w:rFonts w:ascii="Times New Roman" w:hAnsi="Times New Roman" w:cs="Times New Roman"/>
          <w:sz w:val="22"/>
          <w:szCs w:val="22"/>
          <w:lang w:val="en-GB"/>
        </w:rPr>
      </w:pPr>
      <w:bookmarkStart w:id="35" w:name="__RefHeading___Toc151897003"/>
      <w:bookmarkEnd w:id="35"/>
      <w:r>
        <w:rPr>
          <w:rFonts w:cs="Times New Roman" w:ascii="Times New Roman" w:hAnsi="Times New Roman"/>
          <w:sz w:val="22"/>
          <w:szCs w:val="22"/>
          <w:lang w:val="en-GB"/>
        </w:rPr>
        <w:t>Reporting Service - Performance (e.g. SLA, finance, post-mortem, security/audit, changes)</w:t>
      </w:r>
    </w:p>
    <w:p>
      <w:pPr>
        <w:pStyle w:val="BodyText"/>
        <w:jc w:val="both"/>
        <w:rPr/>
      </w:pPr>
      <w:r>
        <w:rPr>
          <w:szCs w:val="22"/>
          <w:lang w:val="en-GB"/>
        </w:rPr>
        <w:t>The formula used to calculate the realised level for this Critical Service Level is the average of the realised level described in the paragraph 10.6.1 through 10.6.7 below.</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Order management and Accounts payable</w:t>
      </w:r>
    </w:p>
    <w:p>
      <w:pPr>
        <w:pStyle w:val="BodyText"/>
        <w:jc w:val="both"/>
        <w:rPr>
          <w:szCs w:val="22"/>
          <w:lang w:val="en-GB"/>
        </w:rPr>
      </w:pPr>
      <w:r>
        <w:rPr>
          <w:szCs w:val="22"/>
          <w:lang w:val="en-GB"/>
        </w:rPr>
        <w:t>Accurate invoices are produced by the PST as per agreed format and delivered against the time schedule. 2IM provides the appropriate accurate back up information of open action items of previous reporting periods.</w:t>
      </w:r>
    </w:p>
    <w:p>
      <w:pPr>
        <w:pStyle w:val="BodyText"/>
        <w:jc w:val="both"/>
        <w:rPr>
          <w:szCs w:val="22"/>
          <w:lang w:val="en-GB"/>
        </w:rPr>
      </w:pPr>
      <w:r>
        <w:rPr>
          <w:szCs w:val="22"/>
          <w:lang w:val="en-GB"/>
        </w:rPr>
        <w:t xml:space="preserve">The percentage of invoices delivered as per agreed format against the time schedule is calculated as (B / A) * 100%, where </w:t>
      </w:r>
    </w:p>
    <w:p>
      <w:pPr>
        <w:pStyle w:val="BodyText"/>
        <w:jc w:val="both"/>
        <w:rPr>
          <w:szCs w:val="22"/>
          <w:lang w:val="en-GB"/>
        </w:rPr>
      </w:pPr>
      <w:r>
        <w:rPr>
          <w:szCs w:val="22"/>
          <w:lang w:val="en-GB"/>
        </w:rPr>
        <w:t>A = the total number of invoices expected during the considered period of time,</w:t>
      </w:r>
    </w:p>
    <w:p>
      <w:pPr>
        <w:pStyle w:val="BodyText"/>
        <w:jc w:val="both"/>
        <w:rPr>
          <w:szCs w:val="22"/>
          <w:lang w:val="en-GB"/>
        </w:rPr>
      </w:pPr>
      <w:r>
        <w:rPr>
          <w:szCs w:val="22"/>
          <w:lang w:val="en-GB"/>
        </w:rPr>
        <w:t>B = the number of invoices as per agreed format delivered to schedule during the considered period of time.</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40 invoices expected during the period</w:t>
      </w:r>
    </w:p>
    <w:p>
      <w:pPr>
        <w:pStyle w:val="BodyText"/>
        <w:jc w:val="both"/>
        <w:rPr>
          <w:szCs w:val="22"/>
          <w:lang w:val="en-GB"/>
        </w:rPr>
      </w:pPr>
      <w:r>
        <w:rPr>
          <w:szCs w:val="22"/>
          <w:lang w:val="en-GB"/>
        </w:rPr>
        <w:t>B = 38 invoices delivered on time during the period</w:t>
      </w:r>
    </w:p>
    <w:p>
      <w:pPr>
        <w:pStyle w:val="BodyText"/>
        <w:jc w:val="both"/>
        <w:rPr>
          <w:szCs w:val="22"/>
          <w:lang w:val="en-GB"/>
        </w:rPr>
      </w:pPr>
      <w:r>
        <w:rPr>
          <w:szCs w:val="22"/>
          <w:lang w:val="en-GB"/>
        </w:rPr>
        <w:t>(38/40) * 100% = 95%</w:t>
      </w:r>
    </w:p>
    <w:p>
      <w:pPr>
        <w:pStyle w:val="BodyText"/>
        <w:jc w:val="both"/>
        <w:rPr>
          <w:szCs w:val="22"/>
          <w:lang w:val="en-GB"/>
        </w:rPr>
      </w:pPr>
      <w:r>
        <w:rPr>
          <w:szCs w:val="22"/>
          <w:lang w:val="en-GB"/>
        </w:rPr>
        <w:t>This measurement is performed on a monthly basis. The time schedule takes place from the 5th to the 8th working day of every month.</w:t>
      </w:r>
    </w:p>
    <w:p>
      <w:pPr>
        <w:pStyle w:val="BodyText"/>
        <w:jc w:val="both"/>
        <w:rPr/>
      </w:pPr>
      <w:r>
        <w:rPr>
          <w:szCs w:val="22"/>
          <w:lang w:val="en-GB"/>
        </w:rPr>
        <w:t>When the expected invoices are not delivered before the 20</w:t>
      </w:r>
      <w:r>
        <w:rPr>
          <w:szCs w:val="22"/>
          <w:vertAlign w:val="superscript"/>
          <w:lang w:val="en-GB"/>
        </w:rPr>
        <w:t>th</w:t>
      </w:r>
      <w:r>
        <w:rPr>
          <w:szCs w:val="22"/>
          <w:lang w:val="en-GB"/>
        </w:rPr>
        <w:t xml:space="preserve"> working day of every month, this will be considered as a service default.</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SLA reporting</w:t>
      </w:r>
    </w:p>
    <w:p>
      <w:pPr>
        <w:pStyle w:val="BodyText"/>
        <w:jc w:val="both"/>
        <w:rPr>
          <w:szCs w:val="22"/>
          <w:lang w:val="en-GB"/>
        </w:rPr>
      </w:pPr>
      <w:r>
        <w:rPr>
          <w:szCs w:val="22"/>
          <w:lang w:val="en-GB"/>
        </w:rPr>
        <w:t>Accurate SLA Reports are produced by the PST as per agreed format and delivered against the time schedule. 2IM provides the appropriate accurate back up information of open action items of previous reporting periods.</w:t>
      </w:r>
    </w:p>
    <w:p>
      <w:pPr>
        <w:pStyle w:val="BodyText"/>
        <w:jc w:val="both"/>
        <w:rPr>
          <w:szCs w:val="22"/>
          <w:lang w:val="en-GB"/>
        </w:rPr>
      </w:pPr>
      <w:r>
        <w:rPr>
          <w:szCs w:val="22"/>
          <w:lang w:val="en-GB"/>
        </w:rPr>
        <w:t xml:space="preserve">The percentage of report delivered as per agreed format against the time schedule is calculated as (B / A) * 100%, where </w:t>
      </w:r>
    </w:p>
    <w:p>
      <w:pPr>
        <w:pStyle w:val="BodyText"/>
        <w:jc w:val="both"/>
        <w:rPr>
          <w:szCs w:val="22"/>
          <w:lang w:val="en-GB"/>
        </w:rPr>
      </w:pPr>
      <w:r>
        <w:rPr>
          <w:szCs w:val="22"/>
          <w:lang w:val="en-GB"/>
        </w:rPr>
        <w:t>A = the total number of reports expected during the considered period of time,</w:t>
      </w:r>
    </w:p>
    <w:p>
      <w:pPr>
        <w:pStyle w:val="BodyText"/>
        <w:jc w:val="both"/>
        <w:rPr>
          <w:szCs w:val="22"/>
          <w:lang w:val="en-GB"/>
        </w:rPr>
      </w:pPr>
      <w:r>
        <w:rPr>
          <w:szCs w:val="22"/>
          <w:lang w:val="en-GB"/>
        </w:rPr>
        <w:t>B = the number of reports as per agreed format delivered to schedule during the considered period of time.</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20 reports expected during the period</w:t>
      </w:r>
    </w:p>
    <w:p>
      <w:pPr>
        <w:pStyle w:val="BodyText"/>
        <w:jc w:val="both"/>
        <w:rPr>
          <w:szCs w:val="22"/>
          <w:lang w:val="en-GB"/>
        </w:rPr>
      </w:pPr>
      <w:r>
        <w:rPr>
          <w:szCs w:val="22"/>
          <w:lang w:val="en-GB"/>
        </w:rPr>
        <w:t>B = 19 reports delivered on time during the period</w:t>
      </w:r>
    </w:p>
    <w:p>
      <w:pPr>
        <w:pStyle w:val="BodyText"/>
        <w:jc w:val="both"/>
        <w:rPr>
          <w:szCs w:val="22"/>
          <w:lang w:val="en-GB"/>
        </w:rPr>
      </w:pPr>
      <w:r>
        <w:rPr>
          <w:szCs w:val="22"/>
          <w:lang w:val="en-GB"/>
        </w:rPr>
        <w:t>(19/20) * 100% = 95%</w:t>
      </w:r>
    </w:p>
    <w:p>
      <w:pPr>
        <w:pStyle w:val="BodyText"/>
        <w:jc w:val="both"/>
        <w:rPr>
          <w:szCs w:val="22"/>
          <w:lang w:val="en-GB"/>
        </w:rPr>
      </w:pPr>
      <w:r>
        <w:rPr>
          <w:szCs w:val="22"/>
          <w:lang w:val="en-GB"/>
        </w:rPr>
        <w:t>This measurement is performed on a monthly basis. The time schedule takes place from the 5th to the 8th working day of every month.</w:t>
      </w:r>
    </w:p>
    <w:p>
      <w:pPr>
        <w:pStyle w:val="BodyText"/>
        <w:jc w:val="both"/>
        <w:rPr/>
      </w:pPr>
      <w:r>
        <w:rPr>
          <w:szCs w:val="22"/>
          <w:lang w:val="en-GB"/>
        </w:rPr>
        <w:t>When the expected SLA reports are not delivered before the 20</w:t>
      </w:r>
      <w:r>
        <w:rPr>
          <w:szCs w:val="22"/>
          <w:vertAlign w:val="superscript"/>
          <w:lang w:val="en-GB"/>
        </w:rPr>
        <w:t>th</w:t>
      </w:r>
      <w:r>
        <w:rPr>
          <w:szCs w:val="22"/>
          <w:lang w:val="en-GB"/>
        </w:rPr>
        <w:t xml:space="preserve"> working day of every month, this will be considered as a service default.</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Capacity monitoring</w:t>
      </w:r>
    </w:p>
    <w:p>
      <w:pPr>
        <w:pStyle w:val="BodyText"/>
        <w:jc w:val="both"/>
        <w:rPr>
          <w:szCs w:val="22"/>
          <w:lang w:val="en-GB"/>
        </w:rPr>
      </w:pPr>
      <w:r>
        <w:rPr>
          <w:szCs w:val="22"/>
          <w:lang w:val="en-GB"/>
        </w:rPr>
        <w:t>Accurate capacity reports are produced by the PST as per agreed format and delivered against the time schedule. 2IM provides the appropriate accurate back up information of open action items of previous reporting periods.</w:t>
      </w:r>
    </w:p>
    <w:p>
      <w:pPr>
        <w:pStyle w:val="BodyText"/>
        <w:jc w:val="both"/>
        <w:rPr>
          <w:szCs w:val="22"/>
          <w:lang w:val="en-GB"/>
        </w:rPr>
      </w:pPr>
      <w:r>
        <w:rPr>
          <w:szCs w:val="22"/>
          <w:lang w:val="en-GB"/>
        </w:rPr>
        <w:t xml:space="preserve">The percentage of capacity reports delivered as per agreed format against the time schedule is calculated as (B / A) * 100%, where </w:t>
      </w:r>
    </w:p>
    <w:p>
      <w:pPr>
        <w:pStyle w:val="BodyText"/>
        <w:jc w:val="both"/>
        <w:rPr>
          <w:szCs w:val="22"/>
          <w:lang w:val="en-GB"/>
        </w:rPr>
      </w:pPr>
      <w:r>
        <w:rPr>
          <w:szCs w:val="22"/>
          <w:lang w:val="en-GB"/>
        </w:rPr>
        <w:t>A = the total number of capacity reports expected during the considered period of time,</w:t>
      </w:r>
    </w:p>
    <w:p>
      <w:pPr>
        <w:pStyle w:val="BodyText"/>
        <w:jc w:val="both"/>
        <w:rPr>
          <w:szCs w:val="22"/>
          <w:lang w:val="en-GB"/>
        </w:rPr>
      </w:pPr>
      <w:r>
        <w:rPr>
          <w:szCs w:val="22"/>
          <w:lang w:val="en-GB"/>
        </w:rPr>
        <w:t>B = the number of capacity reports as per agreed format delivered to schedule during the considered period of time.</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20 reports expected during the period</w:t>
      </w:r>
    </w:p>
    <w:p>
      <w:pPr>
        <w:pStyle w:val="BodyText"/>
        <w:jc w:val="both"/>
        <w:rPr>
          <w:szCs w:val="22"/>
          <w:lang w:val="en-GB"/>
        </w:rPr>
      </w:pPr>
      <w:r>
        <w:rPr>
          <w:szCs w:val="22"/>
          <w:lang w:val="en-GB"/>
        </w:rPr>
        <w:t>B = 19 reports delivered on time during the period</w:t>
      </w:r>
    </w:p>
    <w:p>
      <w:pPr>
        <w:pStyle w:val="BodyText"/>
        <w:jc w:val="both"/>
        <w:rPr>
          <w:szCs w:val="22"/>
          <w:lang w:val="en-GB"/>
        </w:rPr>
      </w:pPr>
      <w:r>
        <w:rPr>
          <w:szCs w:val="22"/>
          <w:lang w:val="en-GB"/>
        </w:rPr>
        <w:t>(19/20) * 100% = 95%</w:t>
      </w:r>
    </w:p>
    <w:p>
      <w:pPr>
        <w:pStyle w:val="BodyText"/>
        <w:jc w:val="both"/>
        <w:rPr>
          <w:szCs w:val="22"/>
          <w:lang w:val="en-GB"/>
        </w:rPr>
      </w:pPr>
      <w:r>
        <w:rPr>
          <w:szCs w:val="22"/>
          <w:lang w:val="en-GB"/>
        </w:rPr>
        <w:t>This measurement is performed on a monthly basis. The time schedule takes place from the 5th to the 8th working day of every 3 months.</w:t>
      </w:r>
    </w:p>
    <w:p>
      <w:pPr>
        <w:pStyle w:val="BodyText"/>
        <w:jc w:val="both"/>
        <w:rPr/>
      </w:pPr>
      <w:r>
        <w:rPr>
          <w:szCs w:val="22"/>
          <w:lang w:val="en-GB"/>
        </w:rPr>
        <w:t>When the expected capacity reports are not delivered before the 20</w:t>
      </w:r>
      <w:r>
        <w:rPr>
          <w:szCs w:val="22"/>
          <w:vertAlign w:val="superscript"/>
          <w:lang w:val="en-GB"/>
        </w:rPr>
        <w:t>th</w:t>
      </w:r>
      <w:r>
        <w:rPr>
          <w:szCs w:val="22"/>
          <w:lang w:val="en-GB"/>
        </w:rPr>
        <w:t xml:space="preserve"> working day of every third month, this will be considered as a service default.</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Capacity Modelling and trending</w:t>
      </w:r>
    </w:p>
    <w:p>
      <w:pPr>
        <w:pStyle w:val="BodyText"/>
        <w:jc w:val="both"/>
        <w:rPr>
          <w:szCs w:val="22"/>
          <w:lang w:val="en-GB"/>
        </w:rPr>
      </w:pPr>
      <w:r>
        <w:rPr>
          <w:szCs w:val="22"/>
          <w:lang w:val="en-GB"/>
        </w:rPr>
        <w:t>Accurate modelling and trending reports are produced by the PST as per agreed format and delivered against the time schedule. 2IM provides the appropriate accurate back up information of open action items of previous reporting periods.</w:t>
      </w:r>
    </w:p>
    <w:p>
      <w:pPr>
        <w:pStyle w:val="BodyText"/>
        <w:jc w:val="both"/>
        <w:rPr>
          <w:szCs w:val="22"/>
          <w:lang w:val="en-GB"/>
        </w:rPr>
      </w:pPr>
      <w:r>
        <w:rPr>
          <w:szCs w:val="22"/>
          <w:lang w:val="en-GB"/>
        </w:rPr>
        <w:t xml:space="preserve">The percentage of modelling and trending reports delivered as per agreed format against the time schedule is calculated as (B / A) * 100%, where </w:t>
      </w:r>
    </w:p>
    <w:p>
      <w:pPr>
        <w:pStyle w:val="BodyText"/>
        <w:jc w:val="both"/>
        <w:rPr>
          <w:szCs w:val="22"/>
          <w:lang w:val="en-GB"/>
        </w:rPr>
      </w:pPr>
      <w:r>
        <w:rPr>
          <w:szCs w:val="22"/>
          <w:lang w:val="en-GB"/>
        </w:rPr>
        <w:t>A = the total number of modelling and trending reports expected during the considered period of time,</w:t>
      </w:r>
    </w:p>
    <w:p>
      <w:pPr>
        <w:pStyle w:val="BodyText"/>
        <w:jc w:val="both"/>
        <w:rPr>
          <w:szCs w:val="22"/>
          <w:lang w:val="en-GB"/>
        </w:rPr>
      </w:pPr>
      <w:r>
        <w:rPr>
          <w:szCs w:val="22"/>
          <w:lang w:val="en-GB"/>
        </w:rPr>
        <w:t>B = the number of modelling and trending reports as per agreed format delivered to schedule during the considered period of time.</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20 reports expected during the period</w:t>
      </w:r>
    </w:p>
    <w:p>
      <w:pPr>
        <w:pStyle w:val="BodyText"/>
        <w:jc w:val="both"/>
        <w:rPr>
          <w:szCs w:val="22"/>
          <w:lang w:val="en-GB"/>
        </w:rPr>
      </w:pPr>
      <w:r>
        <w:rPr>
          <w:szCs w:val="22"/>
          <w:lang w:val="en-GB"/>
        </w:rPr>
        <w:t>B = 19 reports delivered on time during the period</w:t>
      </w:r>
    </w:p>
    <w:p>
      <w:pPr>
        <w:pStyle w:val="BodyText"/>
        <w:jc w:val="both"/>
        <w:rPr>
          <w:szCs w:val="22"/>
          <w:lang w:val="en-GB"/>
        </w:rPr>
      </w:pPr>
      <w:r>
        <w:rPr>
          <w:szCs w:val="22"/>
          <w:lang w:val="en-GB"/>
        </w:rPr>
        <w:t>(19/20) * 100% = 95%</w:t>
      </w:r>
    </w:p>
    <w:p>
      <w:pPr>
        <w:pStyle w:val="BodyText"/>
        <w:jc w:val="both"/>
        <w:rPr>
          <w:szCs w:val="22"/>
          <w:lang w:val="en-GB"/>
        </w:rPr>
      </w:pPr>
      <w:r>
        <w:rPr>
          <w:szCs w:val="22"/>
          <w:lang w:val="en-GB"/>
        </w:rPr>
        <w:t>This measurement is performed on a monthly basis. The time schedule takes place from the 5th to the 8th working day of every 3 months.</w:t>
      </w:r>
    </w:p>
    <w:p>
      <w:pPr>
        <w:pStyle w:val="BodyText"/>
        <w:jc w:val="both"/>
        <w:rPr/>
      </w:pPr>
      <w:r>
        <w:rPr>
          <w:szCs w:val="22"/>
          <w:lang w:val="en-GB"/>
        </w:rPr>
        <w:t>When the expected capacity modelling and trending reports are not delivered before the 20</w:t>
      </w:r>
      <w:r>
        <w:rPr>
          <w:szCs w:val="22"/>
          <w:vertAlign w:val="superscript"/>
          <w:lang w:val="en-GB"/>
        </w:rPr>
        <w:t>th</w:t>
      </w:r>
      <w:r>
        <w:rPr>
          <w:szCs w:val="22"/>
          <w:lang w:val="en-GB"/>
        </w:rPr>
        <w:t xml:space="preserve"> working day of every third month, this will be considered as a service default.</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Availability monitoring and reporting</w:t>
      </w:r>
    </w:p>
    <w:p>
      <w:pPr>
        <w:pStyle w:val="BodyText"/>
        <w:jc w:val="both"/>
        <w:rPr>
          <w:szCs w:val="22"/>
          <w:lang w:val="en-GB"/>
        </w:rPr>
      </w:pPr>
      <w:r>
        <w:rPr>
          <w:szCs w:val="22"/>
          <w:lang w:val="en-GB"/>
        </w:rPr>
        <w:t>Accurate availability monitoring reports are produced by the PST as per agreed format and delivered against the time schedule. 2IM provides the appropriate accurate back up information of open action items of previous reporting periods.</w:t>
      </w:r>
    </w:p>
    <w:p>
      <w:pPr>
        <w:pStyle w:val="BodyText"/>
        <w:jc w:val="both"/>
        <w:rPr>
          <w:szCs w:val="22"/>
          <w:lang w:val="en-GB"/>
        </w:rPr>
      </w:pPr>
      <w:r>
        <w:rPr>
          <w:szCs w:val="22"/>
          <w:lang w:val="en-GB"/>
        </w:rPr>
        <w:t xml:space="preserve">The percentage of availability monitoring reports delivered as per agreed format against the time schedule is calculated as (B / A) * 100%, where </w:t>
      </w:r>
    </w:p>
    <w:p>
      <w:pPr>
        <w:pStyle w:val="BodyText"/>
        <w:jc w:val="both"/>
        <w:rPr>
          <w:szCs w:val="22"/>
          <w:lang w:val="en-GB"/>
        </w:rPr>
      </w:pPr>
      <w:r>
        <w:rPr>
          <w:szCs w:val="22"/>
          <w:lang w:val="en-GB"/>
        </w:rPr>
        <w:t>A = the total number of availability monitoring reports expected during the considered period of time,</w:t>
      </w:r>
    </w:p>
    <w:p>
      <w:pPr>
        <w:pStyle w:val="BodyText"/>
        <w:jc w:val="both"/>
        <w:rPr>
          <w:szCs w:val="22"/>
          <w:lang w:val="en-GB"/>
        </w:rPr>
      </w:pPr>
      <w:r>
        <w:rPr>
          <w:szCs w:val="22"/>
          <w:lang w:val="en-GB"/>
        </w:rPr>
        <w:t>B = the number of availability monitoring reports as per agreed format delivered to schedule during the considered period of time.</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20 reports expected during the period</w:t>
      </w:r>
    </w:p>
    <w:p>
      <w:pPr>
        <w:pStyle w:val="BodyText"/>
        <w:jc w:val="both"/>
        <w:rPr>
          <w:szCs w:val="22"/>
          <w:lang w:val="en-GB"/>
        </w:rPr>
      </w:pPr>
      <w:r>
        <w:rPr>
          <w:szCs w:val="22"/>
          <w:lang w:val="en-GB"/>
        </w:rPr>
        <w:t>B = 19 reports delivered on time during the period</w:t>
      </w:r>
    </w:p>
    <w:p>
      <w:pPr>
        <w:pStyle w:val="BodyText"/>
        <w:jc w:val="both"/>
        <w:rPr>
          <w:szCs w:val="22"/>
          <w:lang w:val="en-GB"/>
        </w:rPr>
      </w:pPr>
      <w:r>
        <w:rPr>
          <w:szCs w:val="22"/>
          <w:lang w:val="en-GB"/>
        </w:rPr>
        <w:t>(19/20) * 100% = 95%</w:t>
      </w:r>
    </w:p>
    <w:p>
      <w:pPr>
        <w:pStyle w:val="BodyText"/>
        <w:jc w:val="both"/>
        <w:rPr>
          <w:szCs w:val="22"/>
          <w:lang w:val="en-GB"/>
        </w:rPr>
      </w:pPr>
      <w:r>
        <w:rPr>
          <w:szCs w:val="22"/>
          <w:lang w:val="en-GB"/>
        </w:rPr>
        <w:t>This measurement is performed on a monthly basis. The time schedule takes place from the 5th to the 8th working day of every 3 months.</w:t>
      </w:r>
    </w:p>
    <w:p>
      <w:pPr>
        <w:pStyle w:val="BodyText"/>
        <w:jc w:val="both"/>
        <w:rPr/>
      </w:pPr>
      <w:r>
        <w:rPr>
          <w:szCs w:val="22"/>
          <w:lang w:val="en-GB"/>
        </w:rPr>
        <w:t>When the expected availability modelling and trending reports are not delivered before the 20</w:t>
      </w:r>
      <w:r>
        <w:rPr>
          <w:szCs w:val="22"/>
          <w:vertAlign w:val="superscript"/>
          <w:lang w:val="en-GB"/>
        </w:rPr>
        <w:t>th</w:t>
      </w:r>
      <w:r>
        <w:rPr>
          <w:szCs w:val="22"/>
          <w:lang w:val="en-GB"/>
        </w:rPr>
        <w:t xml:space="preserve"> working day of every third month, this will be considered as a service default.</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Performance report received in agreed format on agreed timeframe</w:t>
      </w:r>
    </w:p>
    <w:p>
      <w:pPr>
        <w:pStyle w:val="BodyText"/>
        <w:jc w:val="both"/>
        <w:rPr>
          <w:szCs w:val="22"/>
          <w:lang w:val="en-GB"/>
        </w:rPr>
      </w:pPr>
      <w:r>
        <w:rPr>
          <w:szCs w:val="22"/>
          <w:lang w:val="en-GB"/>
        </w:rPr>
        <w:t>Accurate performance reports are produced by the PST as per agreed format and delivered against the time schedule. 2IM provides the appropriate accurate back up information of open action items of previous reporting periods.</w:t>
      </w:r>
    </w:p>
    <w:p>
      <w:pPr>
        <w:pStyle w:val="BodyText"/>
        <w:jc w:val="both"/>
        <w:rPr>
          <w:szCs w:val="22"/>
          <w:lang w:val="en-GB"/>
        </w:rPr>
      </w:pPr>
      <w:r>
        <w:rPr>
          <w:szCs w:val="22"/>
          <w:lang w:val="en-GB"/>
        </w:rPr>
        <w:t xml:space="preserve">The percentage of performance reports delivered as per agreed format against the time schedule is calculated as (B / A) * 100%, where </w:t>
      </w:r>
    </w:p>
    <w:p>
      <w:pPr>
        <w:pStyle w:val="BodyText"/>
        <w:jc w:val="both"/>
        <w:rPr>
          <w:szCs w:val="22"/>
          <w:lang w:val="en-GB"/>
        </w:rPr>
      </w:pPr>
      <w:r>
        <w:rPr>
          <w:szCs w:val="22"/>
          <w:lang w:val="en-GB"/>
        </w:rPr>
        <w:t>A = the total number of performance reports expected during the considered period of time,</w:t>
      </w:r>
    </w:p>
    <w:p>
      <w:pPr>
        <w:pStyle w:val="BodyText"/>
        <w:jc w:val="both"/>
        <w:rPr>
          <w:szCs w:val="22"/>
          <w:lang w:val="en-GB"/>
        </w:rPr>
      </w:pPr>
      <w:r>
        <w:rPr>
          <w:szCs w:val="22"/>
          <w:lang w:val="en-GB"/>
        </w:rPr>
        <w:t>B = the number of performance reports as per agreed format delivered to schedule during the considered period of time.</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20 reports expected during the period</w:t>
      </w:r>
    </w:p>
    <w:p>
      <w:pPr>
        <w:pStyle w:val="BodyText"/>
        <w:jc w:val="both"/>
        <w:rPr>
          <w:szCs w:val="22"/>
          <w:lang w:val="en-GB"/>
        </w:rPr>
      </w:pPr>
      <w:r>
        <w:rPr>
          <w:szCs w:val="22"/>
          <w:lang w:val="en-GB"/>
        </w:rPr>
        <w:t>B = 19 reports delivered on time during the period</w:t>
      </w:r>
    </w:p>
    <w:p>
      <w:pPr>
        <w:pStyle w:val="BodyText"/>
        <w:jc w:val="both"/>
        <w:rPr>
          <w:szCs w:val="22"/>
          <w:lang w:val="en-GB"/>
        </w:rPr>
      </w:pPr>
      <w:r>
        <w:rPr>
          <w:szCs w:val="22"/>
          <w:lang w:val="en-GB"/>
        </w:rPr>
        <w:t>(19/20) * 100% = 95%</w:t>
      </w:r>
    </w:p>
    <w:p>
      <w:pPr>
        <w:pStyle w:val="BodyText"/>
        <w:jc w:val="both"/>
        <w:rPr>
          <w:szCs w:val="22"/>
          <w:lang w:val="en-GB"/>
        </w:rPr>
      </w:pPr>
      <w:r>
        <w:rPr>
          <w:szCs w:val="22"/>
          <w:lang w:val="en-GB"/>
        </w:rPr>
        <w:t>This measurement is performed on a monthly basis. The time schedule takes place from the 5th to the 8th working day of every 3 months.</w:t>
      </w:r>
    </w:p>
    <w:p>
      <w:pPr>
        <w:pStyle w:val="BodyText"/>
        <w:jc w:val="both"/>
        <w:rPr/>
      </w:pPr>
      <w:r>
        <w:rPr>
          <w:szCs w:val="22"/>
          <w:lang w:val="en-GB"/>
        </w:rPr>
        <w:t>When the expected performance reports are not delivered before the 20</w:t>
      </w:r>
      <w:r>
        <w:rPr>
          <w:szCs w:val="22"/>
          <w:vertAlign w:val="superscript"/>
          <w:lang w:val="en-GB"/>
        </w:rPr>
        <w:t>th</w:t>
      </w:r>
      <w:r>
        <w:rPr>
          <w:szCs w:val="22"/>
          <w:lang w:val="en-GB"/>
        </w:rPr>
        <w:t xml:space="preserve"> working day of every third month, this will be considered as a service default.</w:t>
      </w:r>
    </w:p>
    <w:p>
      <w:pPr>
        <w:pStyle w:val="Heading3Numbered"/>
        <w:numPr>
          <w:ilvl w:val="2"/>
          <w:numId w:val="4"/>
        </w:numPr>
        <w:ind w:hanging="0" w:start="0"/>
        <w:jc w:val="both"/>
        <w:rPr>
          <w:rFonts w:ascii="Times New Roman" w:hAnsi="Times New Roman" w:cs="Times New Roman"/>
          <w:sz w:val="22"/>
          <w:szCs w:val="22"/>
          <w:lang w:val="en-GB"/>
        </w:rPr>
      </w:pPr>
      <w:r>
        <w:rPr>
          <w:rFonts w:cs="Times New Roman" w:ascii="Times New Roman" w:hAnsi="Times New Roman"/>
          <w:sz w:val="22"/>
          <w:szCs w:val="22"/>
          <w:lang w:val="en-GB"/>
        </w:rPr>
        <w:t>2IM - Security report received in agreed format on agreed timeframe</w:t>
      </w:r>
    </w:p>
    <w:p>
      <w:pPr>
        <w:pStyle w:val="BodyText"/>
        <w:jc w:val="both"/>
        <w:rPr>
          <w:szCs w:val="22"/>
          <w:lang w:val="en-GB"/>
        </w:rPr>
      </w:pPr>
      <w:r>
        <w:rPr>
          <w:szCs w:val="22"/>
          <w:lang w:val="en-GB"/>
        </w:rPr>
        <w:t>Accurate security reports are produced by the PST as per agreed format and delivered against the time schedule. 2IM provides the appropriate accurate information of open action items of previous reporting periods.</w:t>
      </w:r>
    </w:p>
    <w:p>
      <w:pPr>
        <w:pStyle w:val="BodyText"/>
        <w:jc w:val="both"/>
        <w:rPr>
          <w:szCs w:val="22"/>
          <w:lang w:val="en-GB"/>
        </w:rPr>
      </w:pPr>
      <w:r>
        <w:rPr>
          <w:szCs w:val="22"/>
          <w:lang w:val="en-GB"/>
        </w:rPr>
        <w:t xml:space="preserve">The percentage of security reports delivered as per agreed format against the time schedule is calculated as (B / A) * 100%, where </w:t>
      </w:r>
    </w:p>
    <w:p>
      <w:pPr>
        <w:pStyle w:val="BodyText"/>
        <w:jc w:val="both"/>
        <w:rPr>
          <w:szCs w:val="22"/>
          <w:lang w:val="en-GB"/>
        </w:rPr>
      </w:pPr>
      <w:r>
        <w:rPr>
          <w:szCs w:val="22"/>
          <w:lang w:val="en-GB"/>
        </w:rPr>
        <w:t>A = the total number of security reports expected during the considered period of time,</w:t>
      </w:r>
    </w:p>
    <w:p>
      <w:pPr>
        <w:pStyle w:val="BodyText"/>
        <w:jc w:val="both"/>
        <w:rPr>
          <w:szCs w:val="22"/>
          <w:lang w:val="en-GB"/>
        </w:rPr>
      </w:pPr>
      <w:r>
        <w:rPr>
          <w:szCs w:val="22"/>
          <w:lang w:val="en-GB"/>
        </w:rPr>
        <w:t>B = the number of security reports as per agreed format delivered to schedule during the considered period of time.</w:t>
      </w:r>
    </w:p>
    <w:p>
      <w:pPr>
        <w:pStyle w:val="BodyText"/>
        <w:jc w:val="both"/>
        <w:rPr>
          <w:szCs w:val="22"/>
          <w:lang w:val="en-GB"/>
        </w:rPr>
      </w:pPr>
      <w:r>
        <w:rPr>
          <w:szCs w:val="22"/>
          <w:lang w:val="en-GB"/>
        </w:rPr>
        <w:t xml:space="preserve">Example: </w:t>
      </w:r>
    </w:p>
    <w:p>
      <w:pPr>
        <w:pStyle w:val="BodyText"/>
        <w:jc w:val="both"/>
        <w:rPr>
          <w:szCs w:val="22"/>
          <w:lang w:val="en-GB"/>
        </w:rPr>
      </w:pPr>
      <w:r>
        <w:rPr>
          <w:szCs w:val="22"/>
          <w:lang w:val="en-GB"/>
        </w:rPr>
        <w:t>A = 20 reports expected during the period</w:t>
      </w:r>
    </w:p>
    <w:p>
      <w:pPr>
        <w:pStyle w:val="BodyText"/>
        <w:jc w:val="both"/>
        <w:rPr>
          <w:szCs w:val="22"/>
          <w:lang w:val="en-GB"/>
        </w:rPr>
      </w:pPr>
      <w:r>
        <w:rPr>
          <w:szCs w:val="22"/>
          <w:lang w:val="en-GB"/>
        </w:rPr>
        <w:t>B = 19 reports delivered on time during the period</w:t>
      </w:r>
    </w:p>
    <w:p>
      <w:pPr>
        <w:pStyle w:val="BodyText"/>
        <w:jc w:val="both"/>
        <w:rPr>
          <w:szCs w:val="22"/>
          <w:lang w:val="en-GB"/>
        </w:rPr>
      </w:pPr>
      <w:r>
        <w:rPr>
          <w:szCs w:val="22"/>
          <w:lang w:val="en-GB"/>
        </w:rPr>
        <w:t>(19/20) * 100% = 95%</w:t>
      </w:r>
    </w:p>
    <w:p>
      <w:pPr>
        <w:pStyle w:val="BodyText"/>
        <w:jc w:val="both"/>
        <w:rPr>
          <w:szCs w:val="22"/>
          <w:lang w:val="en-GB"/>
        </w:rPr>
      </w:pPr>
      <w:r>
        <w:rPr>
          <w:szCs w:val="22"/>
          <w:lang w:val="en-GB"/>
        </w:rPr>
        <w:t>This measurement is performed on a monthly basis. The time schedule takes place from the 5th to the 8th working day of every 3 months.</w:t>
      </w:r>
    </w:p>
    <w:p>
      <w:pPr>
        <w:pStyle w:val="BodyText"/>
        <w:jc w:val="both"/>
        <w:rPr>
          <w:szCs w:val="22"/>
          <w:lang w:val="en-GB"/>
        </w:rPr>
      </w:pPr>
      <w:r>
        <w:rPr>
          <w:szCs w:val="22"/>
          <w:lang w:val="en-GB"/>
        </w:rPr>
        <w:t>When the expected security reports are not delivered before the 20</w:t>
      </w:r>
      <w:r>
        <w:rPr>
          <w:szCs w:val="22"/>
          <w:vertAlign w:val="superscript"/>
          <w:lang w:val="en-GB"/>
        </w:rPr>
        <w:t>th</w:t>
      </w:r>
      <w:r>
        <w:rPr>
          <w:szCs w:val="22"/>
          <w:lang w:val="en-GB"/>
        </w:rPr>
        <w:t xml:space="preserve"> working day of every third month, this will be considered as a service default.</w:t>
      </w:r>
    </w:p>
    <w:p>
      <w:pPr>
        <w:pStyle w:val="Heading1Numbered"/>
        <w:numPr>
          <w:ilvl w:val="0"/>
          <w:numId w:val="4"/>
        </w:numPr>
        <w:ind w:hanging="0" w:start="0"/>
        <w:jc w:val="both"/>
        <w:rPr>
          <w:rFonts w:ascii="Times New Roman" w:hAnsi="Times New Roman" w:cs="Times New Roman"/>
          <w:sz w:val="22"/>
          <w:szCs w:val="22"/>
          <w:lang w:val="en-GB"/>
        </w:rPr>
      </w:pPr>
      <w:bookmarkStart w:id="36" w:name="__RefHeading___Toc151897004"/>
      <w:bookmarkEnd w:id="36"/>
      <w:r>
        <w:rPr>
          <w:rFonts w:cs="Times New Roman" w:ascii="Times New Roman" w:hAnsi="Times New Roman"/>
          <w:sz w:val="22"/>
          <w:szCs w:val="22"/>
          <w:lang w:val="en-GB"/>
        </w:rPr>
        <w:t>Key Measurementss</w:t>
      </w:r>
    </w:p>
    <w:p>
      <w:pPr>
        <w:pStyle w:val="BodyText"/>
        <w:jc w:val="both"/>
        <w:rPr/>
      </w:pPr>
      <w:r>
        <w:rPr>
          <w:szCs w:val="22"/>
          <w:lang w:val="en-GB"/>
        </w:rPr>
        <w:t>The full descriptions of the Key Measurements will be provided by the 2IM, the PST Suppliers and EuroBank together with the first release of the Service Catalogue.</w:t>
      </w:r>
    </w:p>
    <w:p>
      <w:pPr>
        <w:sectPr>
          <w:headerReference w:type="default" r:id="rId8"/>
          <w:headerReference w:type="first" r:id="rId9"/>
          <w:footerReference w:type="default" r:id="rId10"/>
          <w:footerReference w:type="first" r:id="rId11"/>
          <w:type w:val="nextPage"/>
          <w:pgSz w:w="11906" w:h="16838"/>
          <w:pgMar w:left="1440" w:right="1109" w:gutter="0" w:header="720" w:top="1728" w:footer="851" w:bottom="1728"/>
          <w:pgNumType w:start="1" w:fmt="decimal"/>
          <w:formProt w:val="false"/>
          <w:textDirection w:val="lrTb"/>
          <w:docGrid w:type="default" w:linePitch="360" w:charSpace="0"/>
        </w:sectPr>
        <w:pStyle w:val="BodyText"/>
        <w:jc w:val="both"/>
        <w:rPr/>
      </w:pPr>
      <w:r>
        <w:rPr>
          <w:szCs w:val="22"/>
          <w:lang w:val="en-GB"/>
        </w:rPr>
        <w:t>These Key Measurements and the full descriptions must be signed off by EuroBank.</w:t>
      </w:r>
    </w:p>
    <w:p>
      <w:pPr>
        <w:pStyle w:val="Heading1Numbered"/>
        <w:numPr>
          <w:ilvl w:val="0"/>
          <w:numId w:val="4"/>
        </w:numPr>
        <w:ind w:hanging="0" w:start="0"/>
        <w:jc w:val="both"/>
        <w:rPr>
          <w:rFonts w:ascii="Times New Roman" w:hAnsi="Times New Roman" w:cs="Times New Roman"/>
          <w:bCs/>
          <w:sz w:val="22"/>
          <w:szCs w:val="22"/>
          <w:lang w:val="en-GB"/>
        </w:rPr>
      </w:pPr>
      <w:bookmarkStart w:id="37" w:name="__RefHeading___Toc151897005"/>
      <w:bookmarkEnd w:id="37"/>
      <w:r>
        <w:rPr>
          <w:rFonts w:cs="Times New Roman" w:ascii="Times New Roman" w:hAnsi="Times New Roman"/>
          <w:bCs/>
          <w:sz w:val="22"/>
          <w:szCs w:val="22"/>
          <w:lang w:val="en-GB"/>
        </w:rPr>
        <w:t>CD-CRITICAL SERVICE LEVELs</w:t>
      </w:r>
    </w:p>
    <w:p>
      <w:pPr>
        <w:pStyle w:val="BodyText"/>
        <w:jc w:val="both"/>
        <w:rPr>
          <w:szCs w:val="22"/>
          <w:lang w:val="en-GB"/>
        </w:rPr>
      </w:pPr>
      <w:r>
        <w:rPr>
          <w:szCs w:val="22"/>
          <w:lang w:val="en-GB"/>
        </w:rPr>
        <w:t>This chapter gives a description on the CD-Critical Service Levels and how they are measured. The following conditions must be taken into account:</w:t>
      </w:r>
    </w:p>
    <w:p>
      <w:pPr>
        <w:pStyle w:val="BodyText"/>
        <w:numPr>
          <w:ilvl w:val="0"/>
          <w:numId w:val="11"/>
        </w:numPr>
        <w:jc w:val="both"/>
        <w:rPr>
          <w:szCs w:val="22"/>
          <w:lang w:val="en-GB"/>
        </w:rPr>
      </w:pPr>
      <w:r>
        <w:rPr>
          <w:szCs w:val="22"/>
          <w:lang w:val="en-GB"/>
        </w:rPr>
        <w:t>Services and activities performed by Third Party Vendors and the EuroBank retained organisation are excluded for the calculation of the CD-Critical Service Levels</w:t>
      </w:r>
    </w:p>
    <w:p>
      <w:pPr>
        <w:pStyle w:val="BodyText"/>
        <w:numPr>
          <w:ilvl w:val="0"/>
          <w:numId w:val="11"/>
        </w:numPr>
        <w:jc w:val="both"/>
        <w:rPr>
          <w:szCs w:val="22"/>
          <w:lang w:val="en-GB"/>
        </w:rPr>
      </w:pPr>
      <w:r>
        <w:rPr>
          <w:szCs w:val="22"/>
          <w:lang w:val="en-GB"/>
        </w:rPr>
        <w:t>Lead times spent waiting for requestor input / missing information, EuroBank authorisations, Third Party Vendors and input from EuroBank retained organisation are excluded for the calculation of the CD-Critical Service Levels</w:t>
      </w:r>
    </w:p>
    <w:p>
      <w:pPr>
        <w:pStyle w:val="BodyText"/>
        <w:numPr>
          <w:ilvl w:val="0"/>
          <w:numId w:val="11"/>
        </w:numPr>
        <w:jc w:val="both"/>
        <w:rPr>
          <w:szCs w:val="22"/>
          <w:lang w:val="en-GB"/>
        </w:rPr>
      </w:pPr>
      <w:r>
        <w:rPr>
          <w:szCs w:val="22"/>
          <w:lang w:val="en-GB"/>
        </w:rPr>
        <w:t>Current way of measuring and reporting on CD-Critical Service Levels will be continued.</w:t>
      </w:r>
    </w:p>
    <w:p>
      <w:pPr>
        <w:pStyle w:val="BodyText"/>
        <w:numPr>
          <w:ilvl w:val="0"/>
          <w:numId w:val="11"/>
        </w:numPr>
        <w:jc w:val="both"/>
        <w:rPr>
          <w:szCs w:val="22"/>
          <w:lang w:val="en-GB"/>
        </w:rPr>
      </w:pPr>
      <w:r>
        <w:rPr>
          <w:szCs w:val="22"/>
          <w:lang w:val="en-GB"/>
        </w:rPr>
        <w:t>Changes in the current way of working must be adopted into the way of measuring and reporting on CD-Critical Service Levels. Any changes in this will be subject to approval under the Change Control Procedure in Exhibit 22 (</w:t>
      </w:r>
      <w:r>
        <w:rPr>
          <w:i/>
          <w:szCs w:val="22"/>
          <w:lang w:val="en-GB"/>
        </w:rPr>
        <w:t>Change Control Procedures</w:t>
      </w:r>
      <w:r>
        <w:rPr>
          <w:szCs w:val="22"/>
          <w:lang w:val="en-GB"/>
        </w:rPr>
        <w:t>)</w:t>
      </w:r>
    </w:p>
    <w:p>
      <w:pPr>
        <w:pStyle w:val="Normal"/>
        <w:ind w:start="720" w:end="0"/>
        <w:jc w:val="both"/>
        <w:rPr/>
      </w:pPr>
      <w:r>
        <w:rPr>
          <w:szCs w:val="22"/>
          <w:lang w:val="en-GB"/>
        </w:rPr>
        <w:t>The parties agree that in the event of a Service Level Default on a CD-Critical Service Level occurring within 3 months after Commencement Date, the Service Credit shall be payable unless:</w:t>
      </w:r>
    </w:p>
    <w:p>
      <w:pPr>
        <w:pStyle w:val="Normal"/>
        <w:numPr>
          <w:ilvl w:val="0"/>
          <w:numId w:val="7"/>
        </w:numPr>
        <w:tabs>
          <w:tab w:val="clear" w:pos="720"/>
          <w:tab w:val="left" w:pos="1800" w:leader="none"/>
        </w:tabs>
        <w:spacing w:before="0" w:after="0"/>
        <w:ind w:hanging="720" w:start="1800" w:end="0"/>
        <w:jc w:val="both"/>
        <w:rPr>
          <w:szCs w:val="22"/>
          <w:lang w:val="en-GB"/>
        </w:rPr>
      </w:pPr>
      <w:r>
        <w:rPr>
          <w:szCs w:val="22"/>
          <w:lang w:val="en-GB"/>
        </w:rPr>
        <w:t>the 2IM shall review the Service Level Default and confirm to EuroBank that, in all the circumstances, a waiver of the Service Credit is appropriate. The circumstances for consideration shall include the work load of the relevant PST Supplier during the Transition Phase, the severity and nature of the Service Level Default and the number of such defaults during the 3-month period since Commencement Date; and</w:t>
      </w:r>
    </w:p>
    <w:p>
      <w:pPr>
        <w:pStyle w:val="Normal"/>
        <w:ind w:start="1080" w:end="0"/>
        <w:jc w:val="both"/>
        <w:rPr>
          <w:szCs w:val="22"/>
          <w:lang w:val="en-GB"/>
        </w:rPr>
      </w:pPr>
      <w:r>
        <w:rPr>
          <w:szCs w:val="22"/>
          <w:lang w:val="en-GB"/>
        </w:rPr>
      </w:r>
    </w:p>
    <w:p>
      <w:pPr>
        <w:pStyle w:val="Normal"/>
        <w:numPr>
          <w:ilvl w:val="0"/>
          <w:numId w:val="7"/>
        </w:numPr>
        <w:tabs>
          <w:tab w:val="clear" w:pos="720"/>
          <w:tab w:val="left" w:pos="1800" w:leader="none"/>
        </w:tabs>
        <w:spacing w:before="0" w:after="0"/>
        <w:ind w:hanging="720" w:start="1800" w:end="0"/>
        <w:jc w:val="both"/>
        <w:rPr>
          <w:szCs w:val="22"/>
          <w:lang w:val="en-GB"/>
        </w:rPr>
      </w:pPr>
      <w:r>
        <w:rPr>
          <w:szCs w:val="22"/>
          <w:lang w:val="en-GB"/>
        </w:rPr>
        <w:t>EuroBank agrees to waive the Service Credit.</w:t>
      </w:r>
    </w:p>
    <w:p>
      <w:pPr>
        <w:pStyle w:val="Normal"/>
        <w:ind w:start="720" w:end="0"/>
        <w:jc w:val="both"/>
        <w:rPr>
          <w:szCs w:val="22"/>
          <w:lang w:val="en-GB"/>
        </w:rPr>
      </w:pPr>
      <w:r>
        <w:rPr>
          <w:szCs w:val="22"/>
          <w:lang w:val="en-GB"/>
        </w:rPr>
        <w:t>The foregoing shall not apply to Service Levels in the in the “Critical Service Levels” tab in Attachment 3-A (</w:t>
      </w:r>
      <w:r>
        <w:rPr>
          <w:i/>
          <w:szCs w:val="22"/>
          <w:lang w:val="en-GB"/>
        </w:rPr>
        <w:t>Service Levels Matrix</w:t>
      </w:r>
      <w:r>
        <w:rPr>
          <w:szCs w:val="22"/>
          <w:lang w:val="en-GB"/>
        </w:rPr>
        <w:t>).</w:t>
      </w:r>
    </w:p>
    <w:p>
      <w:pPr>
        <w:pStyle w:val="BodyText"/>
        <w:ind w:start="749" w:end="0"/>
        <w:jc w:val="both"/>
        <w:rPr>
          <w:szCs w:val="22"/>
          <w:lang w:val="en-GB"/>
        </w:rPr>
      </w:pPr>
      <w:r>
        <w:rPr>
          <w:szCs w:val="22"/>
          <w:lang w:val="en-GB"/>
        </w:rPr>
      </w:r>
    </w:p>
    <w:p>
      <w:pPr>
        <w:pStyle w:val="Heading2Numbered"/>
        <w:numPr>
          <w:ilvl w:val="1"/>
          <w:numId w:val="4"/>
        </w:numPr>
        <w:ind w:hanging="0" w:start="0"/>
        <w:jc w:val="both"/>
        <w:rPr>
          <w:rFonts w:ascii="Times New Roman" w:hAnsi="Times New Roman" w:cs="Times New Roman"/>
          <w:bCs/>
          <w:sz w:val="22"/>
          <w:szCs w:val="22"/>
          <w:lang w:val="en-GB"/>
        </w:rPr>
      </w:pPr>
      <w:bookmarkStart w:id="38" w:name="__RefHeading___Toc151897006"/>
      <w:bookmarkEnd w:id="38"/>
      <w:r>
        <w:rPr>
          <w:rFonts w:cs="Times New Roman" w:ascii="Times New Roman" w:hAnsi="Times New Roman"/>
          <w:bCs/>
          <w:sz w:val="22"/>
          <w:szCs w:val="22"/>
          <w:lang w:val="en-GB"/>
        </w:rPr>
        <w:t>Reporting Application Integration Service - Performance</w:t>
      </w:r>
    </w:p>
    <w:p>
      <w:pPr>
        <w:pStyle w:val="BodyText"/>
        <w:jc w:val="both"/>
        <w:rPr>
          <w:szCs w:val="22"/>
          <w:lang w:val="en-GB"/>
        </w:rPr>
      </w:pPr>
      <w:r>
        <w:rPr>
          <w:szCs w:val="22"/>
          <w:lang w:val="en-GB"/>
        </w:rPr>
        <w:t>The formula used to calculate the realised level for this Critical Service Level is the realised level described in the paragraph 12.1.1 below.</w:t>
      </w:r>
    </w:p>
    <w:p>
      <w:pPr>
        <w:pStyle w:val="Heading3Numbered"/>
        <w:numPr>
          <w:ilvl w:val="2"/>
          <w:numId w:val="4"/>
        </w:numPr>
        <w:ind w:hanging="0" w:start="0"/>
        <w:jc w:val="both"/>
        <w:rPr>
          <w:rFonts w:ascii="Times New Roman" w:hAnsi="Times New Roman" w:cs="Times New Roman"/>
          <w:bCs/>
          <w:sz w:val="22"/>
          <w:szCs w:val="22"/>
          <w:lang w:val="en-GB"/>
        </w:rPr>
      </w:pPr>
      <w:r>
        <w:rPr>
          <w:rFonts w:cs="Times New Roman" w:ascii="Times New Roman" w:hAnsi="Times New Roman"/>
          <w:bCs/>
          <w:sz w:val="22"/>
          <w:szCs w:val="22"/>
          <w:lang w:val="en-GB"/>
        </w:rPr>
        <w:t>SM &amp; EUC (-UIS) - Number of completed packages per month completed within the timelines</w:t>
      </w:r>
    </w:p>
    <w:p>
      <w:pPr>
        <w:pStyle w:val="BodyText"/>
        <w:jc w:val="both"/>
        <w:rPr>
          <w:szCs w:val="22"/>
          <w:lang w:val="en-GB"/>
        </w:rPr>
      </w:pPr>
      <w:r>
        <w:rPr>
          <w:szCs w:val="22"/>
          <w:lang w:val="en-GB"/>
        </w:rPr>
        <w:t>The measurement concerns only the packages dealt with by the department WPS/WSS in the Netherlands and covers all packages of all categories.</w:t>
      </w:r>
    </w:p>
    <w:p>
      <w:pPr>
        <w:pStyle w:val="BodyText"/>
        <w:jc w:val="both"/>
        <w:rPr>
          <w:szCs w:val="22"/>
          <w:lang w:val="en-GB"/>
        </w:rPr>
      </w:pPr>
      <w:r>
        <w:rPr>
          <w:szCs w:val="22"/>
          <w:lang w:val="en-GB"/>
        </w:rPr>
        <w:t>The realised Service Levels are based on the monthly report “Voortgangsrapportage Desktop September 06”, which show the progress and status of WPS/WSS/Desktop excluding WIA and SWE. The used data is located in the table “Completed packages, In Time or Not In Time”.</w:t>
      </w:r>
    </w:p>
    <w:p>
      <w:pPr>
        <w:pStyle w:val="BodyText"/>
        <w:jc w:val="both"/>
        <w:rPr>
          <w:szCs w:val="22"/>
          <w:lang w:val="en-GB"/>
        </w:rPr>
      </w:pPr>
      <w:r>
        <w:rPr>
          <w:szCs w:val="22"/>
          <w:lang w:val="en-GB"/>
        </w:rPr>
        <w:t>% = (1 – (packages-not-delivered-on-time / total-complete-package-requests)) * 100%</w:t>
      </w:r>
    </w:p>
    <w:p>
      <w:pPr>
        <w:pStyle w:val="Heading2Numbered"/>
        <w:numPr>
          <w:ilvl w:val="1"/>
          <w:numId w:val="4"/>
        </w:numPr>
        <w:ind w:hanging="0" w:start="0"/>
        <w:jc w:val="both"/>
        <w:rPr>
          <w:rFonts w:ascii="Times New Roman" w:hAnsi="Times New Roman" w:cs="Times New Roman"/>
          <w:bCs/>
          <w:sz w:val="22"/>
          <w:szCs w:val="22"/>
          <w:lang w:val="en-GB"/>
        </w:rPr>
      </w:pPr>
      <w:bookmarkStart w:id="39" w:name="__RefHeading___Toc151897007"/>
      <w:bookmarkEnd w:id="39"/>
      <w:r>
        <w:rPr>
          <w:rFonts w:cs="Times New Roman" w:ascii="Times New Roman" w:hAnsi="Times New Roman"/>
          <w:bCs/>
          <w:sz w:val="22"/>
          <w:szCs w:val="22"/>
          <w:lang w:val="en-GB"/>
        </w:rPr>
        <w:t>Access Service - Service requests - Performance</w:t>
      </w:r>
    </w:p>
    <w:p>
      <w:pPr>
        <w:pStyle w:val="BodyText"/>
        <w:jc w:val="both"/>
        <w:rPr>
          <w:szCs w:val="22"/>
          <w:lang w:val="en-GB"/>
        </w:rPr>
      </w:pPr>
      <w:r>
        <w:rPr>
          <w:szCs w:val="22"/>
          <w:lang w:val="en-GB"/>
        </w:rPr>
        <w:t>The formula used to calculate the realised level for this Critical Service Level is the average of the realised level described in the paragraph 12.2.1 through 12.2.2 below.</w:t>
      </w:r>
    </w:p>
    <w:p>
      <w:pPr>
        <w:pStyle w:val="Heading3Numbered"/>
        <w:numPr>
          <w:ilvl w:val="2"/>
          <w:numId w:val="4"/>
        </w:numPr>
        <w:ind w:hanging="0" w:start="0"/>
        <w:jc w:val="both"/>
        <w:rPr>
          <w:rFonts w:ascii="Times New Roman" w:hAnsi="Times New Roman" w:cs="Times New Roman"/>
          <w:bCs/>
          <w:sz w:val="22"/>
          <w:szCs w:val="22"/>
          <w:lang w:val="en-GB"/>
        </w:rPr>
      </w:pPr>
      <w:r>
        <w:rPr>
          <w:rFonts w:cs="Times New Roman" w:ascii="Times New Roman" w:hAnsi="Times New Roman"/>
          <w:bCs/>
          <w:sz w:val="22"/>
          <w:szCs w:val="22"/>
          <w:lang w:val="en-GB"/>
        </w:rPr>
        <w:t>SM &amp; EUC (-UIS) - Electronic Authorisation request performed in 1 day</w:t>
      </w:r>
    </w:p>
    <w:p>
      <w:pPr>
        <w:pStyle w:val="BodyText"/>
        <w:jc w:val="both"/>
        <w:rPr>
          <w:szCs w:val="22"/>
          <w:lang w:val="en-GB"/>
        </w:rPr>
      </w:pPr>
      <w:r>
        <w:rPr>
          <w:szCs w:val="22"/>
          <w:lang w:val="en-GB"/>
        </w:rPr>
        <w:t>% = (1 – (authorizations-on-time / number-of- authorizations)) * 100%</w:t>
      </w:r>
    </w:p>
    <w:p>
      <w:pPr>
        <w:pStyle w:val="BodyText"/>
        <w:jc w:val="both"/>
        <w:rPr>
          <w:szCs w:val="22"/>
          <w:lang w:val="en-GB"/>
        </w:rPr>
      </w:pPr>
      <w:r>
        <w:rPr>
          <w:szCs w:val="22"/>
          <w:lang w:val="en-GB"/>
        </w:rPr>
        <w:t>For automated authorisation request (e.g. ITIM) only and only within the department WPS/UAS in the Netherlands.</w:t>
      </w:r>
    </w:p>
    <w:p>
      <w:pPr>
        <w:pStyle w:val="BodyText"/>
        <w:jc w:val="both"/>
        <w:rPr>
          <w:szCs w:val="22"/>
          <w:lang w:val="en-GB"/>
        </w:rPr>
      </w:pPr>
      <w:r>
        <w:rPr>
          <w:szCs w:val="22"/>
          <w:lang w:val="en-GB"/>
        </w:rPr>
        <w:t>The realised Service Levels are based on the weekly report “2006-43-WB-UAS-UA”.. The used data is located in the tab “Voorraad UA”. An example of how the weekly realised Service Levels in converted into monthly realised Service Levels is shown below</w:t>
      </w:r>
    </w:p>
    <w:p>
      <w:pPr>
        <w:pStyle w:val="BodyText"/>
        <w:jc w:val="both"/>
        <w:rPr>
          <w:szCs w:val="22"/>
          <w:lang w:val="en-GB"/>
        </w:rPr>
      </w:pPr>
      <w:r>
        <w:rPr/>
        <w:drawing>
          <wp:inline distT="0" distB="0" distL="0" distR="0">
            <wp:extent cx="5942330" cy="115697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2"/>
                    <a:srcRect l="-3" t="-16" r="-3" b="-16"/>
                    <a:stretch>
                      <a:fillRect/>
                    </a:stretch>
                  </pic:blipFill>
                  <pic:spPr bwMode="auto">
                    <a:xfrm>
                      <a:off x="0" y="0"/>
                      <a:ext cx="5942330" cy="1156970"/>
                    </a:xfrm>
                    <a:prstGeom prst="rect">
                      <a:avLst/>
                    </a:prstGeom>
                    <a:noFill/>
                  </pic:spPr>
                </pic:pic>
              </a:graphicData>
            </a:graphic>
          </wp:inline>
        </w:drawing>
      </w:r>
    </w:p>
    <w:p>
      <w:pPr>
        <w:pStyle w:val="Heading3Numbered"/>
        <w:numPr>
          <w:ilvl w:val="2"/>
          <w:numId w:val="4"/>
        </w:numPr>
        <w:ind w:hanging="0" w:start="0"/>
        <w:jc w:val="both"/>
        <w:rPr>
          <w:rFonts w:ascii="Times New Roman" w:hAnsi="Times New Roman" w:cs="Times New Roman"/>
          <w:bCs/>
          <w:sz w:val="22"/>
          <w:szCs w:val="22"/>
          <w:lang w:val="en-GB"/>
        </w:rPr>
      </w:pPr>
      <w:r>
        <w:rPr>
          <w:rFonts w:cs="Times New Roman" w:ascii="Times New Roman" w:hAnsi="Times New Roman"/>
          <w:bCs/>
          <w:sz w:val="22"/>
          <w:szCs w:val="22"/>
          <w:lang w:val="en-GB"/>
        </w:rPr>
        <w:t>SM &amp; EUC (-UIS) - Paper Authorisation request performed in 5 days</w:t>
      </w:r>
    </w:p>
    <w:p>
      <w:pPr>
        <w:pStyle w:val="BodyText"/>
        <w:jc w:val="both"/>
        <w:rPr>
          <w:szCs w:val="22"/>
          <w:lang w:val="en-GB"/>
        </w:rPr>
      </w:pPr>
      <w:r>
        <w:rPr>
          <w:szCs w:val="22"/>
          <w:lang w:val="en-GB"/>
        </w:rPr>
        <w:t>% = (1 – (authorizations-on-time / number-of- authorizations)) * 100%</w:t>
      </w:r>
    </w:p>
    <w:p>
      <w:pPr>
        <w:pStyle w:val="BodyText"/>
        <w:jc w:val="both"/>
        <w:rPr>
          <w:szCs w:val="22"/>
          <w:lang w:val="en-GB"/>
        </w:rPr>
      </w:pPr>
      <w:r>
        <w:rPr>
          <w:szCs w:val="22"/>
          <w:lang w:val="en-GB"/>
        </w:rPr>
        <w:t>For paper authorisation request only and only within the department WPS/UAS in the Netherlands.</w:t>
      </w:r>
    </w:p>
    <w:p>
      <w:pPr>
        <w:pStyle w:val="BodyText"/>
        <w:jc w:val="both"/>
        <w:rPr>
          <w:szCs w:val="22"/>
          <w:lang w:val="en-GB"/>
        </w:rPr>
      </w:pPr>
      <w:r>
        <w:rPr>
          <w:szCs w:val="22"/>
          <w:lang w:val="en-GB"/>
        </w:rPr>
        <w:t>The realised Service Levels are based on the weekly report “2006-43-WB-UAS-UA”.. The used data is located in the tab “Voorraad UA”. An example of how the weekly realised Service Levels in converted into monthly realised Service Levels is shown below</w:t>
      </w:r>
    </w:p>
    <w:p>
      <w:pPr>
        <w:pStyle w:val="BodyText"/>
        <w:jc w:val="both"/>
        <w:rPr>
          <w:szCs w:val="22"/>
          <w:lang w:val="en-GB"/>
        </w:rPr>
      </w:pPr>
      <w:r>
        <w:rPr/>
        <w:drawing>
          <wp:inline distT="0" distB="0" distL="0" distR="0">
            <wp:extent cx="5942330" cy="1156970"/>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13"/>
                    <a:srcRect l="-3" t="-16" r="-3" b="-16"/>
                    <a:stretch>
                      <a:fillRect/>
                    </a:stretch>
                  </pic:blipFill>
                  <pic:spPr bwMode="auto">
                    <a:xfrm>
                      <a:off x="0" y="0"/>
                      <a:ext cx="5942330" cy="1156970"/>
                    </a:xfrm>
                    <a:prstGeom prst="rect">
                      <a:avLst/>
                    </a:prstGeom>
                    <a:noFill/>
                  </pic:spPr>
                </pic:pic>
              </a:graphicData>
            </a:graphic>
          </wp:inline>
        </w:drawing>
      </w:r>
    </w:p>
    <w:p>
      <w:pPr>
        <w:pStyle w:val="BodyText"/>
        <w:jc w:val="both"/>
        <w:rPr>
          <w:szCs w:val="22"/>
          <w:lang w:val="en-GB"/>
        </w:rPr>
      </w:pPr>
      <w:r>
        <w:rPr>
          <w:szCs w:val="22"/>
          <w:lang w:val="en-GB"/>
        </w:rPr>
      </w:r>
    </w:p>
    <w:p>
      <w:pPr>
        <w:pStyle w:val="Heading2Numbered"/>
        <w:numPr>
          <w:ilvl w:val="1"/>
          <w:numId w:val="4"/>
        </w:numPr>
        <w:ind w:hanging="0" w:start="0"/>
        <w:jc w:val="both"/>
        <w:rPr>
          <w:rFonts w:ascii="Times New Roman" w:hAnsi="Times New Roman" w:cs="Times New Roman"/>
          <w:bCs/>
          <w:sz w:val="22"/>
          <w:szCs w:val="22"/>
          <w:lang w:val="en-GB"/>
        </w:rPr>
      </w:pPr>
      <w:bookmarkStart w:id="40" w:name="__RefHeading___Toc151897008"/>
      <w:bookmarkEnd w:id="40"/>
      <w:r>
        <w:rPr>
          <w:rFonts w:cs="Times New Roman" w:ascii="Times New Roman" w:hAnsi="Times New Roman"/>
          <w:bCs/>
          <w:sz w:val="22"/>
          <w:szCs w:val="22"/>
          <w:lang w:val="en-GB"/>
        </w:rPr>
        <w:t>Base Service Desk Service - Availability</w:t>
      </w:r>
    </w:p>
    <w:p>
      <w:pPr>
        <w:pStyle w:val="BodyText"/>
        <w:jc w:val="both"/>
        <w:rPr/>
      </w:pPr>
      <w:r>
        <w:rPr>
          <w:szCs w:val="22"/>
          <w:lang w:val="en-GB"/>
        </w:rPr>
        <w:t>The formula used to calculate the realised level for this Critical Service Level is the average of the realised level described in the paragraph 12.3.1 through 12.3.2 below.</w:t>
      </w:r>
    </w:p>
    <w:p>
      <w:pPr>
        <w:pStyle w:val="Heading3Numbered"/>
        <w:numPr>
          <w:ilvl w:val="2"/>
          <w:numId w:val="4"/>
        </w:numPr>
        <w:ind w:hanging="0" w:start="0"/>
        <w:jc w:val="both"/>
        <w:rPr>
          <w:rFonts w:ascii="Times New Roman" w:hAnsi="Times New Roman" w:cs="Times New Roman"/>
          <w:bCs/>
          <w:sz w:val="22"/>
          <w:szCs w:val="22"/>
          <w:lang w:val="en-GB"/>
        </w:rPr>
      </w:pPr>
      <w:r>
        <w:rPr>
          <w:rFonts w:cs="Times New Roman" w:ascii="Times New Roman" w:hAnsi="Times New Roman"/>
          <w:bCs/>
          <w:sz w:val="22"/>
          <w:szCs w:val="22"/>
          <w:lang w:val="en-GB"/>
        </w:rPr>
        <w:t>SD - Speed to answer voice calls &lt; 60 sec after IVR (all levels) - NL</w:t>
      </w:r>
    </w:p>
    <w:p>
      <w:pPr>
        <w:pStyle w:val="BodyText"/>
        <w:jc w:val="both"/>
        <w:rPr>
          <w:szCs w:val="22"/>
          <w:lang w:val="en-GB"/>
        </w:rPr>
      </w:pPr>
      <w:r>
        <w:rPr>
          <w:szCs w:val="22"/>
          <w:lang w:val="en-GB"/>
        </w:rPr>
        <w:t>Speed to answer is calculated as (B / A) * 100%, where</w:t>
      </w:r>
    </w:p>
    <w:p>
      <w:pPr>
        <w:pStyle w:val="BodyText"/>
        <w:jc w:val="both"/>
        <w:rPr>
          <w:szCs w:val="22"/>
          <w:lang w:val="en-GB"/>
        </w:rPr>
      </w:pPr>
      <w:r>
        <w:rPr>
          <w:szCs w:val="22"/>
          <w:lang w:val="en-GB"/>
        </w:rPr>
        <w:t>A = the number of calls to the Service Desk from the End Users that leave the IVR (or any other automated resolution process) during the Measurement Window and that are not abandoned and,</w:t>
      </w:r>
    </w:p>
    <w:p>
      <w:pPr>
        <w:pStyle w:val="BodyText"/>
        <w:jc w:val="both"/>
        <w:rPr>
          <w:szCs w:val="22"/>
          <w:lang w:val="en-GB"/>
        </w:rPr>
      </w:pPr>
      <w:r>
        <w:rPr>
          <w:szCs w:val="22"/>
          <w:lang w:val="en-GB"/>
        </w:rPr>
        <w:t>B = the number of calls that fall within “A”  that are answered within 60 seconds (measured from the time the call leaves the IVR or such process) by a live person</w:t>
      </w:r>
    </w:p>
    <w:p>
      <w:pPr>
        <w:pStyle w:val="BodyText"/>
        <w:jc w:val="both"/>
        <w:rPr>
          <w:szCs w:val="22"/>
          <w:lang w:val="en-GB"/>
        </w:rPr>
      </w:pPr>
      <w:r>
        <w:rPr>
          <w:szCs w:val="22"/>
          <w:lang w:val="en-GB"/>
        </w:rPr>
        <w:t>For only within the department WPS/SD in the Netherlands.</w:t>
      </w:r>
    </w:p>
    <w:p>
      <w:pPr>
        <w:pStyle w:val="BodyText"/>
        <w:jc w:val="both"/>
        <w:rPr>
          <w:szCs w:val="22"/>
          <w:lang w:val="en-GB"/>
        </w:rPr>
      </w:pPr>
      <w:r>
        <w:rPr>
          <w:szCs w:val="22"/>
          <w:lang w:val="en-GB"/>
        </w:rPr>
        <w:t>The realised Service Levels are based on the monthly report “IM Maandrapportage Augustus”. The used data is located in the table “Key Performance Indicators”.</w:t>
      </w:r>
    </w:p>
    <w:p>
      <w:pPr>
        <w:pStyle w:val="Heading3Numbered"/>
        <w:numPr>
          <w:ilvl w:val="2"/>
          <w:numId w:val="4"/>
        </w:numPr>
        <w:ind w:hanging="0" w:start="0"/>
        <w:jc w:val="both"/>
        <w:rPr>
          <w:rFonts w:ascii="Times New Roman" w:hAnsi="Times New Roman" w:cs="Times New Roman"/>
          <w:bCs/>
          <w:sz w:val="22"/>
          <w:szCs w:val="22"/>
          <w:lang w:val="en-GB"/>
        </w:rPr>
      </w:pPr>
      <w:r>
        <w:rPr>
          <w:rFonts w:cs="Times New Roman" w:ascii="Times New Roman" w:hAnsi="Times New Roman"/>
          <w:bCs/>
          <w:sz w:val="22"/>
          <w:szCs w:val="22"/>
          <w:lang w:val="en-GB"/>
        </w:rPr>
        <w:t>SD - Call non-abandonment rate - NL</w:t>
      </w:r>
    </w:p>
    <w:p>
      <w:pPr>
        <w:pStyle w:val="BodyText"/>
        <w:jc w:val="both"/>
        <w:rPr>
          <w:szCs w:val="22"/>
          <w:lang w:val="en-GB"/>
        </w:rPr>
      </w:pPr>
      <w:r>
        <w:rPr>
          <w:szCs w:val="22"/>
          <w:lang w:val="en-GB"/>
        </w:rPr>
        <w:t>Call non-abandonment is calculated as (1 - (B / A) * 100%where</w:t>
      </w:r>
    </w:p>
    <w:p>
      <w:pPr>
        <w:pStyle w:val="BodyText"/>
        <w:jc w:val="both"/>
        <w:rPr/>
      </w:pPr>
      <w:r>
        <w:rPr>
          <w:szCs w:val="22"/>
          <w:lang w:val="en-GB"/>
        </w:rPr>
        <w:t>A = the number of calls to the Service Desk from the end users that leave the IVR (or any other automated resolution process) to talk to a live person during the Measurement Window and that are not abandoned within 15 seconds and,</w:t>
      </w:r>
    </w:p>
    <w:p>
      <w:pPr>
        <w:pStyle w:val="BodyText"/>
        <w:jc w:val="both"/>
        <w:rPr>
          <w:szCs w:val="22"/>
          <w:lang w:val="en-GB"/>
        </w:rPr>
      </w:pPr>
      <w:r>
        <w:rPr>
          <w:szCs w:val="22"/>
          <w:lang w:val="en-GB"/>
        </w:rPr>
        <w:t>B = the number of calls that fall within “A” that are abandoned before a live person can answer the call.</w:t>
      </w:r>
    </w:p>
    <w:p>
      <w:pPr>
        <w:pStyle w:val="BodyText"/>
        <w:jc w:val="both"/>
        <w:rPr>
          <w:szCs w:val="22"/>
          <w:lang w:val="en-GB"/>
        </w:rPr>
      </w:pPr>
      <w:r>
        <w:rPr>
          <w:szCs w:val="22"/>
          <w:lang w:val="en-GB"/>
        </w:rPr>
        <w:t>For only within the department WPS/SD in the Netherlands.</w:t>
      </w:r>
    </w:p>
    <w:p>
      <w:pPr>
        <w:pStyle w:val="BodyText"/>
        <w:jc w:val="both"/>
        <w:rPr>
          <w:szCs w:val="22"/>
          <w:lang w:val="en-GB"/>
        </w:rPr>
      </w:pPr>
      <w:r>
        <w:rPr>
          <w:szCs w:val="22"/>
          <w:lang w:val="en-GB"/>
        </w:rPr>
        <w:t>The realised Service Levels are based on the monthly report “IM Maandrapportage Augustus”. The used data is located in chapter 3 (total calls and calls answered).</w:t>
      </w:r>
    </w:p>
    <w:p>
      <w:pPr>
        <w:pStyle w:val="Heading2Numbered"/>
        <w:numPr>
          <w:ilvl w:val="1"/>
          <w:numId w:val="4"/>
        </w:numPr>
        <w:ind w:hanging="0" w:start="0"/>
        <w:jc w:val="both"/>
        <w:rPr>
          <w:rFonts w:ascii="Times New Roman" w:hAnsi="Times New Roman" w:cs="Times New Roman"/>
          <w:bCs/>
          <w:sz w:val="22"/>
          <w:szCs w:val="22"/>
          <w:lang w:val="en-GB"/>
        </w:rPr>
      </w:pPr>
      <w:bookmarkStart w:id="41" w:name="__RefHeading___Toc151897019"/>
      <w:bookmarkEnd w:id="41"/>
      <w:r>
        <w:rPr>
          <w:rFonts w:cs="Times New Roman" w:ascii="Times New Roman" w:hAnsi="Times New Roman"/>
          <w:bCs/>
          <w:sz w:val="22"/>
          <w:szCs w:val="22"/>
          <w:lang w:val="en-GB"/>
        </w:rPr>
        <w:t>Base Service Desk Services - Performance</w:t>
      </w:r>
    </w:p>
    <w:p>
      <w:pPr>
        <w:pStyle w:val="BodyText"/>
        <w:jc w:val="both"/>
        <w:rPr/>
      </w:pPr>
      <w:r>
        <w:rPr>
          <w:szCs w:val="22"/>
          <w:lang w:val="en-GB"/>
        </w:rPr>
        <w:t>The formula used to calculate the realised level for this Critical Service Level is the average of the realised level described in the paragraph 12.4.1 through 12.4.1 below.</w:t>
      </w:r>
    </w:p>
    <w:p>
      <w:pPr>
        <w:pStyle w:val="Heading3Numbered"/>
        <w:numPr>
          <w:ilvl w:val="2"/>
          <w:numId w:val="4"/>
        </w:numPr>
        <w:ind w:hanging="0" w:start="0"/>
        <w:jc w:val="both"/>
        <w:rPr>
          <w:rFonts w:ascii="Times New Roman" w:hAnsi="Times New Roman" w:cs="Times New Roman"/>
          <w:bCs/>
          <w:sz w:val="22"/>
          <w:szCs w:val="22"/>
          <w:lang w:val="en-GB"/>
        </w:rPr>
      </w:pPr>
      <w:r>
        <w:rPr>
          <w:rFonts w:cs="Times New Roman" w:ascii="Times New Roman" w:hAnsi="Times New Roman"/>
          <w:bCs/>
          <w:sz w:val="22"/>
          <w:szCs w:val="22"/>
          <w:lang w:val="en-GB"/>
        </w:rPr>
        <w:t>SD SD - Percentage of In-Scope Incidents resolved by the Service Desk - NL</w:t>
      </w:r>
    </w:p>
    <w:p>
      <w:pPr>
        <w:pStyle w:val="BodyText"/>
        <w:jc w:val="both"/>
        <w:rPr/>
      </w:pPr>
      <w:r>
        <w:rPr>
          <w:szCs w:val="22"/>
          <w:lang w:val="en-GB"/>
        </w:rPr>
        <w:t>Percentage of In Scope Incidents resolved by the Service Desk is calculated as  (B / A) * 100%, where</w:t>
      </w:r>
    </w:p>
    <w:p>
      <w:pPr>
        <w:pStyle w:val="BodyText"/>
        <w:jc w:val="both"/>
        <w:rPr/>
      </w:pPr>
      <w:r>
        <w:rPr>
          <w:szCs w:val="22"/>
          <w:lang w:val="en-GB"/>
        </w:rPr>
        <w:t>A = the total number of In Scope Incidents, and</w:t>
      </w:r>
    </w:p>
    <w:p>
      <w:pPr>
        <w:pStyle w:val="BodyText"/>
        <w:jc w:val="both"/>
        <w:rPr/>
      </w:pPr>
      <w:r>
        <w:rPr>
          <w:szCs w:val="22"/>
          <w:lang w:val="en-GB"/>
        </w:rPr>
        <w:t>B = the total number of Incidents resolved by the Service Desk.</w:t>
      </w:r>
    </w:p>
    <w:p>
      <w:pPr>
        <w:pStyle w:val="BodyText"/>
        <w:jc w:val="both"/>
        <w:rPr>
          <w:szCs w:val="22"/>
          <w:lang w:val="en-GB"/>
        </w:rPr>
      </w:pPr>
      <w:r>
        <w:rPr>
          <w:szCs w:val="22"/>
          <w:lang w:val="en-GB"/>
        </w:rPr>
        <w:t>For only within the department WPS/SD in the Netherlands.</w:t>
      </w:r>
    </w:p>
    <w:p>
      <w:pPr>
        <w:pStyle w:val="BodyText"/>
        <w:jc w:val="both"/>
        <w:rPr>
          <w:szCs w:val="22"/>
          <w:lang w:val="en-GB"/>
        </w:rPr>
      </w:pPr>
      <w:r>
        <w:rPr>
          <w:szCs w:val="22"/>
          <w:lang w:val="en-GB"/>
        </w:rPr>
        <w:t>The realised Service Levels are based on the monthly report “IM Maandrapportage Augustus”. The used data is located in chapter 3 (First Contact Closure Service Desk, Incidenten).</w:t>
      </w:r>
    </w:p>
    <w:p>
      <w:pPr>
        <w:pStyle w:val="Heading2Numbered"/>
        <w:numPr>
          <w:ilvl w:val="1"/>
          <w:numId w:val="4"/>
        </w:numPr>
        <w:ind w:hanging="0" w:start="0"/>
        <w:jc w:val="both"/>
        <w:rPr>
          <w:rFonts w:ascii="Times New Roman" w:hAnsi="Times New Roman" w:cs="Times New Roman"/>
          <w:bCs/>
          <w:sz w:val="22"/>
          <w:szCs w:val="22"/>
          <w:lang w:val="en-GB"/>
        </w:rPr>
      </w:pPr>
      <w:bookmarkStart w:id="42" w:name="__RefHeading___Toc151897025"/>
      <w:bookmarkEnd w:id="42"/>
      <w:r>
        <w:rPr>
          <w:rFonts w:cs="Times New Roman" w:ascii="Times New Roman" w:hAnsi="Times New Roman"/>
          <w:bCs/>
          <w:sz w:val="22"/>
          <w:szCs w:val="22"/>
          <w:lang w:val="en-GB"/>
        </w:rPr>
        <w:t>Incident Response &amp; Management Service - Performance</w:t>
      </w:r>
    </w:p>
    <w:p>
      <w:pPr>
        <w:pStyle w:val="BodyText"/>
        <w:jc w:val="both"/>
        <w:rPr/>
      </w:pPr>
      <w:r>
        <w:rPr>
          <w:szCs w:val="22"/>
          <w:lang w:val="en-GB"/>
        </w:rPr>
        <w:t>The formula used to calculate the realised level for this Critical Service Level is the average of the realised level described in the paragraphs 12.5.1 through 12.5.2 below.</w:t>
      </w:r>
    </w:p>
    <w:p>
      <w:pPr>
        <w:pStyle w:val="BodyText"/>
        <w:jc w:val="both"/>
        <w:rPr>
          <w:szCs w:val="22"/>
          <w:lang w:val="en-GB"/>
        </w:rPr>
      </w:pPr>
      <w:r>
        <w:rPr>
          <w:szCs w:val="22"/>
          <w:lang w:val="en-GB"/>
        </w:rPr>
        <w:t>Unless specified below the following calculation will be used for all the paragraphs and sub-paragraphs:</w:t>
      </w:r>
    </w:p>
    <w:p>
      <w:pPr>
        <w:pStyle w:val="BodyText"/>
        <w:jc w:val="both"/>
        <w:rPr>
          <w:szCs w:val="22"/>
          <w:lang w:val="en-GB"/>
        </w:rPr>
      </w:pPr>
      <w:r>
        <w:rPr>
          <w:szCs w:val="22"/>
          <w:lang w:val="en-GB"/>
        </w:rPr>
        <w:t>Solving the relevant Incident by the relevant PST Supplier is calculated as (B / A) * 100%, where</w:t>
      </w:r>
    </w:p>
    <w:p>
      <w:pPr>
        <w:pStyle w:val="BodyText"/>
        <w:jc w:val="both"/>
        <w:rPr>
          <w:szCs w:val="22"/>
          <w:lang w:val="en-GB"/>
        </w:rPr>
      </w:pPr>
      <w:r>
        <w:rPr>
          <w:szCs w:val="22"/>
          <w:lang w:val="en-GB"/>
        </w:rPr>
        <w:t>A = the number of the relevant Incident required to be solved by the relevant PST Supplier during the Measurement Window; and,</w:t>
      </w:r>
    </w:p>
    <w:p>
      <w:pPr>
        <w:pStyle w:val="BodyText"/>
        <w:jc w:val="both"/>
        <w:rPr>
          <w:szCs w:val="22"/>
          <w:lang w:val="en-GB"/>
        </w:rPr>
      </w:pPr>
      <w:r>
        <w:rPr>
          <w:szCs w:val="22"/>
          <w:lang w:val="en-GB"/>
        </w:rPr>
        <w:t>B = the number of relevant Incidents that fall within “A” above that are not solved by the relevant PST supplier within the relevant time.</w:t>
      </w:r>
    </w:p>
    <w:p>
      <w:pPr>
        <w:pStyle w:val="Heading3Numbered"/>
        <w:numPr>
          <w:ilvl w:val="2"/>
          <w:numId w:val="4"/>
        </w:numPr>
        <w:ind w:hanging="0" w:start="0"/>
        <w:jc w:val="both"/>
        <w:rPr>
          <w:rFonts w:ascii="Times New Roman" w:hAnsi="Times New Roman" w:cs="Times New Roman"/>
          <w:bCs/>
          <w:sz w:val="22"/>
          <w:szCs w:val="22"/>
          <w:lang w:val="en-GB"/>
        </w:rPr>
      </w:pPr>
      <w:r>
        <w:rPr>
          <w:rFonts w:cs="Times New Roman" w:ascii="Times New Roman" w:hAnsi="Times New Roman"/>
          <w:bCs/>
          <w:sz w:val="22"/>
          <w:szCs w:val="22"/>
          <w:lang w:val="en-GB"/>
        </w:rPr>
        <w:t>Incident resolution - priority 1</w:t>
      </w:r>
    </w:p>
    <w:p>
      <w:pPr>
        <w:pStyle w:val="BodyText"/>
        <w:jc w:val="both"/>
        <w:rPr>
          <w:szCs w:val="22"/>
          <w:lang w:val="en-GB"/>
        </w:rPr>
      </w:pPr>
      <w:r>
        <w:rPr>
          <w:szCs w:val="22"/>
          <w:lang w:val="en-GB"/>
        </w:rPr>
        <w:t>This paragraphs consists of the 4 sub-paragraphs as listed below:</w:t>
      </w:r>
    </w:p>
    <w:p>
      <w:pPr>
        <w:pStyle w:val="BodyText"/>
        <w:jc w:val="both"/>
        <w:rPr>
          <w:b/>
          <w:szCs w:val="22"/>
          <w:lang w:val="en-GB"/>
        </w:rPr>
      </w:pPr>
      <w:r>
        <w:rPr>
          <w:b/>
          <w:szCs w:val="22"/>
          <w:lang w:val="en-GB"/>
        </w:rPr>
        <w:t>SD &amp; SM &amp; LAN &amp; Voice &amp; DTHW &amp; EUC - Incident priority 1 resolution time &lt; 4 hours - NL</w:t>
      </w:r>
    </w:p>
    <w:p>
      <w:pPr>
        <w:pStyle w:val="BodyText"/>
        <w:jc w:val="both"/>
        <w:rPr>
          <w:szCs w:val="22"/>
          <w:lang w:val="en-GB"/>
        </w:rPr>
      </w:pPr>
      <w:r>
        <w:rPr>
          <w:szCs w:val="22"/>
          <w:lang w:val="en-GB"/>
        </w:rPr>
        <w:t>For the calculation please refer to the general calculation as described in paragraph 12.5.</w:t>
      </w:r>
    </w:p>
    <w:p>
      <w:pPr>
        <w:pStyle w:val="BodyText"/>
        <w:jc w:val="both"/>
        <w:rPr>
          <w:szCs w:val="22"/>
          <w:lang w:val="en-GB"/>
        </w:rPr>
      </w:pPr>
      <w:r>
        <w:rPr>
          <w:szCs w:val="22"/>
          <w:lang w:val="en-GB"/>
        </w:rPr>
        <w:t>The realised Service Levels are based on the report “3_NL_Priority 1 incident resoluiton within 4 hours.rpt”.</w:t>
      </w:r>
    </w:p>
    <w:p>
      <w:pPr>
        <w:pStyle w:val="BodyText"/>
        <w:jc w:val="both"/>
        <w:rPr>
          <w:b/>
          <w:szCs w:val="22"/>
          <w:lang w:val="en-GB"/>
        </w:rPr>
      </w:pPr>
      <w:r>
        <w:rPr>
          <w:b/>
          <w:szCs w:val="22"/>
          <w:lang w:val="en-GB"/>
        </w:rPr>
        <w:t>SD &amp; SM &amp; LAN &amp; Voice &amp; DTHW &amp; EUC - Incident priority 1 resolution time &lt; 4 hours - BE</w:t>
      </w:r>
    </w:p>
    <w:p>
      <w:pPr>
        <w:pStyle w:val="BodyText"/>
        <w:jc w:val="both"/>
        <w:rPr>
          <w:szCs w:val="22"/>
          <w:lang w:val="en-GB"/>
        </w:rPr>
      </w:pPr>
      <w:r>
        <w:rPr>
          <w:szCs w:val="22"/>
          <w:lang w:val="en-GB"/>
        </w:rPr>
        <w:t>For the calculation please refer to the general calculation as described in paragraph 12.5.</w:t>
      </w:r>
    </w:p>
    <w:p>
      <w:pPr>
        <w:pStyle w:val="BodyText"/>
        <w:jc w:val="both"/>
        <w:rPr>
          <w:szCs w:val="22"/>
          <w:lang w:val="en-GB"/>
        </w:rPr>
      </w:pPr>
      <w:r>
        <w:rPr>
          <w:szCs w:val="22"/>
          <w:lang w:val="en-GB"/>
        </w:rPr>
        <w:t>The realised Service Levels are based on the report “3_BE_Priority 1 incident resoluiton within 4 hours.rpt”.</w:t>
      </w:r>
    </w:p>
    <w:p>
      <w:pPr>
        <w:pStyle w:val="BodyText"/>
        <w:jc w:val="both"/>
        <w:rPr>
          <w:b/>
          <w:szCs w:val="22"/>
          <w:lang w:val="en-GB"/>
        </w:rPr>
      </w:pPr>
      <w:r>
        <w:rPr>
          <w:b/>
          <w:szCs w:val="22"/>
          <w:lang w:val="en-GB"/>
        </w:rPr>
        <w:t>SD &amp; SM &amp; LAN &amp; Voice &amp; DTHW &amp; EUC - Incident priority 1 resolution time &lt; 2 hours - NL</w:t>
      </w:r>
    </w:p>
    <w:p>
      <w:pPr>
        <w:pStyle w:val="BodyText"/>
        <w:jc w:val="both"/>
        <w:rPr>
          <w:szCs w:val="22"/>
          <w:lang w:val="en-GB"/>
        </w:rPr>
      </w:pPr>
      <w:r>
        <w:rPr>
          <w:szCs w:val="22"/>
          <w:lang w:val="en-GB"/>
        </w:rPr>
        <w:t>For the calculation please refer to the general calculation as described in paragraph 12.5.</w:t>
      </w:r>
    </w:p>
    <w:p>
      <w:pPr>
        <w:pStyle w:val="BodyText"/>
        <w:jc w:val="both"/>
        <w:rPr>
          <w:szCs w:val="22"/>
          <w:lang w:val="en-GB"/>
        </w:rPr>
      </w:pPr>
      <w:r>
        <w:rPr>
          <w:szCs w:val="22"/>
          <w:lang w:val="en-GB"/>
        </w:rPr>
        <w:t>The realised Service Levels are based on the report “3_NL_Priority 1 incident resoluiton within 4 hours.rpt”.</w:t>
      </w:r>
    </w:p>
    <w:p>
      <w:pPr>
        <w:pStyle w:val="BodyText"/>
        <w:jc w:val="both"/>
        <w:rPr>
          <w:b/>
          <w:szCs w:val="22"/>
          <w:lang w:val="en-GB"/>
        </w:rPr>
      </w:pPr>
      <w:r>
        <w:rPr>
          <w:b/>
          <w:szCs w:val="22"/>
          <w:lang w:val="en-GB"/>
        </w:rPr>
        <w:t>SD &amp; SM &amp; LAN &amp; Voice &amp; DTHW &amp; EUC - Incident priority 1 resolution time &lt; 2 hours - BE</w:t>
      </w:r>
    </w:p>
    <w:p>
      <w:pPr>
        <w:pStyle w:val="BodyText"/>
        <w:jc w:val="both"/>
        <w:rPr>
          <w:szCs w:val="22"/>
          <w:lang w:val="en-GB"/>
        </w:rPr>
      </w:pPr>
      <w:r>
        <w:rPr>
          <w:szCs w:val="22"/>
          <w:lang w:val="en-GB"/>
        </w:rPr>
        <w:t>For the calculation please refer to the general calculation as described in paragraph 12.5.</w:t>
      </w:r>
    </w:p>
    <w:p>
      <w:pPr>
        <w:pStyle w:val="BodyText"/>
        <w:jc w:val="both"/>
        <w:rPr>
          <w:szCs w:val="22"/>
          <w:lang w:val="en-GB"/>
        </w:rPr>
      </w:pPr>
      <w:r>
        <w:rPr>
          <w:szCs w:val="22"/>
          <w:lang w:val="en-GB"/>
        </w:rPr>
        <w:t>The realised Service Levels are based on the report “3_BE_Priority 1 incident resoluiton within 4 hours.rpt”.</w:t>
      </w:r>
    </w:p>
    <w:p>
      <w:pPr>
        <w:pStyle w:val="Heading3Numbered"/>
        <w:numPr>
          <w:ilvl w:val="2"/>
          <w:numId w:val="4"/>
        </w:numPr>
        <w:ind w:hanging="0" w:start="0"/>
        <w:jc w:val="both"/>
        <w:rPr>
          <w:rFonts w:ascii="Times New Roman" w:hAnsi="Times New Roman" w:cs="Times New Roman"/>
          <w:bCs/>
          <w:sz w:val="22"/>
          <w:szCs w:val="22"/>
          <w:lang w:val="en-GB"/>
        </w:rPr>
      </w:pPr>
      <w:r>
        <w:rPr>
          <w:rFonts w:cs="Times New Roman" w:ascii="Times New Roman" w:hAnsi="Times New Roman"/>
          <w:bCs/>
          <w:sz w:val="22"/>
          <w:szCs w:val="22"/>
          <w:lang w:val="en-GB"/>
        </w:rPr>
        <w:t>Incident resolution - priorities 2, 3 and 4</w:t>
      </w:r>
    </w:p>
    <w:p>
      <w:pPr>
        <w:pStyle w:val="BodyText"/>
        <w:jc w:val="both"/>
        <w:rPr>
          <w:szCs w:val="22"/>
          <w:lang w:val="en-GB"/>
        </w:rPr>
      </w:pPr>
      <w:r>
        <w:rPr>
          <w:szCs w:val="22"/>
          <w:lang w:val="en-GB"/>
        </w:rPr>
        <w:t>This paragraphs consists of the 8 sub-paragraphs as listed below:</w:t>
      </w:r>
    </w:p>
    <w:p>
      <w:pPr>
        <w:pStyle w:val="BodyText"/>
        <w:jc w:val="both"/>
        <w:rPr>
          <w:b/>
          <w:szCs w:val="22"/>
          <w:lang w:val="en-GB"/>
        </w:rPr>
      </w:pPr>
      <w:r>
        <w:rPr>
          <w:b/>
          <w:szCs w:val="22"/>
          <w:lang w:val="en-GB"/>
        </w:rPr>
        <w:t>DTHW - Incident resolution time  (priority level 3/4 - 24 working hours) - NL</w:t>
      </w:r>
    </w:p>
    <w:p>
      <w:pPr>
        <w:pStyle w:val="BodyText"/>
        <w:jc w:val="both"/>
        <w:rPr>
          <w:szCs w:val="22"/>
          <w:lang w:val="en-GB"/>
        </w:rPr>
      </w:pPr>
      <w:r>
        <w:rPr>
          <w:szCs w:val="22"/>
          <w:lang w:val="en-GB"/>
        </w:rPr>
        <w:t>For the calculation please refer to the general calculation as described in paragraph 12.5. Only for the Incidents solved by the Dutch solver Groups.</w:t>
      </w:r>
    </w:p>
    <w:p>
      <w:pPr>
        <w:pStyle w:val="BodyText"/>
        <w:jc w:val="both"/>
        <w:rPr>
          <w:szCs w:val="22"/>
          <w:lang w:val="en-GB"/>
        </w:rPr>
      </w:pPr>
      <w:r>
        <w:rPr>
          <w:szCs w:val="22"/>
          <w:lang w:val="en-GB"/>
        </w:rPr>
        <w:t>The realised Service Levels are based on the report “2_NL_Incident resolution time per priority.rpt”.</w:t>
      </w:r>
    </w:p>
    <w:p>
      <w:pPr>
        <w:pStyle w:val="BodyText"/>
        <w:jc w:val="both"/>
        <w:rPr>
          <w:b/>
          <w:szCs w:val="22"/>
          <w:lang w:val="en-GB"/>
        </w:rPr>
      </w:pPr>
      <w:r>
        <w:rPr>
          <w:b/>
          <w:szCs w:val="22"/>
          <w:lang w:val="en-GB"/>
        </w:rPr>
        <w:t>DTHW - Incident resolution time  (priority level 3/4 - 24 working hours) - BE</w:t>
      </w:r>
    </w:p>
    <w:p>
      <w:pPr>
        <w:pStyle w:val="BodyText"/>
        <w:jc w:val="both"/>
        <w:rPr>
          <w:szCs w:val="22"/>
          <w:lang w:val="en-GB"/>
        </w:rPr>
      </w:pPr>
      <w:r>
        <w:rPr>
          <w:szCs w:val="22"/>
          <w:lang w:val="en-GB"/>
        </w:rPr>
        <w:t xml:space="preserve">For the calculation please refer to the general calculation as described in paragraph 12.5. Only for the Incidents solved by the Belgium solver Groups. </w:t>
      </w:r>
    </w:p>
    <w:p>
      <w:pPr>
        <w:pStyle w:val="BodyText"/>
        <w:jc w:val="both"/>
        <w:rPr>
          <w:szCs w:val="22"/>
          <w:lang w:val="en-GB"/>
        </w:rPr>
      </w:pPr>
      <w:r>
        <w:rPr>
          <w:szCs w:val="22"/>
          <w:lang w:val="en-GB"/>
        </w:rPr>
        <w:t>The realised Service Levels are based on the report “2_BE_Incident resolution time per priority.rpt”.</w:t>
      </w:r>
    </w:p>
    <w:p>
      <w:pPr>
        <w:pStyle w:val="BodyText"/>
        <w:jc w:val="both"/>
        <w:rPr>
          <w:b/>
          <w:szCs w:val="22"/>
          <w:lang w:val="en-GB"/>
        </w:rPr>
      </w:pPr>
      <w:r>
        <w:rPr>
          <w:b/>
          <w:szCs w:val="22"/>
          <w:lang w:val="en-GB"/>
        </w:rPr>
        <w:t>SM &amp; EUC (-UIS) - Incident priority 2 resolution time &lt; 8 hours - NL</w:t>
      </w:r>
    </w:p>
    <w:p>
      <w:pPr>
        <w:pStyle w:val="BodyText"/>
        <w:jc w:val="both"/>
        <w:rPr>
          <w:szCs w:val="22"/>
          <w:lang w:val="en-GB"/>
        </w:rPr>
      </w:pPr>
      <w:r>
        <w:rPr>
          <w:szCs w:val="22"/>
          <w:lang w:val="en-GB"/>
        </w:rPr>
        <w:t xml:space="preserve">For the calculation please refer to the general calculation as described in paragraph 12.5. Only for the Incidents solved by the Dutch solver Groups. </w:t>
      </w:r>
    </w:p>
    <w:p>
      <w:pPr>
        <w:pStyle w:val="BodyText"/>
        <w:jc w:val="both"/>
        <w:rPr>
          <w:szCs w:val="22"/>
          <w:lang w:val="en-GB"/>
        </w:rPr>
      </w:pPr>
      <w:r>
        <w:rPr>
          <w:szCs w:val="22"/>
          <w:lang w:val="en-GB"/>
        </w:rPr>
        <w:t>The realised Service Levels are based on the report “2_NL_Incident resolution time per priority.rpt”.</w:t>
      </w:r>
    </w:p>
    <w:p>
      <w:pPr>
        <w:pStyle w:val="BodyText"/>
        <w:jc w:val="both"/>
        <w:rPr>
          <w:b/>
          <w:szCs w:val="22"/>
          <w:lang w:val="en-GB"/>
        </w:rPr>
      </w:pPr>
      <w:r>
        <w:rPr>
          <w:b/>
          <w:szCs w:val="22"/>
          <w:lang w:val="en-GB"/>
        </w:rPr>
        <w:t>SM &amp; EUC (-UIS) - Incident priority 2 resolution time &lt; 8 hours- BE</w:t>
      </w:r>
    </w:p>
    <w:p>
      <w:pPr>
        <w:pStyle w:val="BodyText"/>
        <w:jc w:val="both"/>
        <w:rPr>
          <w:szCs w:val="22"/>
          <w:lang w:val="en-GB"/>
        </w:rPr>
      </w:pPr>
      <w:r>
        <w:rPr>
          <w:szCs w:val="22"/>
          <w:lang w:val="en-GB"/>
        </w:rPr>
        <w:t xml:space="preserve">For the calculation please refer to the general calculation as described in paragraph 12.5. Only for the Incidents solved by the Belgium Solver Groups. </w:t>
      </w:r>
    </w:p>
    <w:p>
      <w:pPr>
        <w:pStyle w:val="BodyText"/>
        <w:jc w:val="both"/>
        <w:rPr>
          <w:szCs w:val="22"/>
          <w:lang w:val="en-GB"/>
        </w:rPr>
      </w:pPr>
      <w:r>
        <w:rPr>
          <w:szCs w:val="22"/>
          <w:lang w:val="en-GB"/>
        </w:rPr>
        <w:t>The realised Service Levels are based on the report “2_BE_Incident resolution time per priority.rpt”.</w:t>
      </w:r>
    </w:p>
    <w:p>
      <w:pPr>
        <w:pStyle w:val="BodyText"/>
        <w:jc w:val="both"/>
        <w:rPr>
          <w:b/>
          <w:szCs w:val="22"/>
          <w:lang w:val="en-GB"/>
        </w:rPr>
      </w:pPr>
      <w:r>
        <w:rPr>
          <w:b/>
          <w:szCs w:val="22"/>
          <w:lang w:val="en-GB"/>
        </w:rPr>
        <w:t>SM &amp; EUC (-UIS) - Incident priority 3 resolution time &lt; 24 hours - NL</w:t>
      </w:r>
    </w:p>
    <w:p>
      <w:pPr>
        <w:pStyle w:val="BodyText"/>
        <w:jc w:val="both"/>
        <w:rPr>
          <w:szCs w:val="22"/>
          <w:lang w:val="en-GB"/>
        </w:rPr>
      </w:pPr>
      <w:r>
        <w:rPr>
          <w:szCs w:val="22"/>
          <w:lang w:val="en-GB"/>
        </w:rPr>
        <w:t xml:space="preserve">For the calculation please refer to the general calculation as described in paragraph 12.5. Only for the Incidents solved by the Dutch solver Groups. </w:t>
      </w:r>
    </w:p>
    <w:p>
      <w:pPr>
        <w:pStyle w:val="BodyText"/>
        <w:jc w:val="both"/>
        <w:rPr>
          <w:szCs w:val="22"/>
          <w:lang w:val="en-GB"/>
        </w:rPr>
      </w:pPr>
      <w:r>
        <w:rPr>
          <w:szCs w:val="22"/>
          <w:lang w:val="en-GB"/>
        </w:rPr>
        <w:t>The realised Service Levels are based on the report “2_NL_Incident resolution time per priority.rpt”.</w:t>
      </w:r>
    </w:p>
    <w:p>
      <w:pPr>
        <w:pStyle w:val="BodyText"/>
        <w:jc w:val="both"/>
        <w:rPr>
          <w:b/>
          <w:szCs w:val="22"/>
          <w:lang w:val="en-GB"/>
        </w:rPr>
      </w:pPr>
      <w:r>
        <w:rPr>
          <w:b/>
          <w:szCs w:val="22"/>
          <w:lang w:val="en-GB"/>
        </w:rPr>
        <w:t>SM &amp; EUC (-UIS) - Incident priority 3 resolution time &lt; 24 hours - BE</w:t>
      </w:r>
    </w:p>
    <w:p>
      <w:pPr>
        <w:pStyle w:val="BodyText"/>
        <w:jc w:val="both"/>
        <w:rPr>
          <w:szCs w:val="22"/>
          <w:lang w:val="en-GB"/>
        </w:rPr>
      </w:pPr>
      <w:r>
        <w:rPr>
          <w:szCs w:val="22"/>
          <w:lang w:val="en-GB"/>
        </w:rPr>
        <w:t xml:space="preserve">For the calculation please refer to the general calculation as described in paragraph 12.5. Only for the Incidents solved by the Belgium Solver Groups. </w:t>
      </w:r>
    </w:p>
    <w:p>
      <w:pPr>
        <w:pStyle w:val="BodyText"/>
        <w:jc w:val="both"/>
        <w:rPr>
          <w:szCs w:val="22"/>
          <w:lang w:val="en-GB"/>
        </w:rPr>
      </w:pPr>
      <w:r>
        <w:rPr>
          <w:szCs w:val="22"/>
          <w:lang w:val="en-GB"/>
        </w:rPr>
        <w:t>The realised Service Levels are based on the report “2_BE_Incident resolution time per priority.rpt”.</w:t>
      </w:r>
    </w:p>
    <w:p>
      <w:pPr>
        <w:pStyle w:val="BodyText"/>
        <w:jc w:val="both"/>
        <w:rPr>
          <w:b/>
          <w:szCs w:val="22"/>
          <w:lang w:val="en-GB"/>
        </w:rPr>
      </w:pPr>
      <w:r>
        <w:rPr>
          <w:b/>
          <w:szCs w:val="22"/>
          <w:lang w:val="en-GB"/>
        </w:rPr>
        <w:t>SM &amp; EUC (-UIS) - Incident priority 4 resolution time &lt; 10 business days - NL</w:t>
      </w:r>
    </w:p>
    <w:p>
      <w:pPr>
        <w:pStyle w:val="BodyText"/>
        <w:jc w:val="both"/>
        <w:rPr>
          <w:szCs w:val="22"/>
          <w:lang w:val="en-GB"/>
        </w:rPr>
      </w:pPr>
      <w:r>
        <w:rPr>
          <w:szCs w:val="22"/>
          <w:lang w:val="en-GB"/>
        </w:rPr>
        <w:t xml:space="preserve">For the calculation please refer to the general calculation as described in paragraph 12.5. Only for the Incidents solved by the Dutch Solver Groups. </w:t>
      </w:r>
    </w:p>
    <w:p>
      <w:pPr>
        <w:pStyle w:val="BodyText"/>
        <w:jc w:val="both"/>
        <w:rPr>
          <w:szCs w:val="22"/>
          <w:lang w:val="en-GB"/>
        </w:rPr>
      </w:pPr>
      <w:r>
        <w:rPr>
          <w:szCs w:val="22"/>
          <w:lang w:val="en-GB"/>
        </w:rPr>
        <w:t>The realised Service Levels are based on the report “2_NL_Incident resolution time per priority.rpt”.</w:t>
      </w:r>
    </w:p>
    <w:p>
      <w:pPr>
        <w:pStyle w:val="BodyText"/>
        <w:jc w:val="both"/>
        <w:rPr>
          <w:b/>
          <w:szCs w:val="22"/>
          <w:lang w:val="en-GB"/>
        </w:rPr>
      </w:pPr>
      <w:r>
        <w:rPr>
          <w:b/>
          <w:szCs w:val="22"/>
          <w:lang w:val="en-GB"/>
        </w:rPr>
        <w:t>SM &amp; EUC (-UIS) - Incident priority 4 resolution time &lt; 10 business days - BE</w:t>
      </w:r>
    </w:p>
    <w:p>
      <w:pPr>
        <w:pStyle w:val="BodyText"/>
        <w:jc w:val="both"/>
        <w:rPr>
          <w:szCs w:val="22"/>
          <w:lang w:val="en-GB"/>
        </w:rPr>
      </w:pPr>
      <w:r>
        <w:rPr>
          <w:szCs w:val="22"/>
          <w:lang w:val="en-GB"/>
        </w:rPr>
        <w:t xml:space="preserve">For the calculation please refer to the general calculation as described in paragraph 12.5. Only for the Incidents solved by the Belgium Solver Groups. </w:t>
      </w:r>
    </w:p>
    <w:p>
      <w:pPr>
        <w:pStyle w:val="BodyText"/>
        <w:spacing w:before="360" w:after="360"/>
        <w:jc w:val="both"/>
        <w:rPr/>
      </w:pPr>
      <w:r>
        <w:rPr>
          <w:szCs w:val="22"/>
          <w:lang w:val="en-GB"/>
        </w:rPr>
        <w:t>The realised Service Levels are based on the report “2_BE_Incident resolution time per priority.rpt”.</w:t>
      </w:r>
    </w:p>
    <w:sectPr>
      <w:headerReference w:type="default" r:id="rId14"/>
      <w:headerReference w:type="first" r:id="rId15"/>
      <w:footerReference w:type="default" r:id="rId16"/>
      <w:footerReference w:type="first" r:id="rId17"/>
      <w:type w:val="nextPage"/>
      <w:pgSz w:w="11906" w:h="16838"/>
      <w:pgMar w:left="1440" w:right="1109" w:gutter="0" w:header="720" w:top="1728" w:footer="851" w:bottom="172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Garamond">
    <w:charset w:val="00" w:characterSet="windows-1252"/>
    <w:family w:val="roman"/>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4860" w:leader="none"/>
        <w:tab w:val="left" w:pos="84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4860" w:leader="none"/>
        <w:tab w:val="left" w:pos="84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50</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4860" w:leader="none"/>
        <w:tab w:val="left" w:pos="84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57</w:t>
    </w:r>
    <w:r>
      <w:rPr>
        <w:sz w:val="16"/>
        <w:szCs w:val="16"/>
      </w:rPr>
      <w:fldChar w:fldCharType="end"/>
    </w:r>
    <w:r>
      <w:rPr>
        <w:sz w:val="16"/>
        <w:szCs w:val="16"/>
      </w:rPr>
      <w:t xml:space="preserve"> -</w:t>
      <w:tab/>
      <w:t>30/11/2006</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3420" w:leader="none"/>
        <w:tab w:val="right" w:pos="9000" w:leader="none"/>
      </w:tabs>
      <w:spacing w:before="120" w:after="120"/>
      <w:rPr/>
    </w:pPr>
    <w:r>
      <w:rPr>
        <w:sz w:val="20"/>
      </w:rPr>
      <w:drawing>
        <wp:inline distT="0" distB="0" distL="0" distR="0">
          <wp:extent cx="965200" cy="284480"/>
          <wp:effectExtent l="0" t="0" r="0" b="0"/>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3-B (Critical Service Levels  Key Measurements) Final v1.8.doc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3960" w:leader="none"/>
        <w:tab w:val="right" w:pos="9360" w:leader="none"/>
      </w:tabs>
      <w:spacing w:before="120" w:after="120"/>
      <w:jc w:val="end"/>
      <w:rPr/>
    </w:pPr>
    <w:r>
      <w:drawing>
        <wp:anchor behindDoc="1" distT="0" distB="0" distL="114935" distR="114935" simplePos="0" locked="0" layoutInCell="0" allowOverlap="1" relativeHeight="6">
          <wp:simplePos x="0" y="0"/>
          <wp:positionH relativeFrom="column">
            <wp:posOffset>0</wp:posOffset>
          </wp:positionH>
          <wp:positionV relativeFrom="paragraph">
            <wp:posOffset>-45720</wp:posOffset>
          </wp:positionV>
          <wp:extent cx="962025" cy="285750"/>
          <wp:effectExtent l="0" t="0" r="0" b="0"/>
          <wp:wrapTight wrapText="bothSides">
            <wp:wrapPolygon edited="0">
              <wp:start x="-162" y="0"/>
              <wp:lineTo x="-162" y="20338"/>
              <wp:lineTo x="21600" y="20338"/>
              <wp:lineTo x="21600" y="0"/>
              <wp:lineTo x="-162" y="0"/>
            </wp:wrapPolygon>
          </wp:wrapTigh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2025" cy="285750"/>
                  </a:xfrm>
                  <a:prstGeom prst="rect">
                    <a:avLst/>
                  </a:prstGeom>
                  <a:noFill/>
                </pic:spPr>
              </pic:pic>
            </a:graphicData>
          </a:graphic>
        </wp:anchor>
      </w:drawing>
    </w:r>
    <w:r>
      <w:rPr/>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3-B (Critical Service Levels  Key Measurements) Final v1.8.doc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3960" w:leader="none"/>
        <w:tab w:val="right" w:pos="9360" w:leader="none"/>
      </w:tabs>
      <w:spacing w:before="120" w:after="120"/>
      <w:jc w:val="end"/>
      <w:rPr/>
    </w:pPr>
    <w:r>
      <w:drawing>
        <wp:anchor behindDoc="1" distT="0" distB="0" distL="114935" distR="114935" simplePos="0" locked="0" layoutInCell="0" allowOverlap="1" relativeHeight="56">
          <wp:simplePos x="0" y="0"/>
          <wp:positionH relativeFrom="column">
            <wp:posOffset>0</wp:posOffset>
          </wp:positionH>
          <wp:positionV relativeFrom="paragraph">
            <wp:posOffset>-45720</wp:posOffset>
          </wp:positionV>
          <wp:extent cx="962025" cy="285750"/>
          <wp:effectExtent l="0" t="0" r="0" b="0"/>
          <wp:wrapTight wrapText="bothSides">
            <wp:wrapPolygon edited="0">
              <wp:start x="-162" y="0"/>
              <wp:lineTo x="-162" y="20338"/>
              <wp:lineTo x="21600" y="20338"/>
              <wp:lineTo x="21600" y="0"/>
              <wp:lineTo x="-162" y="0"/>
            </wp:wrapPolygon>
          </wp:wrapTight>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2025" cy="285750"/>
                  </a:xfrm>
                  <a:prstGeom prst="rect">
                    <a:avLst/>
                  </a:prstGeom>
                  <a:noFill/>
                </pic:spPr>
              </pic:pic>
            </a:graphicData>
          </a:graphic>
        </wp:anchor>
      </w:drawing>
    </w:r>
    <w:r>
      <w:rPr/>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3-B (Critical Service Levels  Key Measurements) Final v1.8.doc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3960" w:leader="none"/>
        <w:tab w:val="right" w:pos="9360" w:leader="none"/>
      </w:tabs>
      <w:spacing w:before="120" w:after="120"/>
      <w:jc w:val="end"/>
      <w:rPr/>
    </w:pPr>
    <w:r>
      <w:drawing>
        <wp:anchor behindDoc="1" distT="0" distB="0" distL="114935" distR="114935" simplePos="0" locked="0" layoutInCell="0" allowOverlap="1" relativeHeight="58">
          <wp:simplePos x="0" y="0"/>
          <wp:positionH relativeFrom="column">
            <wp:posOffset>0</wp:posOffset>
          </wp:positionH>
          <wp:positionV relativeFrom="paragraph">
            <wp:posOffset>-45720</wp:posOffset>
          </wp:positionV>
          <wp:extent cx="962025" cy="285750"/>
          <wp:effectExtent l="0" t="0" r="0" b="0"/>
          <wp:wrapTight wrapText="bothSides">
            <wp:wrapPolygon edited="0">
              <wp:start x="-162" y="0"/>
              <wp:lineTo x="-162" y="20338"/>
              <wp:lineTo x="21600" y="20338"/>
              <wp:lineTo x="21600" y="0"/>
              <wp:lineTo x="-162" y="0"/>
            </wp:wrapPolygon>
          </wp:wrapTight>
          <wp:docPr id="6" name="Image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Copy 1" descr="" title=""/>
                  <pic:cNvPicPr>
                    <a:picLocks noChangeAspect="1" noChangeArrowheads="1"/>
                  </pic:cNvPicPr>
                </pic:nvPicPr>
                <pic:blipFill>
                  <a:blip r:embed="rId1"/>
                  <a:srcRect l="-28" t="-97" r="-28" b="-97"/>
                  <a:stretch>
                    <a:fillRect/>
                  </a:stretch>
                </pic:blipFill>
                <pic:spPr bwMode="auto">
                  <a:xfrm>
                    <a:off x="0" y="0"/>
                    <a:ext cx="962025" cy="285750"/>
                  </a:xfrm>
                  <a:prstGeom prst="rect">
                    <a:avLst/>
                  </a:prstGeom>
                  <a:noFill/>
                </pic:spPr>
              </pic:pic>
            </a:graphicData>
          </a:graphic>
        </wp:anchor>
      </w:drawing>
    </w:r>
    <w:r>
      <w:rPr/>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3-B (Critical Service Levels  Key Measurements) Final v1.8.doc</w:t>
    </w:r>
    <w:r>
      <w:rPr>
        <w:sz w:val="16"/>
        <w:szCs w:val="16"/>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decimal"/>
      <w:lvlText w:val="%1"/>
      <w:lvlJc w:val="start"/>
      <w:pPr>
        <w:tabs>
          <w:tab w:val="num" w:pos="360"/>
        </w:tabs>
        <w:ind w:start="0" w:hanging="0"/>
      </w:pPr>
    </w:lvl>
    <w:lvl w:ilvl="1">
      <w:start w:val="1"/>
      <w:numFmt w:val="decimal"/>
      <w:lvlText w:val="%1.%2"/>
      <w:lvlJc w:val="start"/>
      <w:pPr>
        <w:tabs>
          <w:tab w:val="num" w:pos="360"/>
        </w:tabs>
        <w:ind w:start="0" w:hanging="0"/>
      </w:pPr>
    </w:lvl>
    <w:lvl w:ilvl="2">
      <w:start w:val="1"/>
      <w:numFmt w:val="decimal"/>
      <w:lvlText w:val="%1.%2.%3"/>
      <w:lvlJc w:val="start"/>
      <w:pPr>
        <w:tabs>
          <w:tab w:val="num" w:pos="720"/>
        </w:tabs>
        <w:ind w:start="0" w:hanging="0"/>
      </w:pPr>
    </w:lvl>
    <w:lvl w:ilvl="3">
      <w:start w:val="1"/>
      <w:numFmt w:val="decimal"/>
      <w:lvlText w:val="%1.%2.%3.%4"/>
      <w:lvlJc w:val="start"/>
      <w:pPr>
        <w:tabs>
          <w:tab w:val="num" w:pos="720"/>
        </w:tabs>
        <w:ind w:start="0" w:hanging="0"/>
      </w:pPr>
    </w:lvl>
    <w:lvl w:ilvl="4">
      <w:start w:val="1"/>
      <w:numFmt w:val="upperLetter"/>
      <w:lvlText w:val="%5"/>
      <w:lvlJc w:val="start"/>
      <w:pPr>
        <w:tabs>
          <w:tab w:val="num" w:pos="360"/>
        </w:tabs>
        <w:ind w:start="0" w:hanging="0"/>
      </w:pPr>
    </w:lvl>
    <w:lvl w:ilvl="5">
      <w:start w:val="1"/>
      <w:numFmt w:val="upperRoman"/>
      <w:lvlText w:val="%6"/>
      <w:lvlJc w:val="start"/>
      <w:pPr>
        <w:tabs>
          <w:tab w:val="num" w:pos="708"/>
        </w:tabs>
        <w:ind w:start="708" w:hanging="708"/>
      </w:pPr>
    </w:lvl>
    <w:lvl w:ilvl="6">
      <w:start w:val="1"/>
      <w:numFmt w:val="lowerRoman"/>
      <w:lvlText w:val="(%7)"/>
      <w:lvlJc w:val="start"/>
      <w:pPr>
        <w:tabs>
          <w:tab w:val="num" w:pos="0"/>
        </w:tabs>
        <w:ind w:start="1416" w:hanging="708"/>
      </w:pPr>
    </w:lvl>
    <w:lvl w:ilvl="7">
      <w:start w:val="1"/>
      <w:numFmt w:val="lowerLetter"/>
      <w:lvlText w:val="(%8)"/>
      <w:lvlJc w:val="start"/>
      <w:pPr>
        <w:tabs>
          <w:tab w:val="num" w:pos="0"/>
        </w:tabs>
        <w:ind w:start="2124" w:hanging="708"/>
      </w:pPr>
    </w:lvl>
    <w:lvl w:ilvl="8">
      <w:start w:val="1"/>
      <w:numFmt w:val="lowerRoman"/>
      <w:lvlText w:val="(%9)"/>
      <w:lvlJc w:val="start"/>
      <w:pPr>
        <w:tabs>
          <w:tab w:val="num" w:pos="0"/>
        </w:tabs>
        <w:ind w:start="2832" w:hanging="708"/>
      </w:pPr>
    </w:lvl>
  </w:abstractNum>
  <w:abstractNum w:abstractNumId="4">
    <w:lvl w:ilvl="0">
      <w:start w:val="1"/>
      <w:numFmt w:val="decimal"/>
      <w:lvlText w:val="%1.0"/>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szCs w:val="22"/>
      </w:rPr>
    </w:lvl>
    <w:lvl w:ilvl="2">
      <w:start w:val="1"/>
      <w:numFmt w:val="decimal"/>
      <w:lvlText w:val="%1.%2.%3"/>
      <w:lvlJc w:val="start"/>
      <w:pPr>
        <w:tabs>
          <w:tab w:val="num" w:pos="720"/>
        </w:tabs>
        <w:ind w:start="720" w:hanging="720"/>
      </w:pPr>
      <w:rPr>
        <w:sz w:val="22"/>
        <w:i w:val="false"/>
        <w:b/>
        <w:szCs w:val="22"/>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5">
    <w:lvl w:ilvl="0">
      <w:start w:val="1"/>
      <w:numFmt w:val="bullet"/>
      <w:lvlText w:val=""/>
      <w:lvlJc w:val="start"/>
      <w:pPr>
        <w:tabs>
          <w:tab w:val="num" w:pos="1800"/>
        </w:tabs>
        <w:ind w:start="1800" w:hanging="360"/>
      </w:pPr>
      <w:rPr>
        <w:rFonts w:ascii="Symbol" w:hAnsi="Symbol" w:cs="Symbol" w:hint="default"/>
      </w:rPr>
    </w:lvl>
  </w:abstractNum>
  <w:abstractNum w:abstractNumId="6">
    <w:lvl w:ilvl="0">
      <w:start w:val="1"/>
      <w:numFmt w:val="bullet"/>
      <w:lvlText w:val=""/>
      <w:lvlJc w:val="start"/>
      <w:pPr>
        <w:tabs>
          <w:tab w:val="num" w:pos="1109"/>
        </w:tabs>
        <w:ind w:start="1109" w:hanging="360"/>
      </w:pPr>
      <w:rPr>
        <w:rFonts w:ascii="Symbol" w:hAnsi="Symbol" w:cs="Symbol" w:hint="default"/>
      </w:rPr>
    </w:lvl>
  </w:abstractNum>
  <w:abstractNum w:abstractNumId="7">
    <w:lvl w:ilvl="0">
      <w:start w:val="1"/>
      <w:numFmt w:val="lowerRoman"/>
      <w:lvlText w:val="(%1)"/>
      <w:lvlJc w:val="start"/>
      <w:pPr>
        <w:tabs>
          <w:tab w:val="num" w:pos="1080"/>
        </w:tabs>
        <w:ind w:start="1080" w:hanging="720"/>
      </w:pPr>
      <w:rPr/>
    </w:lvl>
  </w:abstractNum>
  <w:abstractNum w:abstractNumId="8">
    <w:lvl w:ilvl="0">
      <w:start w:val="1"/>
      <w:numFmt w:val="bullet"/>
      <w:lvlText w:val=""/>
      <w:lvlJc w:val="start"/>
      <w:pPr>
        <w:tabs>
          <w:tab w:val="num" w:pos="1080"/>
        </w:tabs>
        <w:ind w:start="1080" w:hanging="360"/>
      </w:pPr>
      <w:rPr>
        <w:rFonts w:ascii="Symbol" w:hAnsi="Symbol" w:cs="Symbol" w:hint="default"/>
      </w:rPr>
    </w:lvl>
  </w:abstractNum>
  <w:abstractNum w:abstractNumId="9">
    <w:lvl w:ilvl="0">
      <w:start w:val="1"/>
      <w:numFmt w:val="bullet"/>
      <w:lvlText w:val="o"/>
      <w:lvlJc w:val="start"/>
      <w:pPr>
        <w:tabs>
          <w:tab w:val="num" w:pos="720"/>
        </w:tabs>
        <w:ind w:start="720" w:hanging="360"/>
      </w:pPr>
      <w:rPr>
        <w:rFonts w:ascii="Courier New" w:hAnsi="Courier New" w:cs="Courier New" w:hint="default"/>
      </w:rPr>
    </w:lvl>
  </w:abstractNum>
  <w:abstractNum w:abstractNumId="10">
    <w:lvl w:ilvl="0">
      <w:start w:val="1"/>
      <w:numFmt w:val="bullet"/>
      <w:lvlText w:val=""/>
      <w:lvlJc w:val="start"/>
      <w:pPr>
        <w:tabs>
          <w:tab w:val="num" w:pos="1440"/>
        </w:tabs>
        <w:ind w:start="1440" w:hanging="360"/>
      </w:pPr>
      <w:rPr>
        <w:rFonts w:ascii="Symbol" w:hAnsi="Symbol" w:cs="Symbol" w:hint="default"/>
      </w:rPr>
    </w:lvl>
  </w:abstractNum>
  <w:abstractNum w:abstractNumId="11">
    <w:lvl w:ilvl="0">
      <w:start w:val="1"/>
      <w:numFmt w:val="bullet"/>
      <w:lvlText w:val=""/>
      <w:lvlJc w:val="start"/>
      <w:pPr>
        <w:tabs>
          <w:tab w:val="num" w:pos="1109"/>
        </w:tabs>
        <w:ind w:start="1109" w:hanging="360"/>
      </w:pPr>
      <w:rPr>
        <w:rFonts w:ascii="Symbol" w:hAnsi="Symbol" w:cs="Symbol" w:hint="default"/>
      </w:rPr>
    </w:lvl>
  </w:abstractNum>
  <w:abstractNum w:abstractNumId="12">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13">
    <w:lvl w:ilvl="0">
      <w:start w:val="1"/>
      <w:numFmt w:val="decimal"/>
      <w:lvlText w:val="%1."/>
      <w:lvlJc w:val="start"/>
      <w:pPr>
        <w:tabs>
          <w:tab w:val="num" w:pos="1440"/>
        </w:tabs>
        <w:ind w:start="1440" w:hanging="360"/>
      </w:pPr>
    </w:lvl>
  </w:abstractNum>
  <w:abstractNum w:abstractNumId="14">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5">
    <w:lvl w:ilvl="0">
      <w:start w:val="1"/>
      <w:numFmt w:val="decimal"/>
      <w:lvlText w:val="%1."/>
      <w:lvlJc w:val="start"/>
      <w:pPr>
        <w:tabs>
          <w:tab w:val="num" w:pos="1440"/>
        </w:tabs>
        <w:ind w:start="1440" w:hanging="360"/>
      </w:pPr>
      <w:rPr/>
    </w:lvl>
  </w:abstractNum>
  <w:abstractNum w:abstractNumId="16">
    <w:lvl w:ilvl="0">
      <w:start w:val="18"/>
      <w:numFmt w:val="bullet"/>
      <w:lvlText w:val="-"/>
      <w:lvlJc w:val="start"/>
      <w:pPr>
        <w:tabs>
          <w:tab w:val="num" w:pos="643"/>
        </w:tabs>
        <w:ind w:start="643" w:hanging="360"/>
      </w:pPr>
      <w:rPr>
        <w:rFonts w:ascii="Arial" w:hAnsi="Arial" w:cs="Aria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7">
    <w:lvl w:ilvl="0">
      <w:start w:val="1"/>
      <w:numFmt w:val="decimal"/>
      <w:lvlText w:val="%1."/>
      <w:lvlJc w:val="start"/>
      <w:pPr>
        <w:tabs>
          <w:tab w:val="num" w:pos="720"/>
        </w:tabs>
        <w:ind w:start="720" w:hanging="360"/>
      </w:pPr>
      <w:rPr/>
    </w:lvl>
  </w:abstractNum>
  <w:abstractNum w:abstractNumId="18">
    <w:lvl w:ilvl="0">
      <w:start w:val="1"/>
      <w:numFmt w:val="bullet"/>
      <w:lvlText w:val=""/>
      <w:lvlJc w:val="start"/>
      <w:pPr>
        <w:tabs>
          <w:tab w:val="num" w:pos="360"/>
        </w:tabs>
        <w:ind w:start="360" w:hanging="360"/>
      </w:pPr>
      <w:rPr>
        <w:rFonts w:ascii="Symbol" w:hAnsi="Symbol" w:cs="Symbol" w:hint="default"/>
      </w:rPr>
    </w:lvl>
  </w:abstractNum>
  <w:abstractNum w:abstractNumId="19">
    <w:lvl w:ilvl="0">
      <w:start w:val="1"/>
      <w:numFmt w:val="bullet"/>
      <w:lvlText w:val=""/>
      <w:lvlJc w:val="start"/>
      <w:pPr>
        <w:tabs>
          <w:tab w:val="num" w:pos="1440"/>
        </w:tabs>
        <w:ind w:start="144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6">
    <w:name w:val="heading 6"/>
    <w:basedOn w:val="Normal"/>
    <w:next w:val="Normal"/>
    <w:qFormat/>
    <w:pPr>
      <w:numPr>
        <w:ilvl w:val="5"/>
        <w:numId w:val="1"/>
      </w:numPr>
      <w:spacing w:before="240" w:after="60"/>
      <w:outlineLvl w:val="5"/>
    </w:pPr>
    <w:rPr>
      <w:b/>
      <w:bCs/>
      <w:szCs w:val="22"/>
    </w:rPr>
  </w:style>
  <w:style w:type="character" w:styleId="WW8Num1z0">
    <w:name w:val="WW8Num1z0"/>
    <w:qFormat/>
    <w:rPr>
      <w:rFonts w:ascii="Symbol" w:hAnsi="Symbol" w:cs="Symbol"/>
    </w:rPr>
  </w:style>
  <w:style w:type="character" w:styleId="WW8Num3z0">
    <w:name w:val="WW8Num3z0"/>
    <w:qFormat/>
    <w:rPr>
      <w:rFonts w:ascii="Times New Roman Bold;Times New Roman" w:hAnsi="Times New Roman Bold;Times New Roman" w:cs="Times New Roman Bold;Times New Roman"/>
      <w:b/>
      <w:i w:val="false"/>
      <w:sz w:val="22"/>
      <w:szCs w:val="22"/>
    </w:rPr>
  </w:style>
  <w:style w:type="character" w:styleId="WW8Num3z1">
    <w:name w:val="WW8Num3z1"/>
    <w:qFormat/>
    <w:rPr>
      <w:sz w:val="22"/>
      <w:szCs w:val="22"/>
    </w:rPr>
  </w:style>
  <w:style w:type="character" w:styleId="WW8Num3z2">
    <w:name w:val="WW8Num3z2"/>
    <w:qFormat/>
    <w:rPr>
      <w:rFonts w:ascii="Times New Roman" w:hAnsi="Times New Roman" w:cs="Times New Roman"/>
      <w:b/>
      <w:i w:val="false"/>
      <w:sz w:val="22"/>
      <w:szCs w:val="22"/>
    </w:rPr>
  </w:style>
  <w:style w:type="character" w:styleId="WW8Num3z3">
    <w:name w:val="WW8Num3z3"/>
    <w:qFormat/>
    <w:rPr>
      <w:rFonts w:ascii="Times New Roman Bold;Times New Roman" w:hAnsi="Times New Roman Bold;Times New Roman" w:cs="Times New Roman Bold;Times New Roman"/>
      <w:b/>
      <w:i w:val="false"/>
      <w:sz w:val="24"/>
    </w:rPr>
  </w:style>
  <w:style w:type="character" w:styleId="WW8Num3z4">
    <w:name w:val="WW8Num3z4"/>
    <w:qFormat/>
    <w:rPr>
      <w:rFonts w:ascii="Times New Roman" w:hAnsi="Times New Roman" w:cs="Times New Roman"/>
      <w:b w:val="false"/>
      <w:i w:val="false"/>
      <w:sz w:val="22"/>
    </w:rPr>
  </w:style>
  <w:style w:type="character" w:styleId="WW8Num3z8">
    <w:name w:val="WW8Num3z8"/>
    <w:qFormat/>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cs="Times New Roman"/>
      <w:b w:val="false"/>
      <w:i w:val="false"/>
      <w:color w:val="000000"/>
      <w:sz w:val="22"/>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rFonts w:ascii="Symbol" w:hAnsi="Symbol" w:cs="Symbol"/>
      <w:sz w:val="20"/>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5z0">
    <w:name w:val="WW8Num15z0"/>
    <w:qFormat/>
    <w:rPr>
      <w:rFonts w:ascii="Times New Roman" w:hAnsi="Times New Roman" w:cs="Times New Roman"/>
      <w:b w:val="false"/>
      <w:i w:val="false"/>
      <w:color w:val="000000"/>
      <w:sz w:val="22"/>
    </w:rPr>
  </w:style>
  <w:style w:type="character" w:styleId="WW8Num15z1">
    <w:name w:val="WW8Num15z1"/>
    <w:qFormat/>
    <w:rPr>
      <w:rFonts w:ascii="Times New Roman" w:hAnsi="Times New Roman" w:cs="Times New Roman"/>
      <w:b w:val="false"/>
      <w:i w:val="false"/>
      <w:sz w:val="22"/>
    </w:rPr>
  </w:style>
  <w:style w:type="character" w:styleId="WW8Num15z4">
    <w:name w:val="WW8Num15z4"/>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8z0">
    <w:name w:val="WW8Num18z0"/>
    <w:qFormat/>
    <w:rPr>
      <w:rFonts w:ascii="Symbol" w:hAnsi="Symbol" w:cs="Symbol"/>
      <w:sz w:val="20"/>
    </w:rPr>
  </w:style>
  <w:style w:type="character" w:styleId="WW8Num19z0">
    <w:name w:val="WW8Num19z0"/>
    <w:qFormat/>
    <w:rPr/>
  </w:style>
  <w:style w:type="character" w:styleId="WW8Num22z0">
    <w:name w:val="WW8Num22z0"/>
    <w:qFormat/>
    <w:rPr>
      <w:rFonts w:ascii="Times New Roman" w:hAnsi="Times New Roman" w:cs="Times New Roman"/>
      <w:b w:val="false"/>
      <w:i w:val="false"/>
      <w:color w:val="000000"/>
      <w:sz w:val="22"/>
    </w:rPr>
  </w:style>
  <w:style w:type="character" w:styleId="WW8Num22z1">
    <w:name w:val="WW8Num22z1"/>
    <w:qFormat/>
    <w:rPr>
      <w:rFonts w:ascii="Times New Roman" w:hAnsi="Times New Roman" w:cs="Times New Roman"/>
      <w:b w:val="false"/>
      <w:i w:val="false"/>
      <w:sz w:val="22"/>
    </w:rPr>
  </w:style>
  <w:style w:type="character" w:styleId="WW8Num22z4">
    <w:name w:val="WW8Num22z4"/>
    <w:qFormat/>
    <w:rPr/>
  </w:style>
  <w:style w:type="character" w:styleId="WW8Num23z0">
    <w:name w:val="WW8Num23z0"/>
    <w:qFormat/>
    <w:rPr/>
  </w:style>
  <w:style w:type="character" w:styleId="WW8Num24z0">
    <w:name w:val="WW8Num24z0"/>
    <w:qFormat/>
    <w:rPr>
      <w:rFonts w:ascii="Arial" w:hAnsi="Arial" w:eastAsia="Times New Roman" w:cs="Arial"/>
    </w:rPr>
  </w:style>
  <w:style w:type="character" w:styleId="WW8Num24z1">
    <w:name w:val="WW8Num24z1"/>
    <w:qFormat/>
    <w:rPr>
      <w:rFonts w:ascii="Courier New" w:hAnsi="Courier New" w:cs="Arial (W1)"/>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CommentReference">
    <w:name w:val="Comment Reference"/>
    <w:basedOn w:val="DefaultParagraphFont"/>
    <w:qFormat/>
    <w:rPr>
      <w:sz w:val="16"/>
      <w:szCs w:val="16"/>
    </w:rPr>
  </w:style>
  <w:style w:type="character" w:styleId="FootnoteCharacters">
    <w:name w:val="Footnote Characters"/>
    <w:basedOn w:val="DefaultParagraphFont"/>
    <w:qFormat/>
    <w:rPr>
      <w:vertAlign w:val="superscript"/>
    </w:rPr>
  </w:style>
  <w:style w:type="character" w:styleId="CharChar">
    <w:name w:val=" Char Char"/>
    <w:basedOn w:val="DefaultParagraphFont"/>
    <w:qFormat/>
    <w:rPr>
      <w:sz w:val="22"/>
      <w:szCs w:val="24"/>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spacing w:before="240" w:after="120"/>
    </w:pPr>
    <w:rPr>
      <w:b/>
      <w:bCs/>
      <w:sz w:val="20"/>
      <w:szCs w:val="20"/>
    </w:rPr>
  </w:style>
  <w:style w:type="paragraph" w:styleId="TOC2">
    <w:name w:val="toc 2"/>
    <w:basedOn w:val="Normal"/>
    <w:next w:val="Normal"/>
    <w:pPr>
      <w:spacing w:before="120" w:after="0"/>
      <w:ind w:hanging="0" w:start="220" w:end="0"/>
    </w:pPr>
    <w:rPr>
      <w:i/>
      <w:iCs/>
      <w:sz w:val="20"/>
      <w:szCs w:val="20"/>
    </w:rPr>
  </w:style>
  <w:style w:type="paragraph" w:styleId="TOC3">
    <w:name w:val="toc 3"/>
    <w:basedOn w:val="Normal"/>
    <w:next w:val="Normal"/>
    <w:pPr>
      <w:spacing w:before="0" w:after="0"/>
      <w:ind w:hanging="0" w:start="440" w:end="0"/>
    </w:pPr>
    <w:rPr>
      <w:sz w:val="20"/>
      <w:szCs w:val="20"/>
    </w:rPr>
  </w:style>
  <w:style w:type="paragraph" w:styleId="Bullet1Level1">
    <w:name w:val="Bullet 1 Level 1"/>
    <w:basedOn w:val="Normal"/>
    <w:qFormat/>
    <w:pPr>
      <w:numPr>
        <w:ilvl w:val="0"/>
        <w:numId w:val="8"/>
      </w:numPr>
    </w:pPr>
    <w:rPr/>
  </w:style>
  <w:style w:type="paragraph" w:styleId="Subtitle">
    <w:name w:val="Subtitle"/>
    <w:basedOn w:val="Normal"/>
    <w:next w:val="BodyText"/>
    <w:qFormat/>
    <w:pPr>
      <w:spacing w:before="240" w:after="240"/>
      <w:jc w:val="center"/>
    </w:pPr>
    <w:rPr>
      <w:rFonts w:ascii="Times New Roman Bold;Times New Roman" w:hAnsi="Times New Roman Bold;Times New Roman" w:cs="Arial"/>
      <w:b/>
      <w:sz w:val="28"/>
    </w:rPr>
  </w:style>
  <w:style w:type="paragraph" w:styleId="TOC4">
    <w:name w:val="toc 4"/>
    <w:basedOn w:val="Normal"/>
    <w:next w:val="Normal"/>
    <w:pPr>
      <w:spacing w:before="0" w:after="0"/>
      <w:ind w:hanging="0" w:start="660" w:end="0"/>
    </w:pPr>
    <w:rPr>
      <w:sz w:val="20"/>
      <w:szCs w:val="20"/>
    </w:rPr>
  </w:style>
  <w:style w:type="paragraph" w:styleId="TOC5">
    <w:name w:val="toc 5"/>
    <w:basedOn w:val="Normal"/>
    <w:next w:val="Normal"/>
    <w:pPr>
      <w:spacing w:before="0" w:after="0"/>
      <w:ind w:hanging="0" w:start="880" w:end="0"/>
    </w:pPr>
    <w:rPr>
      <w:sz w:val="20"/>
      <w:szCs w:val="20"/>
    </w:rPr>
  </w:style>
  <w:style w:type="paragraph" w:styleId="TOC6">
    <w:name w:val="toc 6"/>
    <w:basedOn w:val="Normal"/>
    <w:next w:val="Normal"/>
    <w:pPr>
      <w:spacing w:before="0" w:after="0"/>
      <w:ind w:hanging="0" w:start="1100" w:end="0"/>
    </w:pPr>
    <w:rPr>
      <w:sz w:val="20"/>
      <w:szCs w:val="20"/>
    </w:rPr>
  </w:style>
  <w:style w:type="paragraph" w:styleId="TOC7">
    <w:name w:val="toc 7"/>
    <w:basedOn w:val="Normal"/>
    <w:next w:val="Normal"/>
    <w:pPr>
      <w:spacing w:before="0" w:after="0"/>
      <w:ind w:hanging="0" w:start="1320" w:end="0"/>
    </w:pPr>
    <w:rPr>
      <w:sz w:val="20"/>
      <w:szCs w:val="20"/>
    </w:rPr>
  </w:style>
  <w:style w:type="paragraph" w:styleId="TOC8">
    <w:name w:val="toc 8"/>
    <w:basedOn w:val="Normal"/>
    <w:next w:val="Normal"/>
    <w:pPr>
      <w:spacing w:before="0" w:after="0"/>
      <w:ind w:hanging="0" w:start="1540" w:end="0"/>
    </w:pPr>
    <w:rPr>
      <w:sz w:val="20"/>
      <w:szCs w:val="20"/>
    </w:rPr>
  </w:style>
  <w:style w:type="paragraph" w:styleId="TOC9">
    <w:name w:val="toc 9"/>
    <w:basedOn w:val="Normal"/>
    <w:next w:val="Normal"/>
    <w:pPr>
      <w:spacing w:before="0" w:after="0"/>
      <w:ind w:hanging="0" w:start="1760" w:end="0"/>
    </w:pPr>
    <w:rPr>
      <w:sz w:val="20"/>
      <w:szCs w:val="20"/>
    </w:rPr>
  </w:style>
  <w:style w:type="paragraph" w:styleId="Bullet1BodyText">
    <w:name w:val="Bullet 1 Body Text"/>
    <w:basedOn w:val="Normal"/>
    <w:qFormat/>
    <w:pPr>
      <w:numPr>
        <w:ilvl w:val="0"/>
        <w:numId w:val="5"/>
      </w:numPr>
      <w:spacing w:before="240" w:after="240"/>
    </w:pPr>
    <w:rPr/>
  </w:style>
  <w:style w:type="paragraph" w:styleId="Bullet1Table">
    <w:name w:val="Bullet 1 Table"/>
    <w:basedOn w:val="Normal"/>
    <w:qFormat/>
    <w:pPr>
      <w:numPr>
        <w:ilvl w:val="0"/>
        <w:numId w:val="18"/>
      </w:numPr>
    </w:pPr>
    <w:rPr/>
  </w:style>
  <w:style w:type="paragraph" w:styleId="Heading1Numbered">
    <w:name w:val="Heading 1 Numbered"/>
    <w:basedOn w:val="Normal"/>
    <w:next w:val="BodyText"/>
    <w:qFormat/>
    <w:pPr>
      <w:pageBreakBefore/>
      <w:numPr>
        <w:ilvl w:val="0"/>
        <w:numId w:val="4"/>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BodyText"/>
    <w:qFormat/>
    <w:pPr>
      <w:numPr>
        <w:ilvl w:val="0"/>
        <w:numId w:val="4"/>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next w:val="BodyText"/>
    <w:qFormat/>
    <w:pPr>
      <w:numPr>
        <w:ilvl w:val="0"/>
        <w:numId w:val="4"/>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next w:val="BodyText"/>
    <w:qFormat/>
    <w:pPr>
      <w:numPr>
        <w:ilvl w:val="0"/>
        <w:numId w:val="4"/>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14"/>
      </w:numPr>
    </w:pPr>
    <w:rPr>
      <w:bCs/>
    </w:rPr>
  </w:style>
  <w:style w:type="paragraph" w:styleId="TableLevel2Numbered">
    <w:name w:val="Table Level 2 Numbered"/>
    <w:basedOn w:val="Normal"/>
    <w:qFormat/>
    <w:pPr>
      <w:numPr>
        <w:ilvl w:val="0"/>
        <w:numId w:val="14"/>
      </w:numPr>
    </w:pPr>
    <w:rPr>
      <w:bCs/>
    </w:rPr>
  </w:style>
  <w:style w:type="paragraph" w:styleId="TableLevel3Numbered">
    <w:name w:val="Table Level 3 Numbered"/>
    <w:basedOn w:val="Normal"/>
    <w:qFormat/>
    <w:pPr>
      <w:numPr>
        <w:ilvl w:val="0"/>
        <w:numId w:val="14"/>
      </w:numPr>
    </w:pPr>
    <w:rPr/>
  </w:style>
  <w:style w:type="paragraph" w:styleId="TableLevel4Numbered">
    <w:name w:val="Table Level 4 Numbered"/>
    <w:basedOn w:val="Normal"/>
    <w:qFormat/>
    <w:pPr>
      <w:numPr>
        <w:ilvl w:val="0"/>
        <w:numId w:val="14"/>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2"/>
      </w:numPr>
      <w:spacing w:before="240" w:after="240"/>
    </w:pPr>
    <w:rPr/>
  </w:style>
  <w:style w:type="paragraph" w:styleId="BodyLevel2Numbered">
    <w:name w:val="Body Level 2 Numbered"/>
    <w:basedOn w:val="Normal"/>
    <w:qFormat/>
    <w:pPr>
      <w:numPr>
        <w:ilvl w:val="0"/>
        <w:numId w:val="12"/>
      </w:numPr>
      <w:spacing w:before="240" w:after="240"/>
    </w:pPr>
    <w:rPr/>
  </w:style>
  <w:style w:type="paragraph" w:styleId="BodyLevel3Numbered">
    <w:name w:val="Body Level 3 Numbered"/>
    <w:basedOn w:val="Normal"/>
    <w:qFormat/>
    <w:pPr>
      <w:numPr>
        <w:ilvl w:val="0"/>
        <w:numId w:val="12"/>
      </w:numPr>
      <w:spacing w:before="240" w:after="240"/>
    </w:pPr>
    <w:rPr/>
  </w:style>
  <w:style w:type="paragraph" w:styleId="BodyLevel4Numbered">
    <w:name w:val="Body Level 4 Numbered"/>
    <w:basedOn w:val="Normal"/>
    <w:qFormat/>
    <w:pPr>
      <w:numPr>
        <w:ilvl w:val="0"/>
        <w:numId w:val="12"/>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DocumentMap">
    <w:name w:val="Document Map"/>
    <w:basedOn w:val="Normal"/>
    <w:qFormat/>
    <w:pPr>
      <w:shd w:fill="000080" w:val="clear"/>
    </w:pPr>
    <w:rPr>
      <w:rFonts w:ascii="Tahoma" w:hAnsi="Tahoma" w:cs="Tahoma"/>
    </w:rPr>
  </w:style>
  <w:style w:type="paragraph" w:styleId="LWTable">
    <w:name w:val="~LW Table"/>
    <w:basedOn w:val="Normal"/>
    <w:qFormat/>
    <w:pPr>
      <w:widowControl w:val="false"/>
      <w:jc w:val="both"/>
    </w:pPr>
    <w:rPr>
      <w:rFonts w:ascii="Garamond" w:hAnsi="Garamond" w:cs="Garamond"/>
      <w:szCs w:val="22"/>
      <w:lang w:val="en-GB"/>
    </w:rPr>
  </w:style>
  <w:style w:type="paragraph" w:styleId="FootnoteText">
    <w:name w:val="footnote text"/>
    <w:basedOn w:val="Normal"/>
    <w:pPr>
      <w:spacing w:before="0" w:after="0"/>
    </w:pPr>
    <w:rPr>
      <w:sz w:val="20"/>
      <w:szCs w:val="20"/>
      <w:lang w:val="en-GB"/>
    </w:rPr>
  </w:style>
  <w:style w:type="paragraph" w:styleId="BodyTextIndent2">
    <w:name w:val="Body Text Indent 2"/>
    <w:basedOn w:val="Normal"/>
    <w:qFormat/>
    <w:pPr>
      <w:spacing w:lineRule="auto" w:line="480"/>
      <w:ind w:hanging="0" w:start="283" w:end="0"/>
    </w:pPr>
    <w:rPr/>
  </w:style>
  <w:style w:type="paragraph" w:styleId="NormalArial">
    <w:name w:val="Normal + Arial"/>
    <w:basedOn w:val="Normal"/>
    <w:qFormat/>
    <w:pPr>
      <w:numPr>
        <w:ilvl w:val="0"/>
        <w:numId w:val="16"/>
      </w:numPr>
      <w:spacing w:before="0" w:after="0"/>
    </w:pPr>
    <w:rPr>
      <w:sz w:val="20"/>
      <w:szCs w:val="20"/>
      <w:lang w:val="en-AU"/>
    </w:rPr>
  </w:style>
  <w:style w:type="paragraph" w:styleId="Normalarial1">
    <w:name w:val="Normal+arial"/>
    <w:basedOn w:val="Normal"/>
    <w:qFormat/>
    <w:pPr>
      <w:spacing w:before="0" w:after="0"/>
    </w:pPr>
    <w:rPr>
      <w:rFonts w:ascii="Arial" w:hAnsi="Arial" w:cs="Arial"/>
      <w:sz w:val="20"/>
      <w:szCs w:val="20"/>
      <w:lang w:val="en-GB"/>
    </w:rPr>
  </w:style>
  <w:style w:type="paragraph" w:styleId="DocTitle8">
    <w:name w:val="DocTitle8"/>
    <w:basedOn w:val="Normal"/>
    <w:qFormat/>
    <w:pPr>
      <w:tabs>
        <w:tab w:val="clear" w:pos="720"/>
        <w:tab w:val="left" w:pos="3232" w:leader="none"/>
        <w:tab w:val="left" w:pos="4933" w:leader="none"/>
        <w:tab w:val="left" w:pos="7938" w:leader="none"/>
      </w:tabs>
      <w:spacing w:before="0" w:after="0"/>
    </w:pPr>
    <w:rPr>
      <w:rFonts w:ascii="Arial" w:hAnsi="Arial" w:cs="Arial"/>
      <w:sz w:val="16"/>
      <w:szCs w:val="20"/>
      <w:lang w:val="nl-NL"/>
    </w:rPr>
  </w:style>
  <w:style w:type="paragraph" w:styleId="Bijlagekop2">
    <w:name w:val="Bijlagekop 2"/>
    <w:basedOn w:val="Normal"/>
    <w:qFormat/>
    <w:pPr>
      <w:keepNext w:val="true"/>
      <w:keepLines/>
      <w:numPr>
        <w:ilvl w:val="0"/>
        <w:numId w:val="3"/>
      </w:numPr>
      <w:spacing w:before="360" w:after="240"/>
    </w:pPr>
    <w:rPr>
      <w:rFonts w:ascii="Arial" w:hAnsi="Arial" w:cs="Arial"/>
      <w:b/>
      <w:kern w:val="2"/>
      <w:sz w:val="24"/>
      <w:szCs w:val="20"/>
      <w:lang w:val="nl-NL"/>
    </w:rPr>
  </w:style>
  <w:style w:type="paragraph" w:styleId="TabelBovenkopjes">
    <w:name w:val="TabelBovenkopjes"/>
    <w:basedOn w:val="Normal"/>
    <w:next w:val="Normal"/>
    <w:qFormat/>
    <w:pPr>
      <w:tabs>
        <w:tab w:val="left" w:pos="-2560" w:leader="none"/>
        <w:tab w:val="left" w:pos="0" w:leader="none"/>
        <w:tab w:val="left" w:pos="240" w:leader="none"/>
        <w:tab w:val="left" w:pos="480" w:leader="none"/>
        <w:tab w:val="left" w:pos="720" w:leader="none"/>
        <w:tab w:val="right" w:pos="4320" w:leader="none"/>
      </w:tabs>
      <w:spacing w:lineRule="exact" w:line="240" w:before="0" w:after="0"/>
      <w:jc w:val="center"/>
    </w:pPr>
    <w:rPr>
      <w:sz w:val="16"/>
      <w:szCs w:val="20"/>
      <w:lang w:val="en-US"/>
    </w:rPr>
  </w:style>
  <w:style w:type="paragraph" w:styleId="TabelInhoud">
    <w:name w:val="TabelInhoud"/>
    <w:basedOn w:val="Normal"/>
    <w:next w:val="Normal"/>
    <w:qFormat/>
    <w:pPr>
      <w:tabs>
        <w:tab w:val="left" w:pos="-2560" w:leader="none"/>
        <w:tab w:val="left" w:pos="0" w:leader="none"/>
        <w:tab w:val="left" w:pos="240" w:leader="none"/>
        <w:tab w:val="left" w:pos="480" w:leader="none"/>
        <w:tab w:val="left" w:pos="720" w:leader="none"/>
        <w:tab w:val="right" w:pos="4320" w:leader="none"/>
      </w:tabs>
      <w:spacing w:lineRule="exact" w:line="240" w:before="0" w:after="0"/>
      <w:jc w:val="end"/>
    </w:pPr>
    <w:rPr>
      <w:sz w:val="20"/>
      <w:szCs w:val="20"/>
      <w:lang w:val="en-US"/>
    </w:rPr>
  </w:style>
  <w:style w:type="paragraph" w:styleId="Index1">
    <w:name w:val="index 1"/>
    <w:basedOn w:val="Normal"/>
    <w:next w:val="Normal"/>
    <w:pPr>
      <w:tabs>
        <w:tab w:val="left" w:pos="-2560" w:leader="none"/>
        <w:tab w:val="left" w:pos="0" w:leader="none"/>
        <w:tab w:val="left" w:pos="240" w:leader="none"/>
        <w:tab w:val="left" w:pos="480" w:leader="none"/>
        <w:tab w:val="left" w:pos="720" w:leader="none"/>
        <w:tab w:val="left" w:pos="4320" w:leader="none"/>
      </w:tabs>
      <w:spacing w:lineRule="exact" w:line="240" w:before="0" w:after="0"/>
    </w:pPr>
    <w:rPr>
      <w:sz w:val="24"/>
      <w:szCs w:val="20"/>
      <w:lang w:val="en-US"/>
    </w:rPr>
  </w:style>
  <w:style w:type="paragraph" w:styleId="EndnoteText">
    <w:name w:val="endnote text"/>
    <w:basedOn w:val="Normal"/>
    <w:pPr>
      <w:spacing w:lineRule="atLeast" w:line="280" w:before="0" w:after="0"/>
    </w:pPr>
    <w:rPr>
      <w:sz w:val="24"/>
      <w:szCs w:val="20"/>
      <w:lang w:val="nl-NL"/>
    </w:rPr>
  </w:style>
  <w:style w:type="paragraph" w:styleId="zzSpDn">
    <w:name w:val="zzSpDn"/>
    <w:basedOn w:val="Header"/>
    <w:qFormat/>
    <w:pPr>
      <w:tabs>
        <w:tab w:val="clear" w:pos="4320"/>
        <w:tab w:val="clear" w:pos="8640"/>
        <w:tab w:val="center" w:pos="4153" w:leader="none"/>
        <w:tab w:val="right" w:pos="8306" w:leader="none"/>
      </w:tabs>
      <w:spacing w:lineRule="atLeast" w:line="280" w:before="0" w:after="240"/>
    </w:pPr>
    <w:rPr>
      <w:sz w:val="24"/>
      <w:szCs w:val="20"/>
      <w:lang w:val="nl-NL"/>
    </w:rPr>
  </w:style>
  <w:style w:type="paragraph" w:styleId="ListBullet">
    <w:name w:val="List Bullet"/>
    <w:basedOn w:val="Normal"/>
    <w:qFormat/>
    <w:pPr>
      <w:numPr>
        <w:ilvl w:val="0"/>
        <w:numId w:val="2"/>
      </w:numPr>
    </w:pPr>
    <w:rPr/>
  </w:style>
  <w:style w:type="paragraph" w:styleId="BulletList">
    <w:name w:val="Bullet List"/>
    <w:basedOn w:val="Normal"/>
    <w:qFormat/>
    <w:pPr>
      <w:numPr>
        <w:ilvl w:val="0"/>
        <w:numId w:val="9"/>
      </w:numPr>
    </w:pPr>
    <w:rPr/>
  </w:style>
  <w:style w:type="paragraph" w:styleId="tablelevel1numbered1">
    <w:name w:val="tablelevel1numbered"/>
    <w:basedOn w:val="Normal"/>
    <w:qFormat/>
    <w:pPr>
      <w:numPr>
        <w:ilvl w:val="0"/>
        <w:numId w:val="5"/>
      </w:numPr>
    </w:pPr>
    <w:rPr>
      <w:szCs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image2.wmf"/><Relationship Id="rId13" Type="http://schemas.openxmlformats.org/officeDocument/2006/relationships/image" Target="media/image2.wmf"/><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9</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2006-11-30T18:20:00Z</dcterms:created>
  <dc:creator> </dc:creator>
  <dc:description/>
  <cp:keywords/>
  <dc:language>en-US</dc:language>
  <cp:lastModifiedBy>Stuart Johnson</cp:lastModifiedBy>
  <cp:lastPrinted>2006-05-17T10:53:00Z</cp:lastPrinted>
  <dcterms:modified xsi:type="dcterms:W3CDTF">2006-11-30T18:29:00Z</dcterms:modified>
  <cp:revision>5</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-342199251</vt:r8>
  </property>
  <property fmtid="{D5CDD505-2E9C-101B-9397-08002B2CF9AE}" pid="3" name="_AuthorEmail">
    <vt:lpwstr>Albert.Jans@mail.ing.nl</vt:lpwstr>
  </property>
  <property fmtid="{D5CDD505-2E9C-101B-9397-08002B2CF9AE}" pid="4" name="_AuthorEmailDisplayName">
    <vt:lpwstr>Jans, A.H.A. (Albert)</vt:lpwstr>
  </property>
  <property fmtid="{D5CDD505-2E9C-101B-9397-08002B2CF9AE}" pid="5" name="_EmailSubject">
    <vt:lpwstr>Attachment 3-B (Critical Service Levels  Key Measurements) AJ v1.7</vt:lpwstr>
  </property>
  <property fmtid="{D5CDD505-2E9C-101B-9397-08002B2CF9AE}" pid="6" name="_NewReviewCycle">
    <vt:lpwstr/>
  </property>
  <property fmtid="{D5CDD505-2E9C-101B-9397-08002B2CF9AE}" pid="7" name="_ReviewingToolsShownOnce">
    <vt:lpwstr/>
  </property>
</Properties>
</file>