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jc w:val="center"/>
        <w:rPr/>
      </w:pPr>
      <w:r>
        <w:rPr/>
      </w:r>
    </w:p>
    <w:p>
      <w:pPr>
        <w:pStyle w:val="Title"/>
        <w:rPr/>
      </w:pPr>
      <w:r>
        <w:rPr/>
      </w:r>
    </w:p>
    <w:p>
      <w:pPr>
        <w:pStyle w:val="Title"/>
        <w:rPr/>
      </w:pPr>
      <w:r>
        <w:rPr/>
      </w:r>
    </w:p>
    <w:p>
      <w:pPr>
        <w:pStyle w:val="Title"/>
        <w:rPr/>
      </w:pPr>
      <w:r>
        <w:rPr/>
      </w:r>
    </w:p>
    <w:p>
      <w:pPr>
        <w:pStyle w:val="Title"/>
        <w:rPr/>
      </w:pPr>
      <w:r>
        <w:rPr/>
      </w:r>
    </w:p>
    <w:p>
      <w:pPr>
        <w:pStyle w:val="Title"/>
        <w:rPr/>
      </w:pPr>
      <w:r>
        <w:rPr/>
      </w:r>
    </w:p>
    <w:p>
      <w:pPr>
        <w:pStyle w:val="Title"/>
        <w:rPr/>
      </w:pPr>
      <w:r>
        <w:rPr/>
        <w:t>Attachment 3-C</w:t>
      </w:r>
    </w:p>
    <w:p>
      <w:pPr>
        <w:pStyle w:val="Title"/>
        <w:rPr/>
      </w:pPr>
      <w:r>
        <w:rPr/>
      </w:r>
    </w:p>
    <w:p>
      <w:pPr>
        <w:pStyle w:val="Title"/>
        <w:rPr/>
      </w:pPr>
      <w:r>
        <w:rPr/>
        <w:t>Critical Deliverables</w:t>
      </w:r>
    </w:p>
    <w:p>
      <w:pPr>
        <w:pStyle w:val="Normal"/>
        <w:jc w:val="center"/>
        <w:rPr>
          <w:b/>
          <w:bCs/>
          <w:sz w:val="32"/>
        </w:rPr>
      </w:pPr>
      <w:r>
        <w:rPr>
          <w:b/>
          <w:bCs/>
          <w:sz w:val="32"/>
        </w:rPr>
        <w:t>Attachment to Exhibit 3 (Service Levels)</w:t>
      </w:r>
    </w:p>
    <w:p>
      <w:pPr>
        <w:pStyle w:val="Title"/>
        <w:rPr>
          <w:b w:val="false"/>
          <w:bCs w:val="false"/>
          <w:sz w:val="32"/>
        </w:rPr>
      </w:pPr>
      <w:r>
        <w:rPr>
          <w:b w:val="false"/>
          <w:bCs w:val="false"/>
          <w:sz w:val="32"/>
        </w:rPr>
      </w:r>
    </w:p>
    <w:p>
      <w:pPr>
        <w:pStyle w:val="Title"/>
        <w:rPr>
          <w:lang w:val="en-GB"/>
        </w:rPr>
      </w:pPr>
      <w:r>
        <w:rPr>
          <w:lang w:val="en-GB"/>
        </w:rPr>
      </w:r>
    </w:p>
    <w:p>
      <w:pPr>
        <w:pStyle w:val="Title"/>
        <w:rPr>
          <w:lang w:val="en-GB"/>
        </w:rPr>
      </w:pPr>
      <w:r>
        <w:rPr>
          <w:lang w:val="en-GB"/>
        </w:rPr>
      </w:r>
    </w:p>
    <w:p>
      <w:pPr>
        <w:pStyle w:val="Title"/>
        <w:rPr/>
      </w:pPr>
      <w:r>
        <w:rPr/>
      </w:r>
    </w:p>
    <w:p>
      <w:pPr>
        <w:sectPr>
          <w:headerReference w:type="default" r:id="rId2"/>
          <w:footerReference w:type="default" r:id="rId3"/>
          <w:type w:val="nextPage"/>
          <w:pgSz w:w="11906" w:h="16838"/>
          <w:pgMar w:left="1440" w:right="1440" w:gutter="0" w:header="720" w:top="1729" w:footer="851" w:bottom="1729"/>
          <w:pgNumType w:fmt="decimal"/>
          <w:formProt w:val="false"/>
          <w:textDirection w:val="lrTb"/>
          <w:docGrid w:type="default" w:linePitch="360" w:charSpace="0"/>
        </w:sectPr>
        <w:pStyle w:val="Normal"/>
        <w:rPr/>
      </w:pPr>
      <w:r>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9019" w:leader="dot"/>
            </w:tabs>
            <w:rPr>
              <w:caps w:val="false"/>
              <w:smallCaps w:val="false"/>
              <w:sz w:val="18"/>
              <w:szCs w:val="18"/>
              <w:lang w:val="en-US" w:eastAsia="en-US"/>
            </w:rPr>
          </w:pPr>
          <w:r>
            <w:fldChar w:fldCharType="begin"/>
          </w:r>
          <w:r>
            <w:rPr>
              <w:sz w:val="18"/>
              <w:szCs w:val="18"/>
              <w:lang w:val="en-US" w:eastAsia="en-US"/>
            </w:rPr>
            <w:instrText xml:space="preserve"> TOC \t "Heading 1 Numbered,1,Heading 2 Numbered,2,Heading 3 Numbered,3" </w:instrText>
          </w:r>
          <w:r>
            <w:rPr>
              <w:sz w:val="18"/>
              <w:szCs w:val="18"/>
              <w:lang w:val="en-US" w:eastAsia="en-US"/>
            </w:rPr>
            <w:fldChar w:fldCharType="separate"/>
          </w:r>
          <w:r>
            <w:rPr>
              <w:sz w:val="18"/>
              <w:szCs w:val="18"/>
              <w:lang w:val="en-US" w:eastAsia="en-US"/>
            </w:rPr>
            <w:t>1.</w:t>
          </w:r>
          <w:r>
            <w:rPr>
              <w:caps w:val="false"/>
              <w:smallCaps w:val="false"/>
              <w:sz w:val="18"/>
              <w:szCs w:val="18"/>
              <w:lang w:val="en-US" w:eastAsia="en-US"/>
            </w:rPr>
            <w:tab/>
          </w:r>
          <w:r>
            <w:rPr>
              <w:sz w:val="18"/>
              <w:szCs w:val="18"/>
              <w:lang w:val="en-US" w:eastAsia="en-US"/>
            </w:rPr>
            <w:t>Introduction</w:t>
            <w:tab/>
          </w:r>
          <w:hyperlink w:anchor="__RefHeading___Toc151216973">
            <w:r>
              <w:rPr>
                <w:rStyle w:val="IndexLink"/>
                <w:sz w:val="18"/>
                <w:szCs w:val="18"/>
                <w:lang w:val="en-US" w:eastAsia="en-US"/>
              </w:rPr>
              <w:t>1</w:t>
            </w:r>
          </w:hyperlink>
        </w:p>
        <w:p>
          <w:pPr>
            <w:pStyle w:val="TOC1"/>
            <w:tabs>
              <w:tab w:val="clear" w:pos="720"/>
              <w:tab w:val="left" w:pos="440" w:leader="none"/>
              <w:tab w:val="right" w:pos="9019" w:leader="dot"/>
            </w:tabs>
            <w:rPr>
              <w:caps w:val="false"/>
              <w:smallCaps w:val="false"/>
              <w:sz w:val="18"/>
              <w:szCs w:val="18"/>
              <w:lang w:val="en-US" w:eastAsia="en-US"/>
            </w:rPr>
          </w:pPr>
          <w:r>
            <w:rPr>
              <w:sz w:val="18"/>
              <w:szCs w:val="18"/>
              <w:lang w:val="en-US" w:eastAsia="en-US"/>
            </w:rPr>
            <w:t>2.</w:t>
          </w:r>
          <w:r>
            <w:rPr>
              <w:caps w:val="false"/>
              <w:smallCaps w:val="false"/>
              <w:sz w:val="18"/>
              <w:szCs w:val="18"/>
              <w:lang w:val="en-US" w:eastAsia="en-US"/>
            </w:rPr>
            <w:tab/>
          </w:r>
          <w:r>
            <w:rPr>
              <w:sz w:val="18"/>
              <w:szCs w:val="18"/>
              <w:lang w:val="en-US" w:eastAsia="en-US"/>
            </w:rPr>
            <w:t>Critical deliverables</w:t>
            <w:tab/>
          </w:r>
          <w:hyperlink w:anchor="__RefHeading___Toc151216974">
            <w:r>
              <w:rPr>
                <w:rStyle w:val="IndexLink"/>
                <w:sz w:val="18"/>
                <w:szCs w:val="18"/>
                <w:lang w:val="en-US" w:eastAsia="en-US"/>
              </w:rPr>
              <w:t>1</w:t>
            </w:r>
          </w:hyperlink>
        </w:p>
        <w:p>
          <w:pPr>
            <w:pStyle w:val="TOC2"/>
            <w:tabs>
              <w:tab w:val="clear" w:pos="720"/>
              <w:tab w:val="left" w:pos="880" w:leader="none"/>
              <w:tab w:val="right" w:pos="9019" w:leader="dot"/>
            </w:tabs>
            <w:rPr>
              <w:sz w:val="18"/>
              <w:szCs w:val="18"/>
              <w:lang w:val="en-US" w:eastAsia="en-US"/>
            </w:rPr>
          </w:pPr>
          <w:r>
            <w:rPr>
              <w:sz w:val="18"/>
              <w:szCs w:val="18"/>
              <w:lang w:val="en-US" w:eastAsia="en-US"/>
            </w:rPr>
            <w:t>2.1</w:t>
            <w:tab/>
            <w:t>Transition Plan</w:t>
            <w:tab/>
          </w:r>
          <w:hyperlink w:anchor="__RefHeading___Toc151216975">
            <w:r>
              <w:rPr>
                <w:rStyle w:val="IndexLink"/>
                <w:sz w:val="18"/>
                <w:szCs w:val="18"/>
                <w:lang w:val="en-US" w:eastAsia="en-US"/>
              </w:rPr>
              <w:t>1</w:t>
            </w:r>
          </w:hyperlink>
        </w:p>
        <w:p>
          <w:pPr>
            <w:pStyle w:val="TOC2"/>
            <w:tabs>
              <w:tab w:val="clear" w:pos="720"/>
              <w:tab w:val="left" w:pos="880" w:leader="none"/>
              <w:tab w:val="right" w:pos="9019" w:leader="dot"/>
            </w:tabs>
            <w:rPr>
              <w:sz w:val="18"/>
              <w:szCs w:val="18"/>
              <w:lang w:val="en-US" w:eastAsia="en-US"/>
            </w:rPr>
          </w:pPr>
          <w:r>
            <w:rPr>
              <w:sz w:val="18"/>
              <w:szCs w:val="18"/>
              <w:lang w:val="en-US" w:eastAsia="en-US"/>
            </w:rPr>
            <w:t>2.2</w:t>
            <w:tab/>
            <w:t>HR Transfer plan</w:t>
            <w:tab/>
          </w:r>
          <w:hyperlink w:anchor="__RefHeading___Toc151216976">
            <w:r>
              <w:rPr>
                <w:rStyle w:val="IndexLink"/>
                <w:sz w:val="18"/>
                <w:szCs w:val="18"/>
                <w:lang w:val="en-US" w:eastAsia="en-US"/>
              </w:rPr>
              <w:t>1</w:t>
            </w:r>
          </w:hyperlink>
        </w:p>
        <w:p>
          <w:pPr>
            <w:pStyle w:val="TOC2"/>
            <w:tabs>
              <w:tab w:val="clear" w:pos="720"/>
              <w:tab w:val="left" w:pos="880" w:leader="none"/>
              <w:tab w:val="right" w:pos="9019" w:leader="dot"/>
            </w:tabs>
            <w:rPr>
              <w:sz w:val="18"/>
              <w:szCs w:val="18"/>
              <w:lang w:val="en-US" w:eastAsia="en-US"/>
            </w:rPr>
          </w:pPr>
          <w:r>
            <w:rPr>
              <w:sz w:val="18"/>
              <w:szCs w:val="18"/>
              <w:lang w:val="en-US" w:eastAsia="en-US"/>
            </w:rPr>
            <w:t>2.3</w:t>
            <w:tab/>
            <w:t>Policies and Procedures Manual (including security)</w:t>
            <w:tab/>
          </w:r>
          <w:hyperlink w:anchor="__RefHeading___Toc151216977">
            <w:r>
              <w:rPr>
                <w:rStyle w:val="IndexLink"/>
                <w:sz w:val="18"/>
                <w:szCs w:val="18"/>
                <w:lang w:val="en-US" w:eastAsia="en-US"/>
              </w:rPr>
              <w:t>2</w:t>
            </w:r>
          </w:hyperlink>
        </w:p>
        <w:p>
          <w:pPr>
            <w:pStyle w:val="TOC2"/>
            <w:tabs>
              <w:tab w:val="clear" w:pos="720"/>
              <w:tab w:val="left" w:pos="880" w:leader="none"/>
              <w:tab w:val="right" w:pos="9019" w:leader="dot"/>
            </w:tabs>
            <w:rPr>
              <w:sz w:val="18"/>
              <w:szCs w:val="18"/>
              <w:lang w:val="en-US" w:eastAsia="en-US"/>
            </w:rPr>
          </w:pPr>
          <w:r>
            <w:rPr>
              <w:sz w:val="18"/>
              <w:szCs w:val="18"/>
              <w:lang w:val="en-US" w:eastAsia="en-US"/>
            </w:rPr>
            <w:t>2.4</w:t>
            <w:tab/>
            <w:t>First Set of critical reports (CSL reporting)</w:t>
            <w:tab/>
          </w:r>
          <w:hyperlink w:anchor="__RefHeading___Toc151216978">
            <w:r>
              <w:rPr>
                <w:rStyle w:val="IndexLink"/>
                <w:sz w:val="18"/>
                <w:szCs w:val="18"/>
                <w:lang w:val="en-US" w:eastAsia="en-US"/>
              </w:rPr>
              <w:t>3</w:t>
            </w:r>
          </w:hyperlink>
        </w:p>
        <w:p>
          <w:pPr>
            <w:pStyle w:val="TOC2"/>
            <w:tabs>
              <w:tab w:val="clear" w:pos="720"/>
              <w:tab w:val="left" w:pos="880" w:leader="none"/>
              <w:tab w:val="right" w:pos="9019" w:leader="dot"/>
            </w:tabs>
            <w:rPr>
              <w:sz w:val="18"/>
              <w:szCs w:val="18"/>
              <w:lang w:val="en-US" w:eastAsia="en-US"/>
            </w:rPr>
          </w:pPr>
          <w:r>
            <w:rPr>
              <w:sz w:val="18"/>
              <w:szCs w:val="18"/>
              <w:lang w:val="en-US" w:eastAsia="en-US"/>
            </w:rPr>
            <w:t>2.5</w:t>
            <w:tab/>
            <w:t>Services Catalogue</w:t>
            <w:tab/>
          </w:r>
          <w:hyperlink w:anchor="__RefHeading___Toc151216979">
            <w:r>
              <w:rPr>
                <w:rStyle w:val="IndexLink"/>
                <w:sz w:val="18"/>
                <w:szCs w:val="18"/>
                <w:lang w:val="en-US" w:eastAsia="en-US"/>
              </w:rPr>
              <w:t>4</w:t>
            </w:r>
          </w:hyperlink>
        </w:p>
        <w:p>
          <w:pPr>
            <w:pStyle w:val="TOC2"/>
            <w:tabs>
              <w:tab w:val="clear" w:pos="720"/>
              <w:tab w:val="left" w:pos="880" w:leader="none"/>
              <w:tab w:val="right" w:pos="9019" w:leader="dot"/>
            </w:tabs>
            <w:rPr>
              <w:sz w:val="18"/>
              <w:szCs w:val="18"/>
              <w:lang w:val="en-US" w:eastAsia="en-US"/>
            </w:rPr>
          </w:pPr>
          <w:r>
            <w:rPr>
              <w:sz w:val="18"/>
              <w:szCs w:val="18"/>
              <w:lang w:val="en-US" w:eastAsia="en-US"/>
            </w:rPr>
            <w:t>2.6</w:t>
            <w:tab/>
            <w:t>Exit Plan Framework</w:t>
            <w:tab/>
          </w:r>
          <w:hyperlink w:anchor="__RefHeading___Toc151216980">
            <w:r>
              <w:rPr>
                <w:rStyle w:val="IndexLink"/>
                <w:sz w:val="18"/>
                <w:szCs w:val="18"/>
                <w:lang w:val="en-US" w:eastAsia="en-US"/>
              </w:rPr>
              <w:t>5</w:t>
            </w:r>
          </w:hyperlink>
          <w:r>
            <w:rPr>
              <w:rStyle w:val="IndexLink"/>
              <w:sz w:val="18"/>
              <w:szCs w:val="18"/>
              <w:lang w:val="en-US" w:eastAsia="en-US"/>
            </w:rPr>
            <w:fldChar w:fldCharType="end"/>
          </w:r>
        </w:p>
      </w:sdtContent>
    </w:sdt>
    <w:p>
      <w:pPr>
        <w:pStyle w:val="Normal"/>
        <w:rPr>
          <w:sz w:val="18"/>
          <w:szCs w:val="18"/>
          <w:lang w:val="fr-FR" w:eastAsia="en-US"/>
        </w:rPr>
      </w:pPr>
      <w:r>
        <w:rPr>
          <w:sz w:val="18"/>
          <w:szCs w:val="18"/>
          <w:lang w:val="fr-FR" w:eastAsia="en-US"/>
        </w:rPr>
      </w:r>
    </w:p>
    <w:p>
      <w:pPr>
        <w:sectPr>
          <w:headerReference w:type="default" r:id="rId4"/>
          <w:headerReference w:type="first" r:id="rId5"/>
          <w:footerReference w:type="default" r:id="rId6"/>
          <w:footerReference w:type="first" r:id="rId7"/>
          <w:type w:val="nextPage"/>
          <w:pgSz w:w="11906" w:h="16838"/>
          <w:pgMar w:left="1440" w:right="1440" w:gutter="0" w:header="720" w:top="1729" w:footer="851" w:bottom="1729"/>
          <w:pgNumType w:start="1" w:fmt="lowerRoman"/>
          <w:formProt w:val="false"/>
          <w:textDirection w:val="lrTb"/>
          <w:docGrid w:type="default" w:linePitch="360" w:charSpace="0"/>
        </w:sectPr>
        <w:pStyle w:val="Normal"/>
        <w:rPr>
          <w:sz w:val="18"/>
          <w:szCs w:val="18"/>
          <w:lang w:val="fr-FR"/>
        </w:rPr>
      </w:pPr>
      <w:r>
        <w:rPr>
          <w:sz w:val="18"/>
          <w:szCs w:val="18"/>
          <w:lang w:val="fr-FR"/>
        </w:rPr>
      </w:r>
    </w:p>
    <w:p>
      <w:pPr>
        <w:pStyle w:val="Heading1Numbered"/>
        <w:numPr>
          <w:ilvl w:val="0"/>
          <w:numId w:val="2"/>
        </w:numPr>
        <w:ind w:hanging="0" w:start="0"/>
        <w:jc w:val="both"/>
        <w:rPr>
          <w:rFonts w:ascii="Times New Roman" w:hAnsi="Times New Roman" w:cs="Times New Roman"/>
          <w:sz w:val="22"/>
          <w:szCs w:val="22"/>
        </w:rPr>
      </w:pPr>
      <w:bookmarkStart w:id="0" w:name="__RefHeading___Toc151216973"/>
      <w:bookmarkEnd w:id="0"/>
      <w:r>
        <w:rPr>
          <w:rFonts w:cs="Times New Roman" w:ascii="Times New Roman" w:hAnsi="Times New Roman"/>
          <w:sz w:val="22"/>
          <w:szCs w:val="22"/>
        </w:rPr>
        <w:t>Introduction</w:t>
      </w:r>
    </w:p>
    <w:p>
      <w:pPr>
        <w:pStyle w:val="BodyText"/>
        <w:jc w:val="both"/>
        <w:rPr/>
      </w:pPr>
      <w:r>
        <w:rPr>
          <w:szCs w:val="22"/>
        </w:rPr>
        <w:t xml:space="preserve">This Attachment to Exhibit 3 (Service Levels) sets forth certain obligations of the 2IM and the PST Suppliers regarding Critical Deliverables.  If the 2IM and the PST Suppliers fail to deliver to EuroBank any Critical Deliverables as described below, in format and content acceptable to EuroBank, the 2IM and the PST Suppliers shall provide EuroBank, a credit as set forth in Section 2 below of this Attachment. Unless otherwise specified below, the PST shall provide each Critical Deliverable set forth below on or before the number of months after the MOU Date (date when the Memorandum of Understanding is signed), Effective Date (ED) or Commencement Date (CD) shown. E.g. if CD is June 12, then DC plus one month is July 12. </w:t>
      </w:r>
      <w:r>
        <w:rPr>
          <w:i/>
          <w:szCs w:val="22"/>
        </w:rPr>
      </w:r>
      <w:r>
        <w:rPr>
          <w:szCs w:val="22"/>
        </w:rPr>
      </w:r>
    </w:p>
    <w:p>
      <w:pPr>
        <w:pStyle w:val="Heading1Numbered"/>
        <w:numPr>
          <w:ilvl w:val="0"/>
          <w:numId w:val="2"/>
        </w:numPr>
        <w:ind w:hanging="0" w:start="0"/>
        <w:jc w:val="both"/>
        <w:rPr>
          <w:rFonts w:ascii="Times New Roman" w:hAnsi="Times New Roman" w:cs="Times New Roman"/>
          <w:sz w:val="22"/>
          <w:szCs w:val="22"/>
        </w:rPr>
      </w:pPr>
      <w:bookmarkStart w:id="1" w:name="__RefHeading___Toc151216974"/>
      <w:bookmarkEnd w:id="1"/>
      <w:r>
        <w:rPr>
          <w:rFonts w:cs="Times New Roman" w:ascii="Times New Roman" w:hAnsi="Times New Roman"/>
          <w:sz w:val="22"/>
          <w:szCs w:val="22"/>
        </w:rPr>
        <w:t>Critical deliverables</w:t>
      </w:r>
    </w:p>
    <w:p>
      <w:pPr>
        <w:pStyle w:val="BodyText"/>
        <w:jc w:val="both"/>
        <w:rPr/>
      </w:pPr>
      <w:r>
        <w:rPr>
          <w:szCs w:val="22"/>
        </w:rPr>
        <w:t>If the PST Suppliers fail to deliver to EuroBank any Critical Deliverable as described below, in format and content acceptable to EuroBank, the PST suppliers, excluding the 2IM, shall pay a total penalty of € 250.000 (100k€ for VendorAOrigin and Vendor Gamma each, 50k€ for TelCo). For 2IM a separate € 50.000 is agreed on the same conditions for its part of the Critical Deliverables. EuroBank can only once claim the penalty with regard to Critical Deliverables. EuroBank needs to claim this penalty within two months after the agreed date for delivery of the Critical Deliverable being missed.</w:t>
      </w:r>
    </w:p>
    <w:p>
      <w:pPr>
        <w:pStyle w:val="BodyText"/>
        <w:jc w:val="both"/>
        <w:rPr/>
      </w:pPr>
      <w:r>
        <w:rPr>
          <w:szCs w:val="22"/>
        </w:rPr>
        <w:t>The delivery of the Critical Deliverables is dependent on interdependencies with EuroBank. These interdependencies, the required and related input from EuroBank and the associated timelines will be defined and agreed in close cooperation with EuroBank and described in the Transition Plan. The 2IM and the PST Suppliers cannot be held responsible if EuroBank does not meet to deliver (in a timely manner) the input required for the Critical Deliverables.</w:t>
      </w:r>
    </w:p>
    <w:p>
      <w:pPr>
        <w:pStyle w:val="BodyText"/>
        <w:jc w:val="both"/>
        <w:rPr/>
      </w:pPr>
      <w:r>
        <w:rPr>
          <w:szCs w:val="22"/>
        </w:rPr>
        <w:t>The 2IM will supervise the delivery of the Critical Deliverables by the PST Suppliers and, as part of the Acceptance process and in its expert opinion, will inform EuroBank of the quality of the Critical Deliverables. The PST Suppliers will send draft versions of their Critical Deliverables to the 2IM within to-be-agreed timeframes.</w:t>
      </w:r>
    </w:p>
    <w:p>
      <w:pPr>
        <w:pStyle w:val="BodyText"/>
        <w:jc w:val="both"/>
        <w:rPr>
          <w:szCs w:val="22"/>
        </w:rPr>
      </w:pPr>
      <w:r>
        <w:rPr>
          <w:szCs w:val="22"/>
        </w:rPr>
        <w:t xml:space="preserve">The timelines, which are stated in Attachment 3-A, are taken from Exhibit 30. Whenever there is doubt, the content of Exhibit 30 shall prevail. </w:t>
      </w:r>
    </w:p>
    <w:p>
      <w:pPr>
        <w:pStyle w:val="Heading2Numbered"/>
        <w:numPr>
          <w:ilvl w:val="1"/>
          <w:numId w:val="2"/>
        </w:numPr>
        <w:ind w:hanging="0" w:start="0"/>
        <w:jc w:val="both"/>
        <w:rPr>
          <w:rFonts w:ascii="Times New Roman" w:hAnsi="Times New Roman" w:cs="Times New Roman"/>
          <w:sz w:val="22"/>
          <w:szCs w:val="22"/>
        </w:rPr>
      </w:pPr>
      <w:bookmarkStart w:id="2" w:name="__RefHeading___Toc151216975"/>
      <w:r>
        <w:rPr>
          <w:rFonts w:cs="Times New Roman" w:ascii="Times New Roman" w:hAnsi="Times New Roman"/>
          <w:sz w:val="22"/>
          <w:szCs w:val="22"/>
        </w:rPr>
        <w:t>Transition Plan</w:t>
      </w:r>
      <w:bookmarkEnd w:id="2"/>
      <w:r>
        <w:rPr>
          <w:rFonts w:cs="Times New Roman" w:ascii="Times New Roman" w:hAnsi="Times New Roman"/>
          <w:sz w:val="22"/>
          <w:szCs w:val="22"/>
        </w:rPr>
        <w:t xml:space="preserve"> </w:t>
      </w:r>
    </w:p>
    <w:p>
      <w:pPr>
        <w:pStyle w:val="BodyText"/>
        <w:jc w:val="both"/>
        <w:rPr>
          <w:szCs w:val="22"/>
        </w:rPr>
      </w:pPr>
      <w:r>
        <w:rPr>
          <w:szCs w:val="22"/>
        </w:rPr>
        <w:t xml:space="preserve">The 2IM and the PST Suppliers shall design and write a Transition Plan agreed with EuroBank according to Exhibit 30. </w:t>
      </w:r>
    </w:p>
    <w:p>
      <w:pPr>
        <w:pStyle w:val="BodyText"/>
        <w:jc w:val="both"/>
        <w:rPr>
          <w:szCs w:val="22"/>
        </w:rPr>
      </w:pPr>
      <w:r>
        <w:rPr>
          <w:szCs w:val="22"/>
        </w:rPr>
        <w:t>(This Critical Deliverable has already been delivered by the 2IM and the PST Suppliers and have been validated by EuroBank 2 months after MOU Date.)</w:t>
      </w:r>
      <w:r>
        <w:rPr>
          <w:i/>
          <w:szCs w:val="22"/>
        </w:rPr>
      </w:r>
      <w:r>
        <w:rPr>
          <w:szCs w:val="22"/>
        </w:rPr>
      </w:r>
    </w:p>
    <w:p>
      <w:pPr>
        <w:pStyle w:val="Heading2Numbered"/>
        <w:numPr>
          <w:ilvl w:val="1"/>
          <w:numId w:val="2"/>
        </w:numPr>
        <w:ind w:hanging="0" w:start="0"/>
        <w:jc w:val="both"/>
        <w:rPr>
          <w:rFonts w:ascii="Times New Roman" w:hAnsi="Times New Roman" w:cs="Times New Roman"/>
          <w:sz w:val="22"/>
          <w:szCs w:val="22"/>
        </w:rPr>
      </w:pPr>
      <w:bookmarkStart w:id="3" w:name="__RefHeading___Toc151216976"/>
      <w:bookmarkEnd w:id="3"/>
      <w:r>
        <w:rPr>
          <w:rFonts w:cs="Times New Roman" w:ascii="Times New Roman" w:hAnsi="Times New Roman"/>
          <w:sz w:val="22"/>
          <w:szCs w:val="22"/>
        </w:rPr>
        <w:t>HR Transfer plan</w:t>
      </w:r>
    </w:p>
    <w:p>
      <w:pPr>
        <w:pStyle w:val="BodyText"/>
        <w:jc w:val="both"/>
        <w:rPr>
          <w:szCs w:val="22"/>
          <w:lang w:eastAsia="fr-FR"/>
        </w:rPr>
      </w:pPr>
      <w:r>
        <w:rPr>
          <w:szCs w:val="22"/>
          <w:lang w:eastAsia="fr-FR"/>
        </w:rPr>
        <w:t xml:space="preserve">An important part of the Transition Plan is a detailed HR transfer plan to perform all joint activities which enable a smooth people transfer from EuroBank to the PST Suppliers. Key activities are setting up the HR transfer office, HR communication (including workers council / union communication), terms &amp; conditions, payroll transfer and employment. </w:t>
      </w:r>
    </w:p>
    <w:p>
      <w:pPr>
        <w:pStyle w:val="BodyText"/>
        <w:jc w:val="both"/>
        <w:rPr>
          <w:szCs w:val="22"/>
        </w:rPr>
      </w:pPr>
      <w:r>
        <w:rPr>
          <w:szCs w:val="22"/>
          <w:lang w:eastAsia="fr-FR"/>
        </w:rPr>
        <w:t>(This Critical Deliverable has already been delivered by the 2IM and the PST Suppliers and have been validated by EuroBank 2 months after MOU.)</w:t>
      </w:r>
      <w:r>
        <w:rPr>
          <w:i/>
          <w:szCs w:val="22"/>
        </w:rPr>
      </w:r>
      <w:r>
        <w:rPr>
          <w:i/>
          <w:szCs w:val="22"/>
          <w:lang w:eastAsia="fr-FR"/>
        </w:rPr>
      </w:r>
      <w:r>
        <w:rPr>
          <w:szCs w:val="22"/>
          <w:lang w:eastAsia="fr-FR"/>
        </w:rPr>
      </w:r>
    </w:p>
    <w:p>
      <w:pPr>
        <w:pStyle w:val="Heading2Numbered"/>
        <w:numPr>
          <w:ilvl w:val="1"/>
          <w:numId w:val="2"/>
        </w:numPr>
        <w:ind w:hanging="0" w:start="0"/>
        <w:jc w:val="both"/>
        <w:rPr>
          <w:rFonts w:ascii="Times New Roman" w:hAnsi="Times New Roman" w:cs="Times New Roman"/>
          <w:sz w:val="22"/>
          <w:szCs w:val="22"/>
        </w:rPr>
      </w:pPr>
      <w:bookmarkStart w:id="4" w:name="__RefHeading___Toc151216977"/>
      <w:bookmarkEnd w:id="4"/>
      <w:r>
        <w:rPr>
          <w:rFonts w:cs="Times New Roman" w:ascii="Times New Roman" w:hAnsi="Times New Roman"/>
          <w:sz w:val="22"/>
          <w:szCs w:val="22"/>
        </w:rPr>
        <w:t>Policies and Procedures Manual (including security)</w:t>
      </w:r>
    </w:p>
    <w:p>
      <w:pPr>
        <w:pStyle w:val="BodyText"/>
        <w:jc w:val="both"/>
        <w:rPr/>
      </w:pPr>
      <w:r>
        <w:rPr>
          <w:szCs w:val="22"/>
        </w:rPr>
        <w:t>The 2IM and the PST Suppliers shall design, write, plan and deliver a Policies and Procedures Manual (including security) for the “to be” situation. This Critical Deliverable will be ready 7 months after CD.</w:t>
      </w:r>
    </w:p>
    <w:p>
      <w:pPr>
        <w:pStyle w:val="BodyText"/>
        <w:jc w:val="both"/>
        <w:rPr/>
      </w:pPr>
      <w:r>
        <w:rPr>
          <w:szCs w:val="22"/>
        </w:rPr>
        <w:t>The Acceptance Criteria require the Manual to include the following – it must:</w:t>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use ISO/IEC 17799 2000 (BS7799) outline format, allowing for easy gap-analysis against industry standards;</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conform to ISO IEC 90003 2004 for QA. (every single policy and or procedure in the manual must have version management table, including version number, date, distribution list, changes since previous version );</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be easily adaptable - the content of the Manual must be easy to change if required;</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define a security policy review and evaluation process;</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include a Policy Acceptance agreement (for example Policy changes will be announced 6 months before it gets in force and Operational Security Guidelines will be announced 3 months before it gets in force);</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include a statement to the effect that: ‘as long as there is no agreement on the content of a revised or  renewed Manual, the latest / current Manual will be followed’;</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define periodic information security Policy reviews;</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be approved by EuroBank by having a draft, a concept and a final version on which EuroBank can give its feedback;</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be available online .but only on need to know principles;</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each Policy must be classified according to the EuroBank data classification Policy;</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the Manual must include all applicable Policies and procedures relating to EuroBank’s service provision, such as adhering to ITIL principles (which may include but not be limited to technology-based Policies, such as: Firewall Policy and Network Security Policy.);</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identify if procedure or Policy is taken from an existing EuroBank, Vendor Beta, VendorA, Getronic and TelCo procedure or policy;</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identify if any procedure or Policy has been specially written for the Manual;</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include a procedure for the Escalation Procedure;</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if the Manual is to include operational elements, then they must adhere to EuroBank’s Operational Security Guidelines (OSG’s) which are, in general terms, the basis for technical implementation guidelines. The PST and / or 2IM will provide the OSG’s, if arranged by the PST/2IM:</w:t>
      </w:r>
    </w:p>
    <w:p>
      <w:pPr>
        <w:pStyle w:val="Normal"/>
        <w:tabs>
          <w:tab w:val="clear" w:pos="720"/>
          <w:tab w:val="left" w:pos="1260" w:leader="none"/>
        </w:tabs>
        <w:spacing w:before="0" w:after="0"/>
        <w:ind w:hanging="540" w:start="1800" w:end="0"/>
        <w:jc w:val="both"/>
        <w:rPr>
          <w:spacing w:val="13"/>
          <w:szCs w:val="22"/>
          <w:lang w:val="en-GB" w:eastAsia="nl-NL"/>
        </w:rPr>
      </w:pPr>
      <w:r>
        <w:rPr>
          <w:spacing w:val="13"/>
          <w:szCs w:val="22"/>
          <w:lang w:val="en-GB" w:eastAsia="nl-NL"/>
        </w:rPr>
      </w:r>
    </w:p>
    <w:p>
      <w:pPr>
        <w:pStyle w:val="Normal"/>
        <w:tabs>
          <w:tab w:val="clear" w:pos="720"/>
          <w:tab w:val="left" w:pos="1260" w:leader="none"/>
        </w:tabs>
        <w:spacing w:before="0" w:after="0"/>
        <w:ind w:hanging="540" w:start="1800" w:end="0"/>
        <w:jc w:val="both"/>
        <w:rPr>
          <w:bCs/>
          <w:color w:val="000000"/>
          <w:szCs w:val="22"/>
          <w:lang w:val="en-GB" w:eastAsia="nl-NL"/>
        </w:rPr>
      </w:pPr>
      <w:r>
        <w:rPr>
          <w:bCs/>
          <w:color w:val="000000"/>
          <w:szCs w:val="22"/>
          <w:lang w:val="en-GB" w:eastAsia="nl-NL"/>
        </w:rPr>
        <w:t>(i)</w:t>
        <w:tab/>
        <w:t>All new systems or technical components should have an OSG, similar like the current EuroBank situation;</w:t>
      </w:r>
    </w:p>
    <w:p>
      <w:pPr>
        <w:pStyle w:val="Normal"/>
        <w:tabs>
          <w:tab w:val="clear" w:pos="720"/>
          <w:tab w:val="left" w:pos="1260" w:leader="none"/>
        </w:tabs>
        <w:spacing w:before="0" w:after="0"/>
        <w:ind w:hanging="540" w:start="1800" w:end="0"/>
        <w:jc w:val="both"/>
        <w:rPr>
          <w:bCs/>
          <w:color w:val="000000"/>
          <w:szCs w:val="22"/>
          <w:lang w:val="en-GB" w:eastAsia="nl-NL"/>
        </w:rPr>
      </w:pPr>
      <w:r>
        <w:rPr>
          <w:bCs/>
          <w:color w:val="000000"/>
          <w:szCs w:val="22"/>
          <w:lang w:val="en-GB" w:eastAsia="nl-NL"/>
        </w:rPr>
      </w:r>
    </w:p>
    <w:p>
      <w:pPr>
        <w:pStyle w:val="Normal"/>
        <w:tabs>
          <w:tab w:val="clear" w:pos="720"/>
          <w:tab w:val="left" w:pos="1260" w:leader="none"/>
        </w:tabs>
        <w:spacing w:before="0" w:after="0"/>
        <w:ind w:hanging="540" w:start="1800" w:end="0"/>
        <w:jc w:val="both"/>
        <w:rPr>
          <w:bCs/>
          <w:color w:val="000000"/>
          <w:szCs w:val="22"/>
          <w:lang w:val="en-GB" w:eastAsia="nl-NL"/>
        </w:rPr>
      </w:pPr>
      <w:r>
        <w:rPr>
          <w:bCs/>
          <w:color w:val="000000"/>
          <w:szCs w:val="22"/>
          <w:lang w:val="en-GB" w:eastAsia="nl-NL"/>
        </w:rPr>
        <w:t>(ii)</w:t>
        <w:tab/>
        <w:t>If the implementation of the manufacturer is not followed, the supplier must state this in a separate paragraph and state this in the OSG;</w:t>
      </w:r>
    </w:p>
    <w:p>
      <w:pPr>
        <w:pStyle w:val="Normal"/>
        <w:tabs>
          <w:tab w:val="clear" w:pos="720"/>
          <w:tab w:val="left" w:pos="1260" w:leader="none"/>
        </w:tabs>
        <w:spacing w:before="0" w:after="0"/>
        <w:ind w:hanging="540" w:start="1800" w:end="0"/>
        <w:jc w:val="both"/>
        <w:rPr>
          <w:bCs/>
          <w:color w:val="000000"/>
          <w:szCs w:val="22"/>
          <w:lang w:val="en-GB" w:eastAsia="nl-NL"/>
        </w:rPr>
      </w:pPr>
      <w:r>
        <w:rPr>
          <w:bCs/>
          <w:color w:val="000000"/>
          <w:szCs w:val="22"/>
          <w:lang w:val="en-GB" w:eastAsia="nl-NL"/>
        </w:rPr>
      </w:r>
    </w:p>
    <w:p>
      <w:pPr>
        <w:pStyle w:val="Normal"/>
        <w:tabs>
          <w:tab w:val="clear" w:pos="720"/>
          <w:tab w:val="left" w:pos="1260" w:leader="none"/>
        </w:tabs>
        <w:spacing w:before="0" w:after="0"/>
        <w:ind w:hanging="540" w:start="1800" w:end="0"/>
        <w:jc w:val="both"/>
        <w:rPr/>
      </w:pPr>
      <w:r>
        <w:rPr>
          <w:bCs/>
          <w:color w:val="000000"/>
          <w:szCs w:val="22"/>
          <w:lang w:val="en-GB" w:eastAsia="nl-NL"/>
        </w:rPr>
        <w:t>(iii)</w:t>
        <w:tab/>
        <w:t>If implementation deviates from the Industrial Standards or Accounting Principles (used by external accountants), this must be stated in the OSG</w:t>
      </w:r>
    </w:p>
    <w:p>
      <w:pPr>
        <w:pStyle w:val="Normal"/>
        <w:tabs>
          <w:tab w:val="clear" w:pos="720"/>
          <w:tab w:val="left" w:pos="1260" w:leader="none"/>
        </w:tabs>
        <w:spacing w:before="0" w:after="0"/>
        <w:ind w:hanging="540" w:start="1800" w:end="0"/>
        <w:jc w:val="both"/>
        <w:rPr>
          <w:bCs/>
          <w:color w:val="000000"/>
          <w:szCs w:val="22"/>
          <w:lang w:val="en-GB" w:eastAsia="nl-NL"/>
        </w:rPr>
      </w:pPr>
      <w:r>
        <w:rPr>
          <w:bCs/>
          <w:color w:val="000000"/>
          <w:szCs w:val="22"/>
          <w:lang w:val="en-GB"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the relationship between the various Policies and procedures in the Manual should be clearly described;</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the described elements must be in line with applicable EuroBank’s internal Policies, standards and guidelines;</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the described elements must be in line with all Applicable Laws;</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procedures must clearly describe roles and responsibilities;</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every Policy and procedure must describe the target audience;</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the Policies and procedures in the Manual must contain clear statements regarding who is responsible, who is accountable and who should get informed;</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it must include Policies for disaster recovery and physical security;</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it must include a product map to match Policies with control objectives. (for example dealing with privileged (user) accounts and non-personal accounts (NPAs));</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szCs w:val="22"/>
          <w:lang w:eastAsia="nl-NL"/>
        </w:rPr>
        <w:t>it must include ‘user-targeted Policies’ such as: Email and Internet;</w:t>
      </w:r>
    </w:p>
    <w:p>
      <w:pPr>
        <w:pStyle w:val="Normal"/>
        <w:spacing w:before="0" w:after="0"/>
        <w:jc w:val="both"/>
        <w:rPr>
          <w:szCs w:val="22"/>
          <w:lang w:val="en-GB" w:eastAsia="nl-NL"/>
        </w:rPr>
      </w:pPr>
      <w:r>
        <w:rPr>
          <w:szCs w:val="22"/>
          <w:lang w:val="en-GB" w:eastAsia="nl-NL"/>
        </w:rPr>
      </w:r>
    </w:p>
    <w:p>
      <w:pPr>
        <w:pStyle w:val="Normal"/>
        <w:numPr>
          <w:ilvl w:val="0"/>
          <w:numId w:val="4"/>
        </w:numPr>
        <w:tabs>
          <w:tab w:val="clear" w:pos="720"/>
          <w:tab w:val="left" w:pos="1260" w:leader="none"/>
        </w:tabs>
        <w:spacing w:before="0" w:after="0"/>
        <w:ind w:hanging="540" w:start="1260" w:end="0"/>
        <w:jc w:val="both"/>
        <w:rPr>
          <w:szCs w:val="22"/>
          <w:lang w:eastAsia="nl-NL"/>
        </w:rPr>
      </w:pPr>
      <w:r>
        <w:rPr>
          <w:bCs/>
          <w:color w:val="000000"/>
          <w:szCs w:val="22"/>
          <w:lang w:val="en-GB" w:eastAsia="nl-NL"/>
        </w:rPr>
        <w:t>all items listed in Attachment 6B (</w:t>
      </w:r>
      <w:r>
        <w:rPr>
          <w:bCs/>
          <w:i/>
          <w:color w:val="000000"/>
          <w:szCs w:val="22"/>
          <w:lang w:val="en-GB" w:eastAsia="nl-NL"/>
        </w:rPr>
        <w:t>Policies &amp; Procedures Manual Content</w:t>
      </w:r>
      <w:r>
        <w:rPr>
          <w:bCs/>
          <w:color w:val="000000"/>
          <w:szCs w:val="22"/>
          <w:lang w:val="en-GB" w:eastAsia="nl-NL"/>
        </w:rPr>
        <w:t>)</w:t>
      </w:r>
    </w:p>
    <w:p>
      <w:pPr>
        <w:pStyle w:val="BodyText"/>
        <w:spacing w:before="120" w:after="120"/>
        <w:jc w:val="both"/>
        <w:rPr>
          <w:szCs w:val="22"/>
          <w:lang w:val="en-GB" w:eastAsia="nl-NL"/>
        </w:rPr>
      </w:pPr>
      <w:r>
        <w:rPr>
          <w:szCs w:val="22"/>
          <w:lang w:val="en-GB" w:eastAsia="nl-NL"/>
        </w:rPr>
      </w:r>
    </w:p>
    <w:p>
      <w:pPr>
        <w:pStyle w:val="Heading2Numbered"/>
        <w:numPr>
          <w:ilvl w:val="1"/>
          <w:numId w:val="2"/>
        </w:numPr>
        <w:ind w:hanging="0" w:start="0"/>
        <w:jc w:val="both"/>
        <w:rPr>
          <w:rFonts w:ascii="Times New Roman" w:hAnsi="Times New Roman" w:cs="Times New Roman"/>
          <w:sz w:val="22"/>
          <w:szCs w:val="22"/>
        </w:rPr>
      </w:pPr>
      <w:bookmarkStart w:id="5" w:name="__RefHeading___Toc151216978"/>
      <w:bookmarkEnd w:id="5"/>
      <w:r>
        <w:rPr>
          <w:rFonts w:cs="Times New Roman" w:ascii="Times New Roman" w:hAnsi="Times New Roman"/>
          <w:sz w:val="22"/>
          <w:szCs w:val="22"/>
        </w:rPr>
        <w:t>First set of critical reports templates (Critical Service Level reporting)</w:t>
      </w:r>
    </w:p>
    <w:p>
      <w:pPr>
        <w:pStyle w:val="BodyText"/>
        <w:jc w:val="both"/>
        <w:rPr>
          <w:szCs w:val="22"/>
        </w:rPr>
      </w:pPr>
      <w:r>
        <w:rPr>
          <w:szCs w:val="22"/>
        </w:rPr>
        <w:t xml:space="preserve">The 2IM and the PST Suppliers shall deliver the first set of the report templates including existing and exemplary measurements regarding the Critical Service Levels. This Critical Deliverable will be ready 5 months after CD. </w:t>
      </w:r>
    </w:p>
    <w:p>
      <w:pPr>
        <w:pStyle w:val="BodyText"/>
        <w:jc w:val="both"/>
        <w:rPr/>
      </w:pPr>
      <w:r>
        <w:rPr>
          <w:szCs w:val="22"/>
        </w:rPr>
        <w:t>The Acceptance Criteria are:</w:t>
      </w:r>
    </w:p>
    <w:p>
      <w:pPr>
        <w:pStyle w:val="Normal"/>
        <w:numPr>
          <w:ilvl w:val="0"/>
          <w:numId w:val="8"/>
        </w:numPr>
        <w:spacing w:before="0" w:after="0"/>
        <w:ind w:hanging="540" w:start="1260" w:end="0"/>
        <w:jc w:val="both"/>
        <w:rPr>
          <w:szCs w:val="22"/>
          <w:lang w:eastAsia="nl-NL"/>
        </w:rPr>
      </w:pPr>
      <w:r>
        <w:rPr>
          <w:szCs w:val="22"/>
          <w:lang w:eastAsia="nl-NL"/>
        </w:rPr>
        <w:t>for each Critical Service Level and its components, a separate report (e.g. 2.2 and 2.2.1 to 2.2.4) has to be provided (template and exemplary measurements). EuroBank will provide its requirements (with the structure based on Attachment 3-A (Service Levels Matrix)) ultimately at Commencement Date;</w:t>
      </w:r>
      <w:r>
        <w:rPr>
          <w:i/>
          <w:szCs w:val="22"/>
          <w:lang w:eastAsia="nl-NL"/>
        </w:rPr>
      </w:r>
      <w:r>
        <w:rPr>
          <w:szCs w:val="22"/>
          <w:lang w:eastAsia="nl-NL"/>
        </w:rPr>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8"/>
        </w:numPr>
        <w:spacing w:before="0" w:after="0"/>
        <w:ind w:hanging="540" w:start="1260" w:end="0"/>
        <w:jc w:val="both"/>
        <w:rPr>
          <w:szCs w:val="22"/>
          <w:lang w:eastAsia="nl-NL"/>
        </w:rPr>
      </w:pPr>
      <w:r>
        <w:rPr>
          <w:szCs w:val="22"/>
          <w:lang w:eastAsia="nl-NL"/>
        </w:rPr>
        <w:t>the templates of the reports must show very clear and explicit the expected and minimum service level and the actual performance, including the trend of the previous 12 months;</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8"/>
        </w:numPr>
        <w:spacing w:before="0" w:after="0"/>
        <w:ind w:hanging="540" w:start="1260" w:end="0"/>
        <w:jc w:val="both"/>
        <w:rPr>
          <w:szCs w:val="22"/>
          <w:lang w:eastAsia="nl-NL"/>
        </w:rPr>
      </w:pPr>
      <w:r>
        <w:rPr>
          <w:szCs w:val="22"/>
          <w:lang w:eastAsia="nl-NL"/>
        </w:rPr>
        <w:t>the templates of the reports must be in a common data exchange format;</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8"/>
        </w:numPr>
        <w:spacing w:before="0" w:after="0"/>
        <w:ind w:hanging="540" w:start="1260" w:end="0"/>
        <w:jc w:val="both"/>
        <w:rPr>
          <w:szCs w:val="22"/>
          <w:lang w:eastAsia="nl-NL"/>
        </w:rPr>
      </w:pPr>
      <w:r>
        <w:rPr>
          <w:szCs w:val="22"/>
          <w:lang w:eastAsia="nl-NL"/>
        </w:rPr>
        <w:t>this Critical Deliverable must be approved by EuroBank by having draft versions and a final version on which EuroBank can give its feedback;</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8"/>
        </w:numPr>
        <w:spacing w:before="0" w:after="0"/>
        <w:ind w:hanging="540" w:start="1260" w:end="0"/>
        <w:jc w:val="both"/>
        <w:rPr>
          <w:szCs w:val="22"/>
          <w:lang w:eastAsia="nl-NL"/>
        </w:rPr>
      </w:pPr>
      <w:r>
        <w:rPr>
          <w:szCs w:val="22"/>
          <w:lang w:eastAsia="nl-NL"/>
        </w:rPr>
        <w:t>the documents provided in the above stated process must have version management table, including version number, date, distribution list, changes since previous version;</w:t>
      </w:r>
    </w:p>
    <w:p>
      <w:pPr>
        <w:pStyle w:val="Normal"/>
        <w:tabs>
          <w:tab w:val="clear" w:pos="720"/>
          <w:tab w:val="left" w:pos="1260" w:leader="none"/>
        </w:tabs>
        <w:spacing w:before="0" w:after="0"/>
        <w:ind w:hanging="540" w:start="1260" w:end="0"/>
        <w:jc w:val="both"/>
        <w:rPr>
          <w:szCs w:val="22"/>
          <w:lang w:eastAsia="nl-NL"/>
        </w:rPr>
      </w:pPr>
      <w:r>
        <w:rPr>
          <w:szCs w:val="22"/>
          <w:lang w:eastAsia="nl-NL"/>
        </w:rPr>
      </w:r>
    </w:p>
    <w:p>
      <w:pPr>
        <w:pStyle w:val="Normal"/>
        <w:numPr>
          <w:ilvl w:val="0"/>
          <w:numId w:val="8"/>
        </w:numPr>
        <w:spacing w:before="0" w:after="0"/>
        <w:ind w:hanging="540" w:start="1260" w:end="0"/>
        <w:jc w:val="both"/>
        <w:rPr>
          <w:szCs w:val="22"/>
          <w:lang w:eastAsia="nl-NL"/>
        </w:rPr>
      </w:pPr>
      <w:r>
        <w:rPr>
          <w:szCs w:val="22"/>
          <w:lang w:eastAsia="nl-NL"/>
        </w:rPr>
        <w:t>this Critical Deliverable will be delivered to EuroBank by 2IM.</w:t>
      </w:r>
    </w:p>
    <w:p>
      <w:pPr>
        <w:pStyle w:val="Normal"/>
        <w:spacing w:before="0" w:after="0"/>
        <w:ind w:hanging="360" w:start="1080" w:end="0"/>
        <w:jc w:val="both"/>
        <w:rPr>
          <w:bCs/>
          <w:i/>
          <w:i/>
          <w:iCs/>
          <w:color w:val="000080"/>
          <w:szCs w:val="22"/>
          <w:lang w:eastAsia="nl-NL"/>
        </w:rPr>
      </w:pPr>
      <w:r>
        <w:rPr>
          <w:bCs/>
          <w:i/>
          <w:iCs/>
          <w:color w:val="000080"/>
          <w:szCs w:val="22"/>
          <w:lang w:eastAsia="nl-NL"/>
        </w:rPr>
      </w:r>
    </w:p>
    <w:p>
      <w:pPr>
        <w:pStyle w:val="Normal"/>
        <w:numPr>
          <w:ilvl w:val="0"/>
          <w:numId w:val="8"/>
        </w:numPr>
        <w:spacing w:before="0" w:after="0"/>
        <w:ind w:hanging="540" w:start="1260" w:end="0"/>
        <w:jc w:val="both"/>
        <w:rPr>
          <w:szCs w:val="22"/>
          <w:lang w:eastAsia="nl-NL"/>
        </w:rPr>
      </w:pPr>
      <w:r>
        <w:rPr>
          <w:szCs w:val="22"/>
          <w:lang w:eastAsia="nl-NL"/>
        </w:rPr>
        <w:t>the first set of the report templates including existing and exemplary measurements regarding the Critical Service Levels must be accompanied by a document describing in detail which tools are used per report and the tools used to gather the required data and how the measurements are derived from the data (with both the data and the measurements to come from the agreed PST Supplier’s Service Desk tool)</w:t>
      </w:r>
    </w:p>
    <w:p>
      <w:pPr>
        <w:pStyle w:val="Normal"/>
        <w:spacing w:before="0" w:after="0"/>
        <w:ind w:start="720" w:end="0"/>
        <w:jc w:val="both"/>
        <w:rPr>
          <w:bCs/>
          <w:iCs/>
          <w:color w:val="000080"/>
          <w:szCs w:val="22"/>
          <w:lang w:eastAsia="nl-NL"/>
        </w:rPr>
      </w:pPr>
      <w:r>
        <w:rPr>
          <w:bCs/>
          <w:iCs/>
          <w:color w:val="000080"/>
          <w:szCs w:val="22"/>
          <w:lang w:eastAsia="nl-NL"/>
        </w:rPr>
      </w:r>
    </w:p>
    <w:p>
      <w:pPr>
        <w:pStyle w:val="BodyText"/>
        <w:spacing w:before="120" w:after="120"/>
        <w:jc w:val="both"/>
        <w:rPr>
          <w:bCs/>
          <w:iCs/>
          <w:color w:val="000080"/>
          <w:szCs w:val="22"/>
          <w:lang w:eastAsia="nl-NL"/>
        </w:rPr>
      </w:pPr>
      <w:r>
        <w:rPr>
          <w:bCs/>
          <w:iCs/>
          <w:color w:val="000080"/>
          <w:szCs w:val="22"/>
          <w:lang w:eastAsia="nl-NL"/>
        </w:rPr>
      </w:r>
    </w:p>
    <w:p>
      <w:pPr>
        <w:pStyle w:val="Heading2Numbered"/>
        <w:numPr>
          <w:ilvl w:val="1"/>
          <w:numId w:val="2"/>
        </w:numPr>
        <w:ind w:hanging="0" w:start="0"/>
        <w:jc w:val="both"/>
        <w:rPr>
          <w:rFonts w:ascii="Times New Roman" w:hAnsi="Times New Roman" w:cs="Times New Roman"/>
          <w:sz w:val="22"/>
          <w:szCs w:val="22"/>
        </w:rPr>
      </w:pPr>
      <w:bookmarkStart w:id="6" w:name="__RefHeading___Toc151216979"/>
      <w:bookmarkEnd w:id="6"/>
      <w:r>
        <w:rPr>
          <w:rFonts w:cs="Times New Roman" w:ascii="Times New Roman" w:hAnsi="Times New Roman"/>
          <w:sz w:val="22"/>
          <w:szCs w:val="22"/>
        </w:rPr>
        <w:t>Services Catalogue</w:t>
      </w:r>
    </w:p>
    <w:p>
      <w:pPr>
        <w:pStyle w:val="BodyText"/>
        <w:jc w:val="both"/>
        <w:rPr/>
      </w:pPr>
      <w:r>
        <w:rPr>
          <w:szCs w:val="22"/>
        </w:rPr>
        <w:t>The 2IM and the PST Suppliers shall assess current Services offered to the business, populate a new Service Catalogue, get agreement of EuroBank and implement this Service Catalogue. The first release of the Service Catalogue will be ready 3 months after CD.</w:t>
      </w:r>
    </w:p>
    <w:p>
      <w:pPr>
        <w:pStyle w:val="BodyText"/>
        <w:jc w:val="both"/>
        <w:rPr/>
      </w:pPr>
      <w:r>
        <w:rPr>
          <w:szCs w:val="22"/>
        </w:rPr>
        <w:t>The Acceptance Criteria are:</w:t>
      </w:r>
    </w:p>
    <w:p>
      <w:pPr>
        <w:pStyle w:val="Normal"/>
        <w:numPr>
          <w:ilvl w:val="0"/>
          <w:numId w:val="3"/>
        </w:numPr>
        <w:tabs>
          <w:tab w:val="clear" w:pos="720"/>
          <w:tab w:val="left" w:pos="1260" w:leader="none"/>
        </w:tabs>
        <w:spacing w:before="0" w:after="0"/>
        <w:ind w:hanging="540" w:start="1260" w:end="0"/>
        <w:jc w:val="both"/>
        <w:rPr>
          <w:szCs w:val="22"/>
          <w:lang w:eastAsia="nl-NL"/>
        </w:rPr>
      </w:pPr>
      <w:r>
        <w:rPr>
          <w:szCs w:val="22"/>
          <w:lang w:eastAsia="nl-NL"/>
        </w:rPr>
        <w:t>the new Service Catalogue will cover all Services for which the PST Supplier(s) will be (partly) responsible;</w:t>
      </w:r>
    </w:p>
    <w:p>
      <w:pPr>
        <w:pStyle w:val="Normal"/>
        <w:tabs>
          <w:tab w:val="clear" w:pos="720"/>
          <w:tab w:val="left" w:pos="1260" w:leader="none"/>
        </w:tabs>
        <w:spacing w:before="0" w:after="0"/>
        <w:ind w:start="720" w:end="0"/>
        <w:jc w:val="both"/>
        <w:rPr>
          <w:szCs w:val="22"/>
          <w:lang w:eastAsia="nl-NL"/>
        </w:rPr>
      </w:pPr>
      <w:r>
        <w:rPr>
          <w:szCs w:val="22"/>
          <w:lang w:eastAsia="nl-NL"/>
        </w:rPr>
      </w:r>
    </w:p>
    <w:p>
      <w:pPr>
        <w:pStyle w:val="Normal"/>
        <w:numPr>
          <w:ilvl w:val="0"/>
          <w:numId w:val="3"/>
        </w:numPr>
        <w:tabs>
          <w:tab w:val="clear" w:pos="720"/>
          <w:tab w:val="left" w:pos="1260" w:leader="none"/>
        </w:tabs>
        <w:spacing w:before="0" w:after="0"/>
        <w:ind w:hanging="540" w:start="1260" w:end="0"/>
        <w:jc w:val="both"/>
        <w:rPr>
          <w:szCs w:val="22"/>
          <w:lang w:eastAsia="nl-NL"/>
        </w:rPr>
      </w:pPr>
      <w:r>
        <w:rPr>
          <w:szCs w:val="22"/>
          <w:lang w:eastAsia="nl-NL"/>
        </w:rPr>
        <w:t>the description of the Services must fit to the overall structure of the IT Infra Service Catalogue;</w:t>
      </w:r>
    </w:p>
    <w:p>
      <w:pPr>
        <w:pStyle w:val="Normal"/>
        <w:tabs>
          <w:tab w:val="clear" w:pos="720"/>
          <w:tab w:val="left" w:pos="1260" w:leader="none"/>
        </w:tabs>
        <w:spacing w:before="0" w:after="0"/>
        <w:ind w:start="720" w:end="0"/>
        <w:jc w:val="both"/>
        <w:rPr>
          <w:szCs w:val="22"/>
          <w:lang w:eastAsia="nl-NL"/>
        </w:rPr>
      </w:pPr>
      <w:r>
        <w:rPr>
          <w:szCs w:val="22"/>
          <w:lang w:eastAsia="nl-NL"/>
        </w:rPr>
      </w:r>
    </w:p>
    <w:p>
      <w:pPr>
        <w:pStyle w:val="Normal"/>
        <w:numPr>
          <w:ilvl w:val="0"/>
          <w:numId w:val="3"/>
        </w:numPr>
        <w:tabs>
          <w:tab w:val="clear" w:pos="720"/>
          <w:tab w:val="left" w:pos="1260" w:leader="none"/>
        </w:tabs>
        <w:spacing w:before="0" w:after="0"/>
        <w:ind w:hanging="540" w:start="1260" w:end="0"/>
        <w:jc w:val="both"/>
        <w:rPr>
          <w:szCs w:val="22"/>
          <w:lang w:eastAsia="nl-NL"/>
        </w:rPr>
      </w:pPr>
      <w:r>
        <w:rPr>
          <w:szCs w:val="22"/>
          <w:lang w:eastAsia="nl-NL"/>
        </w:rPr>
        <w:t>the description of the Services must match the details and standard topics used within the IT Infra Service Catalogue;</w:t>
      </w:r>
    </w:p>
    <w:p>
      <w:pPr>
        <w:pStyle w:val="Normal"/>
        <w:tabs>
          <w:tab w:val="clear" w:pos="720"/>
          <w:tab w:val="left" w:pos="1260" w:leader="none"/>
        </w:tabs>
        <w:spacing w:before="0" w:after="0"/>
        <w:ind w:start="720" w:end="0"/>
        <w:jc w:val="both"/>
        <w:rPr>
          <w:szCs w:val="22"/>
          <w:lang w:eastAsia="nl-NL"/>
        </w:rPr>
      </w:pPr>
      <w:r>
        <w:rPr>
          <w:szCs w:val="22"/>
          <w:lang w:eastAsia="nl-NL"/>
        </w:rPr>
      </w:r>
    </w:p>
    <w:p>
      <w:pPr>
        <w:pStyle w:val="Normal"/>
        <w:numPr>
          <w:ilvl w:val="0"/>
          <w:numId w:val="3"/>
        </w:numPr>
        <w:tabs>
          <w:tab w:val="clear" w:pos="720"/>
          <w:tab w:val="left" w:pos="1260" w:leader="none"/>
        </w:tabs>
        <w:spacing w:before="0" w:after="0"/>
        <w:ind w:hanging="540" w:start="1260" w:end="0"/>
        <w:jc w:val="both"/>
        <w:rPr>
          <w:szCs w:val="22"/>
          <w:lang w:eastAsia="nl-NL"/>
        </w:rPr>
      </w:pPr>
      <w:r>
        <w:rPr>
          <w:szCs w:val="22"/>
          <w:lang w:eastAsia="nl-NL"/>
        </w:rPr>
        <w:t>this Critical Deliverable must be approved by EuroBank by having a draft, a concept and a final version on which EuroBank can give its feedback;</w:t>
      </w:r>
    </w:p>
    <w:p>
      <w:pPr>
        <w:pStyle w:val="Normal"/>
        <w:tabs>
          <w:tab w:val="clear" w:pos="720"/>
          <w:tab w:val="left" w:pos="1260" w:leader="none"/>
        </w:tabs>
        <w:spacing w:before="0" w:after="0"/>
        <w:ind w:start="720" w:end="0"/>
        <w:jc w:val="both"/>
        <w:rPr>
          <w:szCs w:val="22"/>
          <w:lang w:eastAsia="nl-NL"/>
        </w:rPr>
      </w:pPr>
      <w:r>
        <w:rPr>
          <w:szCs w:val="22"/>
          <w:lang w:eastAsia="nl-NL"/>
        </w:rPr>
      </w:r>
    </w:p>
    <w:p>
      <w:pPr>
        <w:pStyle w:val="Normal"/>
        <w:numPr>
          <w:ilvl w:val="0"/>
          <w:numId w:val="3"/>
        </w:numPr>
        <w:tabs>
          <w:tab w:val="clear" w:pos="720"/>
          <w:tab w:val="left" w:pos="1260" w:leader="none"/>
        </w:tabs>
        <w:spacing w:before="0" w:after="0"/>
        <w:ind w:hanging="540" w:start="1260" w:end="0"/>
        <w:jc w:val="both"/>
        <w:rPr>
          <w:szCs w:val="22"/>
          <w:lang w:eastAsia="nl-NL"/>
        </w:rPr>
      </w:pPr>
      <w:r>
        <w:rPr>
          <w:szCs w:val="22"/>
          <w:lang w:eastAsia="nl-NL"/>
        </w:rPr>
        <w:t>the documents provided in the above stated process must have version management table, including version number, date, distribution list, changes since previous version;</w:t>
      </w:r>
    </w:p>
    <w:p>
      <w:pPr>
        <w:pStyle w:val="Normal"/>
        <w:tabs>
          <w:tab w:val="clear" w:pos="720"/>
          <w:tab w:val="left" w:pos="1260" w:leader="none"/>
        </w:tabs>
        <w:spacing w:before="0" w:after="0"/>
        <w:ind w:start="720" w:end="0"/>
        <w:jc w:val="both"/>
        <w:rPr>
          <w:szCs w:val="22"/>
          <w:lang w:eastAsia="nl-NL"/>
        </w:rPr>
      </w:pPr>
      <w:r>
        <w:rPr>
          <w:szCs w:val="22"/>
          <w:lang w:eastAsia="nl-NL"/>
        </w:rPr>
      </w:r>
    </w:p>
    <w:p>
      <w:pPr>
        <w:pStyle w:val="Normal"/>
        <w:numPr>
          <w:ilvl w:val="0"/>
          <w:numId w:val="3"/>
        </w:numPr>
        <w:tabs>
          <w:tab w:val="clear" w:pos="720"/>
          <w:tab w:val="left" w:pos="1260" w:leader="none"/>
        </w:tabs>
        <w:spacing w:before="0" w:after="0"/>
        <w:ind w:hanging="540" w:start="1260" w:end="0"/>
        <w:jc w:val="both"/>
        <w:rPr>
          <w:szCs w:val="22"/>
          <w:lang w:eastAsia="nl-NL"/>
        </w:rPr>
      </w:pPr>
      <w:r>
        <w:rPr>
          <w:szCs w:val="22"/>
          <w:lang w:eastAsia="nl-NL"/>
        </w:rPr>
        <w:t>this Critical Deliverable will be delivered to EuroBank by 2IM.</w:t>
      </w:r>
    </w:p>
    <w:p>
      <w:pPr>
        <w:pStyle w:val="BodyText"/>
        <w:spacing w:before="120" w:after="120"/>
        <w:jc w:val="both"/>
        <w:rPr>
          <w:szCs w:val="22"/>
          <w:lang w:eastAsia="nl-NL"/>
        </w:rPr>
      </w:pPr>
      <w:r>
        <w:rPr>
          <w:szCs w:val="22"/>
          <w:lang w:eastAsia="nl-NL"/>
        </w:rPr>
      </w:r>
    </w:p>
    <w:p>
      <w:pPr>
        <w:pStyle w:val="Heading2Numbered"/>
        <w:numPr>
          <w:ilvl w:val="1"/>
          <w:numId w:val="2"/>
        </w:numPr>
        <w:ind w:hanging="0" w:start="0"/>
        <w:jc w:val="both"/>
        <w:rPr>
          <w:rFonts w:ascii="Times New Roman" w:hAnsi="Times New Roman" w:cs="Times New Roman"/>
          <w:sz w:val="22"/>
          <w:szCs w:val="22"/>
        </w:rPr>
      </w:pPr>
      <w:bookmarkStart w:id="7" w:name="__RefHeading___Toc151216980"/>
      <w:bookmarkEnd w:id="7"/>
      <w:r>
        <w:rPr>
          <w:rFonts w:cs="Times New Roman" w:ascii="Times New Roman" w:hAnsi="Times New Roman"/>
          <w:sz w:val="22"/>
          <w:szCs w:val="22"/>
        </w:rPr>
        <w:t>Exit Plan Framework</w:t>
      </w:r>
    </w:p>
    <w:p>
      <w:pPr>
        <w:pStyle w:val="BodyText"/>
        <w:jc w:val="both"/>
        <w:rPr/>
      </w:pPr>
      <w:r>
        <w:rPr>
          <w:szCs w:val="22"/>
        </w:rPr>
        <w:t>The 2IM and the PST Suppliers will write a high level Exit Plan, or framework, as described in Exhibit 20 (Termination Assistance) that gives EuroBank an understanding of the activities which have to be performed when this MSA ends, for whatever reason. This Critical Deliverable will be ready 7 months after CD. If and when an Exit Plan has to be executed, the Plan will be detailed and finalized 6 months before the Exit Completion Date.</w:t>
      </w:r>
      <w:r>
        <w:rPr>
          <w:i/>
          <w:szCs w:val="22"/>
        </w:rPr>
      </w:r>
      <w:r>
        <w:rPr>
          <w:szCs w:val="22"/>
        </w:rPr>
      </w:r>
    </w:p>
    <w:p>
      <w:pPr>
        <w:pStyle w:val="BodyText"/>
        <w:jc w:val="both"/>
        <w:rPr/>
      </w:pPr>
      <w:r>
        <w:rPr>
          <w:szCs w:val="22"/>
        </w:rPr>
        <w:t>The Acceptance Criteria are:</w:t>
      </w:r>
    </w:p>
    <w:p>
      <w:pPr>
        <w:pStyle w:val="Normal"/>
        <w:numPr>
          <w:ilvl w:val="0"/>
          <w:numId w:val="6"/>
        </w:numPr>
        <w:tabs>
          <w:tab w:val="clear" w:pos="720"/>
          <w:tab w:val="left" w:pos="1260" w:leader="none"/>
        </w:tabs>
        <w:spacing w:before="0" w:after="0"/>
        <w:ind w:hanging="540" w:start="1260" w:end="0"/>
        <w:jc w:val="both"/>
        <w:rPr>
          <w:szCs w:val="22"/>
          <w:lang w:eastAsia="nl-NL"/>
        </w:rPr>
      </w:pPr>
      <w:r>
        <w:rPr>
          <w:szCs w:val="22"/>
          <w:lang w:eastAsia="nl-NL"/>
        </w:rPr>
        <w:t>To make the whole Services run-down process clear, the Exit Plan should be divided into the following sections:</w:t>
      </w:r>
    </w:p>
    <w:p>
      <w:pPr>
        <w:pStyle w:val="Normal"/>
        <w:spacing w:before="0" w:after="0"/>
        <w:ind w:start="360" w:end="0"/>
        <w:jc w:val="both"/>
        <w:rPr>
          <w:szCs w:val="22"/>
          <w:lang w:eastAsia="nl-NL"/>
        </w:rPr>
      </w:pPr>
      <w:r>
        <w:rPr>
          <w:szCs w:val="22"/>
          <w:lang w:eastAsia="nl-NL"/>
        </w:rPr>
      </w:r>
    </w:p>
    <w:p>
      <w:pPr>
        <w:pStyle w:val="Normal"/>
        <w:spacing w:before="0" w:after="0"/>
        <w:ind w:hanging="720" w:start="1980" w:end="0"/>
        <w:jc w:val="both"/>
        <w:rPr>
          <w:szCs w:val="22"/>
          <w:lang w:eastAsia="nl-NL"/>
        </w:rPr>
      </w:pPr>
      <w:r>
        <w:rPr>
          <w:szCs w:val="22"/>
          <w:lang w:eastAsia="nl-NL"/>
        </w:rPr>
        <w:t>(i)</w:t>
        <w:tab/>
        <w:t>As-Is Technical and Organisational Audit and Impact Analysis,</w:t>
      </w:r>
    </w:p>
    <w:p>
      <w:pPr>
        <w:pStyle w:val="Normal"/>
        <w:spacing w:before="0" w:after="0"/>
        <w:ind w:hanging="720" w:start="1980" w:end="0"/>
        <w:jc w:val="both"/>
        <w:rPr>
          <w:szCs w:val="22"/>
          <w:lang w:eastAsia="nl-NL"/>
        </w:rPr>
      </w:pPr>
      <w:r>
        <w:rPr>
          <w:szCs w:val="22"/>
          <w:lang w:eastAsia="nl-NL"/>
        </w:rPr>
        <w:t>(ii)</w:t>
        <w:tab/>
        <w:t>Design of the Withdrawal Process,</w:t>
      </w:r>
    </w:p>
    <w:p>
      <w:pPr>
        <w:pStyle w:val="Normal"/>
        <w:spacing w:before="0" w:after="0"/>
        <w:ind w:hanging="720" w:start="1980" w:end="0"/>
        <w:jc w:val="both"/>
        <w:rPr>
          <w:szCs w:val="22"/>
          <w:lang w:eastAsia="nl-NL"/>
        </w:rPr>
      </w:pPr>
      <w:r>
        <w:rPr>
          <w:szCs w:val="22"/>
          <w:lang w:eastAsia="nl-NL"/>
        </w:rPr>
        <w:t>(iii)</w:t>
        <w:tab/>
        <w:t>Withdrawal and Wrap-up,</w:t>
      </w:r>
    </w:p>
    <w:p>
      <w:pPr>
        <w:pStyle w:val="Normal"/>
        <w:spacing w:before="0" w:after="0"/>
        <w:ind w:hanging="720" w:start="1980" w:end="0"/>
        <w:jc w:val="both"/>
        <w:rPr/>
      </w:pPr>
      <w:r>
        <w:rPr>
          <w:szCs w:val="22"/>
          <w:lang w:eastAsia="nl-NL"/>
        </w:rPr>
        <w:t>(iv)</w:t>
        <w:tab/>
        <w:t>Risk Management.</w:t>
      </w:r>
    </w:p>
    <w:p>
      <w:pPr>
        <w:pStyle w:val="Normal"/>
        <w:spacing w:before="0" w:after="0"/>
        <w:jc w:val="both"/>
        <w:rPr>
          <w:szCs w:val="22"/>
          <w:lang w:eastAsia="nl-NL"/>
        </w:rPr>
      </w:pPr>
      <w:r>
        <w:rPr>
          <w:szCs w:val="22"/>
          <w:lang w:eastAsia="nl-NL"/>
        </w:rPr>
      </w:r>
    </w:p>
    <w:p>
      <w:pPr>
        <w:pStyle w:val="Normal"/>
        <w:numPr>
          <w:ilvl w:val="0"/>
          <w:numId w:val="6"/>
        </w:numPr>
        <w:tabs>
          <w:tab w:val="clear" w:pos="720"/>
          <w:tab w:val="left" w:pos="1260" w:leader="none"/>
        </w:tabs>
        <w:spacing w:before="0" w:after="0"/>
        <w:ind w:hanging="540" w:start="1260" w:end="0"/>
        <w:jc w:val="both"/>
        <w:rPr>
          <w:szCs w:val="22"/>
          <w:lang w:eastAsia="nl-NL"/>
        </w:rPr>
      </w:pPr>
      <w:r>
        <w:rPr>
          <w:szCs w:val="22"/>
          <w:lang w:eastAsia="nl-NL"/>
        </w:rPr>
        <w:t>The following topics should at least be addressed in the section headed “</w:t>
      </w:r>
      <w:r>
        <w:rPr>
          <w:i/>
          <w:szCs w:val="22"/>
          <w:lang w:eastAsia="nl-NL"/>
        </w:rPr>
        <w:t>As-Is Technical and Organisational Audit and Impact Analysis</w:t>
      </w:r>
      <w:r>
        <w:rPr>
          <w:szCs w:val="22"/>
          <w:lang w:eastAsia="nl-NL"/>
        </w:rPr>
        <w:t>”:</w:t>
      </w:r>
    </w:p>
    <w:p>
      <w:pPr>
        <w:pStyle w:val="Normal"/>
        <w:spacing w:before="0" w:after="0"/>
        <w:ind w:start="360" w:end="0"/>
        <w:jc w:val="both"/>
        <w:rPr>
          <w:szCs w:val="22"/>
          <w:lang w:eastAsia="nl-NL"/>
        </w:rPr>
      </w:pPr>
      <w:r>
        <w:rPr>
          <w:szCs w:val="22"/>
          <w:lang w:eastAsia="nl-NL"/>
        </w:rPr>
      </w:r>
    </w:p>
    <w:p>
      <w:pPr>
        <w:pStyle w:val="Normal"/>
        <w:spacing w:before="0" w:after="0"/>
        <w:ind w:hanging="720" w:start="1980" w:end="0"/>
        <w:jc w:val="both"/>
        <w:rPr/>
      </w:pPr>
      <w:r>
        <w:rPr>
          <w:szCs w:val="22"/>
          <w:lang w:eastAsia="nl-NL"/>
        </w:rPr>
        <w:t>(i)</w:t>
        <w:tab/>
        <w:t>time-critical activities should be prioritised,</w:t>
      </w:r>
    </w:p>
    <w:p>
      <w:pPr>
        <w:pStyle w:val="Normal"/>
        <w:spacing w:before="0" w:after="0"/>
        <w:ind w:hanging="720" w:start="1980" w:end="0"/>
        <w:jc w:val="both"/>
        <w:rPr/>
      </w:pPr>
      <w:r>
        <w:rPr>
          <w:szCs w:val="22"/>
          <w:lang w:eastAsia="nl-NL"/>
        </w:rPr>
        <w:t>(ii)</w:t>
        <w:tab/>
        <w:t>technical environment audit will identify all assets pertaining to the run-down of the operation,</w:t>
      </w:r>
    </w:p>
    <w:p>
      <w:pPr>
        <w:pStyle w:val="Normal"/>
        <w:spacing w:before="0" w:after="0"/>
        <w:ind w:hanging="720" w:start="1980" w:end="0"/>
        <w:jc w:val="both"/>
        <w:rPr/>
      </w:pPr>
      <w:r>
        <w:rPr>
          <w:szCs w:val="22"/>
          <w:lang w:eastAsia="nl-NL"/>
        </w:rPr>
        <w:t>(iii)</w:t>
        <w:tab/>
        <w:t>conduct staff situation assessment,</w:t>
      </w:r>
    </w:p>
    <w:p>
      <w:pPr>
        <w:pStyle w:val="Normal"/>
        <w:spacing w:before="0" w:after="0"/>
        <w:ind w:hanging="720" w:start="1980" w:end="0"/>
        <w:jc w:val="both"/>
        <w:rPr/>
      </w:pPr>
      <w:r>
        <w:rPr>
          <w:szCs w:val="22"/>
          <w:lang w:eastAsia="nl-NL"/>
        </w:rPr>
        <w:t>(iv)</w:t>
        <w:tab/>
        <w:t>identify all Third Party Vendors under contract with PST Supplier or EuroBank,</w:t>
      </w:r>
    </w:p>
    <w:p>
      <w:pPr>
        <w:pStyle w:val="Normal"/>
        <w:spacing w:before="0" w:after="0"/>
        <w:ind w:hanging="720" w:start="1980" w:end="0"/>
        <w:jc w:val="both"/>
        <w:rPr/>
      </w:pPr>
      <w:r>
        <w:rPr>
          <w:szCs w:val="22"/>
          <w:lang w:eastAsia="nl-NL"/>
        </w:rPr>
        <w:t>(v)</w:t>
        <w:tab/>
        <w:t>sort the processes &amp; procedures to be returned to EuroBank, and those to be kept by the PST Supplier,</w:t>
      </w:r>
    </w:p>
    <w:p>
      <w:pPr>
        <w:pStyle w:val="Normal"/>
        <w:spacing w:before="0" w:after="0"/>
        <w:ind w:hanging="720" w:start="1980" w:end="0"/>
        <w:jc w:val="both"/>
        <w:rPr/>
      </w:pPr>
      <w:r>
        <w:rPr>
          <w:szCs w:val="22"/>
          <w:lang w:eastAsia="nl-NL"/>
        </w:rPr>
        <w:t>(vi)</w:t>
        <w:tab/>
        <w:t xml:space="preserve">identify the overall impact of the run-down on the staff and other customers, </w:t>
      </w:r>
    </w:p>
    <w:p>
      <w:pPr>
        <w:pStyle w:val="Normal"/>
        <w:spacing w:before="0" w:after="0"/>
        <w:ind w:hanging="720" w:start="1980" w:end="0"/>
        <w:jc w:val="both"/>
        <w:rPr/>
      </w:pPr>
      <w:r>
        <w:rPr>
          <w:szCs w:val="22"/>
          <w:lang w:eastAsia="nl-NL"/>
        </w:rPr>
        <w:t>(vii)</w:t>
        <w:tab/>
        <w:t>identify all outstanding work, both requests and work in progress,</w:t>
      </w:r>
    </w:p>
    <w:p>
      <w:pPr>
        <w:pStyle w:val="Normal"/>
        <w:spacing w:before="0" w:after="0"/>
        <w:ind w:hanging="720" w:start="1980" w:end="0"/>
        <w:jc w:val="both"/>
        <w:rPr/>
      </w:pPr>
      <w:r>
        <w:rPr>
          <w:szCs w:val="22"/>
          <w:lang w:eastAsia="nl-NL"/>
        </w:rPr>
        <w:t>(viii)</w:t>
        <w:tab/>
        <w:t>the run-down Deliverables are to be identified, planned, and agreed on with EuroBank.</w:t>
      </w:r>
    </w:p>
    <w:p>
      <w:pPr>
        <w:pStyle w:val="Normal"/>
        <w:spacing w:before="0" w:after="0"/>
        <w:jc w:val="both"/>
        <w:rPr>
          <w:szCs w:val="22"/>
          <w:lang w:val="en-GB" w:eastAsia="nl-NL"/>
        </w:rPr>
      </w:pPr>
      <w:r>
        <w:rPr>
          <w:szCs w:val="22"/>
          <w:lang w:val="en-GB" w:eastAsia="nl-NL"/>
        </w:rPr>
      </w:r>
    </w:p>
    <w:p>
      <w:pPr>
        <w:pStyle w:val="Normal"/>
        <w:numPr>
          <w:ilvl w:val="0"/>
          <w:numId w:val="6"/>
        </w:numPr>
        <w:tabs>
          <w:tab w:val="clear" w:pos="720"/>
          <w:tab w:val="left" w:pos="1260" w:leader="none"/>
        </w:tabs>
        <w:spacing w:before="0" w:after="0"/>
        <w:ind w:hanging="540" w:start="1260" w:end="0"/>
        <w:jc w:val="both"/>
        <w:rPr>
          <w:szCs w:val="22"/>
          <w:lang w:eastAsia="nl-NL"/>
        </w:rPr>
      </w:pPr>
      <w:r>
        <w:rPr>
          <w:szCs w:val="22"/>
          <w:lang w:eastAsia="nl-NL"/>
        </w:rPr>
        <w:t>The following topics should at least be addressed in the section headed “</w:t>
      </w:r>
      <w:r>
        <w:rPr>
          <w:i/>
          <w:szCs w:val="22"/>
          <w:lang w:eastAsia="nl-NL"/>
        </w:rPr>
        <w:t>Design of the Withdrawal Process</w:t>
      </w:r>
      <w:r>
        <w:rPr>
          <w:szCs w:val="22"/>
          <w:lang w:eastAsia="nl-NL"/>
        </w:rPr>
        <w:t>”:</w:t>
      </w:r>
    </w:p>
    <w:p>
      <w:pPr>
        <w:pStyle w:val="Normal"/>
        <w:spacing w:before="0" w:after="0"/>
        <w:ind w:start="360" w:end="0"/>
        <w:jc w:val="both"/>
        <w:rPr>
          <w:szCs w:val="22"/>
          <w:lang w:eastAsia="nl-NL"/>
        </w:rPr>
      </w:pPr>
      <w:r>
        <w:rPr>
          <w:szCs w:val="22"/>
          <w:lang w:eastAsia="nl-NL"/>
        </w:rPr>
      </w:r>
    </w:p>
    <w:p>
      <w:pPr>
        <w:pStyle w:val="Normal"/>
        <w:spacing w:before="0" w:after="0"/>
        <w:ind w:hanging="720" w:start="1980" w:end="0"/>
        <w:jc w:val="both"/>
        <w:rPr/>
      </w:pPr>
      <w:r>
        <w:rPr>
          <w:szCs w:val="22"/>
          <w:lang w:eastAsia="nl-NL"/>
        </w:rPr>
        <w:t>(i)</w:t>
        <w:tab/>
        <w:t>determine which assets will be returned to EuroBank, and in what order,</w:t>
      </w:r>
    </w:p>
    <w:p>
      <w:pPr>
        <w:pStyle w:val="Normal"/>
        <w:spacing w:before="0" w:after="0"/>
        <w:ind w:hanging="720" w:start="1980" w:end="0"/>
        <w:jc w:val="both"/>
        <w:rPr/>
      </w:pPr>
      <w:r>
        <w:rPr>
          <w:szCs w:val="22"/>
          <w:lang w:eastAsia="nl-NL"/>
        </w:rPr>
        <w:t>(ii)</w:t>
        <w:tab/>
        <w:t>determine how to separate shared resources in order to ensure continuity for EuroBank,</w:t>
      </w:r>
    </w:p>
    <w:p>
      <w:pPr>
        <w:pStyle w:val="Normal"/>
        <w:spacing w:before="0" w:after="0"/>
        <w:ind w:hanging="720" w:start="1980" w:end="0"/>
        <w:jc w:val="both"/>
        <w:rPr/>
      </w:pPr>
      <w:r>
        <w:rPr>
          <w:szCs w:val="22"/>
          <w:lang w:eastAsia="nl-NL"/>
        </w:rPr>
        <w:t>(iii)</w:t>
        <w:tab/>
        <w:t>prepare the termination or transfer of Third Party Vendor contracts,</w:t>
      </w:r>
    </w:p>
    <w:p>
      <w:pPr>
        <w:pStyle w:val="Normal"/>
        <w:spacing w:before="0" w:after="0"/>
        <w:ind w:hanging="720" w:start="1980" w:end="0"/>
        <w:jc w:val="both"/>
        <w:rPr/>
      </w:pPr>
      <w:r>
        <w:rPr>
          <w:szCs w:val="22"/>
          <w:lang w:eastAsia="nl-NL"/>
        </w:rPr>
        <w:t>(iv)</w:t>
        <w:tab/>
        <w:t>HR plan regarding Affected Employees,</w:t>
      </w:r>
    </w:p>
    <w:p>
      <w:pPr>
        <w:pStyle w:val="Normal"/>
        <w:spacing w:before="0" w:after="0"/>
        <w:ind w:hanging="720" w:start="1980" w:end="0"/>
        <w:jc w:val="both"/>
        <w:rPr/>
      </w:pPr>
      <w:r>
        <w:rPr>
          <w:szCs w:val="22"/>
          <w:lang w:eastAsia="nl-NL"/>
        </w:rPr>
        <w:t>(v)</w:t>
        <w:tab/>
        <w:t>plan how PST Supplier procedures, tools, and documentation will be phased out.</w:t>
      </w:r>
    </w:p>
    <w:p>
      <w:pPr>
        <w:pStyle w:val="Normal"/>
        <w:spacing w:before="0" w:after="0"/>
        <w:jc w:val="both"/>
        <w:rPr>
          <w:szCs w:val="22"/>
          <w:lang w:val="en-GB" w:eastAsia="nl-NL"/>
        </w:rPr>
      </w:pPr>
      <w:r>
        <w:rPr>
          <w:szCs w:val="22"/>
          <w:lang w:val="en-GB" w:eastAsia="nl-NL"/>
        </w:rPr>
      </w:r>
    </w:p>
    <w:p>
      <w:pPr>
        <w:pStyle w:val="Normal"/>
        <w:numPr>
          <w:ilvl w:val="0"/>
          <w:numId w:val="6"/>
        </w:numPr>
        <w:tabs>
          <w:tab w:val="clear" w:pos="720"/>
          <w:tab w:val="left" w:pos="1260" w:leader="none"/>
        </w:tabs>
        <w:spacing w:before="0" w:after="0"/>
        <w:ind w:hanging="540" w:start="1260" w:end="0"/>
        <w:jc w:val="both"/>
        <w:rPr>
          <w:szCs w:val="22"/>
          <w:lang w:val="en-GB" w:eastAsia="nl-NL"/>
        </w:rPr>
      </w:pPr>
      <w:r>
        <w:rPr>
          <w:szCs w:val="22"/>
          <w:lang w:val="en-GB" w:eastAsia="nl-NL"/>
        </w:rPr>
        <w:t>The following topics should at least be addressed in the section headed “</w:t>
      </w:r>
      <w:r>
        <w:rPr>
          <w:i/>
          <w:szCs w:val="22"/>
          <w:lang w:val="en-GB" w:eastAsia="nl-NL"/>
        </w:rPr>
        <w:t>Withdrawal and Wrap-Up</w:t>
      </w:r>
      <w:r>
        <w:rPr>
          <w:szCs w:val="22"/>
          <w:lang w:val="en-GB" w:eastAsia="nl-NL"/>
        </w:rPr>
        <w:t>”:</w:t>
      </w:r>
    </w:p>
    <w:p>
      <w:pPr>
        <w:pStyle w:val="Normal"/>
        <w:spacing w:before="0" w:after="0"/>
        <w:ind w:start="360" w:end="0"/>
        <w:jc w:val="both"/>
        <w:rPr>
          <w:szCs w:val="22"/>
          <w:lang w:val="en-GB" w:eastAsia="nl-NL"/>
        </w:rPr>
      </w:pPr>
      <w:r>
        <w:rPr>
          <w:szCs w:val="22"/>
          <w:lang w:val="en-GB" w:eastAsia="nl-NL"/>
        </w:rPr>
      </w:r>
    </w:p>
    <w:p>
      <w:pPr>
        <w:pStyle w:val="Normal"/>
        <w:spacing w:before="0" w:after="0"/>
        <w:ind w:hanging="720" w:start="1980" w:end="0"/>
        <w:jc w:val="both"/>
        <w:rPr/>
      </w:pPr>
      <w:r>
        <w:rPr>
          <w:szCs w:val="22"/>
          <w:lang w:eastAsia="nl-NL"/>
        </w:rPr>
        <w:t>(i)</w:t>
        <w:tab/>
        <w:t>package and hand back EuroBank’s assets as appropriate,</w:t>
      </w:r>
    </w:p>
    <w:p>
      <w:pPr>
        <w:pStyle w:val="Normal"/>
        <w:spacing w:before="0" w:after="0"/>
        <w:ind w:hanging="720" w:start="1980" w:end="0"/>
        <w:jc w:val="both"/>
        <w:rPr/>
      </w:pPr>
      <w:r>
        <w:rPr>
          <w:szCs w:val="22"/>
          <w:lang w:eastAsia="nl-NL"/>
        </w:rPr>
        <w:t>(ii)</w:t>
        <w:tab/>
        <w:t>segregate and disconnect all relevant assets,</w:t>
      </w:r>
    </w:p>
    <w:p>
      <w:pPr>
        <w:pStyle w:val="Normal"/>
        <w:spacing w:before="0" w:after="0"/>
        <w:ind w:hanging="720" w:start="1980" w:end="0"/>
        <w:jc w:val="both"/>
        <w:rPr/>
      </w:pPr>
      <w:r>
        <w:rPr>
          <w:szCs w:val="22"/>
          <w:lang w:eastAsia="nl-NL"/>
        </w:rPr>
        <w:t>(iii)</w:t>
        <w:tab/>
        <w:t>Third Party Vendors are notified of the termination or hand-over of the contracts, novation processes initiated,</w:t>
      </w:r>
    </w:p>
    <w:p>
      <w:pPr>
        <w:pStyle w:val="Normal"/>
        <w:spacing w:before="0" w:after="0"/>
        <w:ind w:hanging="720" w:start="1980" w:end="0"/>
        <w:jc w:val="both"/>
        <w:rPr/>
      </w:pPr>
      <w:r>
        <w:rPr>
          <w:szCs w:val="22"/>
          <w:lang w:eastAsia="nl-NL"/>
        </w:rPr>
        <w:t>(iv)</w:t>
        <w:tab/>
        <w:t xml:space="preserve">HR transfer plans executed, </w:t>
      </w:r>
    </w:p>
    <w:p>
      <w:pPr>
        <w:pStyle w:val="Normal"/>
        <w:spacing w:before="0" w:after="0"/>
        <w:ind w:hanging="720" w:start="1980" w:end="0"/>
        <w:jc w:val="both"/>
        <w:rPr/>
      </w:pPr>
      <w:r>
        <w:rPr>
          <w:szCs w:val="22"/>
          <w:lang w:eastAsia="nl-NL"/>
        </w:rPr>
        <w:t>(v)</w:t>
        <w:tab/>
        <w:t xml:space="preserve">EuroBank and PST Supplier agree on which documentation should be returned, </w:t>
      </w:r>
    </w:p>
    <w:p>
      <w:pPr>
        <w:pStyle w:val="Normal"/>
        <w:spacing w:before="0" w:after="0"/>
        <w:ind w:hanging="720" w:start="1980" w:end="0"/>
        <w:jc w:val="both"/>
        <w:rPr/>
      </w:pPr>
      <w:r>
        <w:rPr>
          <w:szCs w:val="22"/>
          <w:lang w:eastAsia="nl-NL"/>
        </w:rPr>
        <w:t>(vi)</w:t>
        <w:tab/>
        <w:t>formal hand-over takes place, back to EuroBank or its new service supplier.</w:t>
      </w:r>
    </w:p>
    <w:p>
      <w:pPr>
        <w:pStyle w:val="Normal"/>
        <w:spacing w:before="0" w:after="0"/>
        <w:jc w:val="both"/>
        <w:rPr>
          <w:szCs w:val="22"/>
          <w:lang w:val="en-GB" w:eastAsia="nl-NL"/>
        </w:rPr>
      </w:pPr>
      <w:r>
        <w:rPr>
          <w:szCs w:val="22"/>
          <w:lang w:val="en-GB" w:eastAsia="nl-NL"/>
        </w:rPr>
      </w:r>
    </w:p>
    <w:p>
      <w:pPr>
        <w:pStyle w:val="Normal"/>
        <w:numPr>
          <w:ilvl w:val="0"/>
          <w:numId w:val="6"/>
        </w:numPr>
        <w:spacing w:before="0" w:after="0"/>
        <w:jc w:val="both"/>
        <w:rPr>
          <w:szCs w:val="22"/>
          <w:lang w:val="en-GB" w:eastAsia="nl-NL"/>
        </w:rPr>
      </w:pPr>
      <w:r>
        <w:rPr>
          <w:szCs w:val="22"/>
          <w:lang w:val="en-GB" w:eastAsia="nl-NL"/>
        </w:rPr>
        <w:t>The last section headed “Risk Management” should clearly state how Risk Management will be performed during the Services run-down process in order to ensure continuity for EuroBank. This section should be stated in operational terms and related processes and procedures should be defined and a plan for their execution included.</w:t>
      </w:r>
      <w:r>
        <w:rPr>
          <w:i/>
          <w:szCs w:val="22"/>
          <w:lang w:val="en-GB" w:eastAsia="nl-NL"/>
        </w:rPr>
      </w:r>
      <w:r>
        <w:rPr>
          <w:szCs w:val="22"/>
          <w:lang w:val="en-GB" w:eastAsia="nl-NL"/>
        </w:rPr>
      </w:r>
    </w:p>
    <w:p>
      <w:pPr>
        <w:pStyle w:val="Normal"/>
        <w:spacing w:before="0" w:after="0"/>
        <w:jc w:val="both"/>
        <w:rPr>
          <w:szCs w:val="22"/>
          <w:lang w:val="en-GB" w:eastAsia="nl-NL"/>
        </w:rPr>
      </w:pPr>
      <w:r>
        <w:rPr>
          <w:szCs w:val="22"/>
          <w:lang w:val="en-GB" w:eastAsia="nl-NL"/>
        </w:rPr>
      </w:r>
    </w:p>
    <w:p>
      <w:pPr>
        <w:pStyle w:val="BodyText"/>
        <w:spacing w:before="360" w:after="360"/>
        <w:jc w:val="both"/>
        <w:rPr>
          <w:szCs w:val="22"/>
          <w:lang w:val="en-GB" w:eastAsia="nl-NL"/>
        </w:rPr>
      </w:pPr>
      <w:r>
        <w:rPr>
          <w:szCs w:val="22"/>
          <w:lang w:val="en-GB" w:eastAsia="nl-NL"/>
        </w:rPr>
      </w:r>
    </w:p>
    <w:sectPr>
      <w:headerReference w:type="default" r:id="rId8"/>
      <w:headerReference w:type="first" r:id="rId9"/>
      <w:footerReference w:type="default" r:id="rId10"/>
      <w:footerReference w:type="first" r:id="rId11"/>
      <w:type w:val="nextPage"/>
      <w:pgSz w:w="11906" w:h="16838"/>
      <w:pgMar w:left="1440" w:right="1289" w:gutter="0" w:header="720" w:top="1729" w:footer="851" w:bottom="1729"/>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4680" w:leader="none"/>
        <w:tab w:val="right" w:pos="9000" w:leader="none"/>
      </w:tabs>
      <w:spacing w:before="120" w:after="120"/>
      <w:rPr/>
    </w:pPr>
    <w:r>
      <w:rPr>
        <w:sz w:val="16"/>
        <w:szCs w:val="16"/>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sz w:val="16"/>
        <w:szCs w:val="16"/>
      </w:rPr>
      <w:tab/>
      <w:t>30/11/06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4680" w:leader="none"/>
        <w:tab w:val="right" w:pos="9000" w:leader="none"/>
      </w:tabs>
      <w:spacing w:before="120" w:after="120"/>
      <w:rPr/>
    </w:pPr>
    <w:r>
      <w:rPr>
        <w:sz w:val="16"/>
        <w:szCs w:val="16"/>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r>
      <w:rPr>
        <w:sz w:val="16"/>
        <w:szCs w:val="16"/>
      </w:rPr>
      <w:tab/>
      <w:t>30/11/06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00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3-C (Critical Deliverables) Final v1.8.doc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left" w:pos="5580" w:leader="none"/>
      </w:tabs>
      <w:spacing w:before="120" w:after="120"/>
      <w:rPr/>
    </w:pPr>
    <w:r>
      <w:rPr>
        <w:sz w:val="20"/>
      </w:rPr>
      <w:drawing>
        <wp:inline distT="0" distB="0" distL="0" distR="0">
          <wp:extent cx="965200" cy="28448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3-C (Critical Deliverables) Final v1.8.doc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left" w:pos="5580" w:leader="none"/>
      </w:tabs>
      <w:spacing w:before="120" w:after="120"/>
      <w:rPr/>
    </w:pPr>
    <w:r>
      <w:rPr>
        <w:sz w:val="20"/>
      </w:rPr>
      <w:drawing>
        <wp:inline distT="0" distB="0" distL="0" distR="0">
          <wp:extent cx="965200" cy="28448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3-C (Critical Deliverables) Final v1.8.doc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1260"/>
        </w:tabs>
        <w:ind w:start="1260" w:hanging="720"/>
      </w:pPr>
      <w:rPr>
        <w:sz w:val="22"/>
        <w:szCs w:val="22"/>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lowerLetter"/>
      <w:lvlText w:val="%1)"/>
      <w:lvlJc w:val="start"/>
      <w:pPr>
        <w:tabs>
          <w:tab w:val="num" w:pos="1080"/>
        </w:tabs>
        <w:ind w:start="1080" w:hanging="360"/>
      </w:pPr>
      <w:rPr/>
    </w:lvl>
  </w:abstractNum>
  <w:abstractNum w:abstractNumId="4">
    <w:lvl w:ilvl="0">
      <w:start w:val="1"/>
      <w:numFmt w:val="lowerLetter"/>
      <w:lvlText w:val="%1)"/>
      <w:lvlJc w:val="start"/>
      <w:pPr>
        <w:tabs>
          <w:tab w:val="num" w:pos="720"/>
        </w:tabs>
        <w:ind w:start="720" w:hanging="360"/>
      </w:pPr>
      <w:rPr/>
    </w:lvl>
  </w:abstractNum>
  <w:abstractNum w:abstractNumId="5">
    <w:lvl w:ilvl="0">
      <w:start w:val="1"/>
      <w:numFmt w:val="bullet"/>
      <w:lvlText w:val=""/>
      <w:lvlJc w:val="start"/>
      <w:pPr>
        <w:tabs>
          <w:tab w:val="num" w:pos="1800"/>
        </w:tabs>
        <w:ind w:start="1800" w:hanging="360"/>
      </w:pPr>
      <w:rPr>
        <w:rFonts w:ascii="Symbol" w:hAnsi="Symbol" w:cs="Symbol" w:hint="default"/>
      </w:rPr>
    </w:lvl>
  </w:abstractNum>
  <w:abstractNum w:abstractNumId="6">
    <w:lvl w:ilvl="0">
      <w:start w:val="1"/>
      <w:numFmt w:val="lowerLetter"/>
      <w:lvlText w:val="%1)"/>
      <w:lvlJc w:val="start"/>
      <w:pPr>
        <w:tabs>
          <w:tab w:val="num" w:pos="1080"/>
        </w:tabs>
        <w:ind w:start="1080" w:hanging="360"/>
      </w:pPr>
      <w:rPr/>
    </w:lvl>
  </w:abstractNum>
  <w:abstractNum w:abstractNumId="7">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8">
    <w:lvl w:ilvl="0">
      <w:start w:val="1"/>
      <w:numFmt w:val="lowerLetter"/>
      <w:lvlText w:val="%1)"/>
      <w:lvlJc w:val="start"/>
      <w:pPr>
        <w:tabs>
          <w:tab w:val="num" w:pos="720"/>
        </w:tabs>
        <w:ind w:start="1260" w:hanging="360"/>
      </w:pPr>
      <w:rPr/>
    </w:lvl>
  </w:abstractNum>
  <w:abstractNum w:abstractNumId="9">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character" w:styleId="WW8Num1z0">
    <w:name w:val="WW8Num1z0"/>
    <w:qFormat/>
    <w:rPr>
      <w:rFonts w:ascii="Times New Roman Bold;Times New Roman" w:hAnsi="Times New Roman Bold;Times New Roman" w:cs="Times New Roman Bold;Times New Roman"/>
      <w:b/>
      <w:i w:val="false"/>
      <w:sz w:val="28"/>
    </w:rPr>
  </w:style>
  <w:style w:type="character" w:styleId="WW8Num1z1">
    <w:name w:val="WW8Num1z1"/>
    <w:qFormat/>
    <w:rPr>
      <w:sz w:val="22"/>
      <w:szCs w:val="22"/>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style>
  <w:style w:type="character" w:styleId="WW8Num3z1">
    <w:name w:val="WW8Num3z1"/>
    <w:qFormat/>
    <w:rPr>
      <w:rFonts w:ascii="Times New Roman" w:hAnsi="Times New Roman" w:eastAsia="Times New Roman" w:cs="Times New Roman"/>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Bold;Times New Roman" w:hAnsi="Times New Roman Bold;Times New Roman" w:cs="Times New Roman Bold;Times New Roman"/>
      <w:b/>
      <w:i w:val="false"/>
      <w:sz w:val="28"/>
    </w:rPr>
  </w:style>
  <w:style w:type="character" w:styleId="WW8Num9z2">
    <w:name w:val="WW8Num9z2"/>
    <w:qFormat/>
    <w:rPr>
      <w:rFonts w:ascii="Times New Roman" w:hAnsi="Times New Roman" w:cs="Times New Roman"/>
      <w:b/>
      <w:i w:val="false"/>
      <w:sz w:val="24"/>
    </w:rPr>
  </w:style>
  <w:style w:type="character" w:styleId="WW8Num9z4">
    <w:name w:val="WW8Num9z4"/>
    <w:qFormat/>
    <w:rPr>
      <w:rFonts w:ascii="Times New Roman" w:hAnsi="Times New Roman" w:cs="Times New Roman"/>
      <w:b w:val="false"/>
      <w:i w:val="false"/>
      <w:sz w:val="22"/>
    </w:rPr>
  </w:style>
  <w:style w:type="character" w:styleId="WW8Num9z8">
    <w:name w:val="WW8Num9z8"/>
    <w:qFormat/>
    <w:rPr/>
  </w:style>
  <w:style w:type="character" w:styleId="WW8Num10z0">
    <w:name w:val="WW8Num10z0"/>
    <w:qFormat/>
    <w:rPr/>
  </w:style>
  <w:style w:type="character" w:styleId="WW8Num11z0">
    <w:name w:val="WW8Num11z0"/>
    <w:qFormat/>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3z0">
    <w:name w:val="WW8Num13z0"/>
    <w:qFormat/>
    <w:rPr/>
  </w:style>
  <w:style w:type="character" w:styleId="WW8Num15z0">
    <w:name w:val="WW8Num15z0"/>
    <w:qFormat/>
    <w:rPr/>
  </w:style>
  <w:style w:type="character" w:styleId="WW8Num16z0">
    <w:name w:val="WW8Num16z0"/>
    <w:qFormat/>
    <w:rPr>
      <w:rFonts w:ascii="Times New Roman" w:hAnsi="Times New Roman" w:cs="Times New Roman"/>
      <w:b w:val="false"/>
      <w:i w:val="false"/>
      <w:color w:val="000000"/>
      <w:sz w:val="22"/>
    </w:rPr>
  </w:style>
  <w:style w:type="character" w:styleId="WW8Num16z1">
    <w:name w:val="WW8Num16z1"/>
    <w:qFormat/>
    <w:rPr>
      <w:rFonts w:ascii="Times New Roman" w:hAnsi="Times New Roman" w:cs="Times New Roman"/>
      <w:b w:val="false"/>
      <w:i w:val="false"/>
      <w:sz w:val="22"/>
    </w:rPr>
  </w:style>
  <w:style w:type="character" w:styleId="WW8Num16z4">
    <w:name w:val="WW8Num16z4"/>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CharChar">
    <w:name w:val=" Char Char"/>
    <w:basedOn w:val="DefaultParagraphFont"/>
    <w:qFormat/>
    <w:rPr>
      <w:sz w:val="22"/>
      <w:szCs w:val="24"/>
      <w:lang w:val="en-US" w:bidi="ar-SA"/>
    </w:rPr>
  </w:style>
  <w:style w:type="character" w:styleId="Strong">
    <w:name w:val="Strong"/>
    <w:basedOn w:val="DefaultParagraphFont"/>
    <w:qFormat/>
    <w:rPr>
      <w:b/>
      <w:bCs/>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caps/>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4">
    <w:name w:val="toc 4"/>
    <w:basedOn w:val="Normal"/>
    <w:next w:val="Normal"/>
    <w:pPr>
      <w:ind w:hanging="0" w:start="660" w:end="0"/>
    </w:pPr>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5"/>
      </w:numPr>
      <w:spacing w:before="240" w:after="240"/>
    </w:pPr>
    <w:rPr/>
  </w:style>
  <w:style w:type="paragraph" w:styleId="Bullet1Table">
    <w:name w:val="Bullet 1 Table"/>
    <w:basedOn w:val="Normal"/>
    <w:qFormat/>
    <w:pPr>
      <w:numPr>
        <w:ilvl w:val="0"/>
        <w:numId w:val="10"/>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9"/>
      </w:numPr>
    </w:pPr>
    <w:rPr>
      <w:bCs/>
    </w:rPr>
  </w:style>
  <w:style w:type="paragraph" w:styleId="TableLevel2Numbered">
    <w:name w:val="Table Level 2 Numbered"/>
    <w:basedOn w:val="Normal"/>
    <w:qFormat/>
    <w:pPr>
      <w:numPr>
        <w:ilvl w:val="0"/>
        <w:numId w:val="9"/>
      </w:numPr>
    </w:pPr>
    <w:rPr>
      <w:bCs/>
    </w:rPr>
  </w:style>
  <w:style w:type="paragraph" w:styleId="TableLevel3Numbered">
    <w:name w:val="Table Level 3 Numbered"/>
    <w:basedOn w:val="Normal"/>
    <w:qFormat/>
    <w:pPr>
      <w:numPr>
        <w:ilvl w:val="0"/>
        <w:numId w:val="9"/>
      </w:numPr>
    </w:pPr>
    <w:rPr/>
  </w:style>
  <w:style w:type="paragraph" w:styleId="TableLevel4Numbered">
    <w:name w:val="Table Level 4 Numbered"/>
    <w:basedOn w:val="Normal"/>
    <w:qFormat/>
    <w:pPr>
      <w:numPr>
        <w:ilvl w:val="0"/>
        <w:numId w:val="9"/>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7"/>
      </w:numPr>
      <w:spacing w:before="240" w:after="240"/>
    </w:pPr>
    <w:rPr/>
  </w:style>
  <w:style w:type="paragraph" w:styleId="BodyLevel2Numbered">
    <w:name w:val="Body Level 2 Numbered"/>
    <w:basedOn w:val="Normal"/>
    <w:qFormat/>
    <w:pPr>
      <w:numPr>
        <w:ilvl w:val="0"/>
        <w:numId w:val="7"/>
      </w:numPr>
      <w:spacing w:before="240" w:after="240"/>
    </w:pPr>
    <w:rPr/>
  </w:style>
  <w:style w:type="paragraph" w:styleId="BodyLevel3Numbered">
    <w:name w:val="Body Level 3 Numbered"/>
    <w:basedOn w:val="Normal"/>
    <w:qFormat/>
    <w:pPr>
      <w:numPr>
        <w:ilvl w:val="0"/>
        <w:numId w:val="7"/>
      </w:numPr>
      <w:spacing w:before="240" w:after="240"/>
    </w:pPr>
    <w:rPr/>
  </w:style>
  <w:style w:type="paragraph" w:styleId="BodyLevel4Numbered">
    <w:name w:val="Body Level 4 Numbered"/>
    <w:basedOn w:val="Normal"/>
    <w:qFormat/>
    <w:pPr>
      <w:numPr>
        <w:ilvl w:val="0"/>
        <w:numId w:val="7"/>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2006-11-30T18:29:00Z</dcterms:created>
  <dc:creator>Albert Jans</dc:creator>
  <dc:description/>
  <cp:keywords/>
  <dc:language>en-US</dc:language>
  <cp:lastModifiedBy>Stuart Johnson</cp:lastModifiedBy>
  <cp:lastPrinted>2006-05-11T12:11:00Z</cp:lastPrinted>
  <dcterms:modified xsi:type="dcterms:W3CDTF">2006-11-30T18:32:00Z</dcterms:modified>
  <cp:revision>5</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-1956462750</vt:r8>
  </property>
  <property fmtid="{D5CDD505-2E9C-101B-9397-08002B2CF9AE}" pid="3" name="_AuthorEmail">
    <vt:lpwstr>Albert.Jans@mail.ing.nl</vt:lpwstr>
  </property>
  <property fmtid="{D5CDD505-2E9C-101B-9397-08002B2CF9AE}" pid="4" name="_AuthorEmailDisplayName">
    <vt:lpwstr>Jans, A.H.A. (Albert)</vt:lpwstr>
  </property>
  <property fmtid="{D5CDD505-2E9C-101B-9397-08002B2CF9AE}" pid="5" name="_EmailSubject">
    <vt:lpwstr>Attachment 3-C (Critical Deliverables) AJ v1.21</vt:lpwstr>
  </property>
  <property fmtid="{D5CDD505-2E9C-101B-9397-08002B2CF9AE}" pid="6" name="_NewReviewCycle">
    <vt:lpwstr/>
  </property>
  <property fmtid="{D5CDD505-2E9C-101B-9397-08002B2CF9AE}" pid="7" name="_ReviewingToolsShownOnce">
    <vt:lpwstr/>
  </property>
</Properties>
</file>