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120"/>
        <w:rPr>
          <w:szCs w:val="22"/>
          <w:lang w:val="en-GB"/>
        </w:rPr>
      </w:pPr>
      <w:r>
        <w:rPr>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lang w:val="en-GB"/>
        </w:rPr>
      </w:pPr>
      <w:r>
        <w:rPr>
          <w:rFonts w:cs="Times New Roman"/>
          <w:lang w:val="en-GB"/>
        </w:rPr>
        <w:t>EuroBank</w:t>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t>Attachment 3-E</w:t>
      </w:r>
    </w:p>
    <w:p>
      <w:pPr>
        <w:pStyle w:val="Title"/>
        <w:rPr>
          <w:rFonts w:cs="Times New Roman"/>
          <w:lang w:val="en-GB"/>
        </w:rPr>
      </w:pPr>
      <w:r>
        <w:rPr>
          <w:rFonts w:cs="Times New Roman"/>
          <w:lang w:val="en-GB"/>
        </w:rPr>
      </w:r>
    </w:p>
    <w:p>
      <w:pPr>
        <w:pStyle w:val="Title"/>
        <w:rPr/>
      </w:pPr>
      <w:r>
        <w:rPr>
          <w:rFonts w:cs="Times New Roman"/>
          <w:lang w:val="en-GB"/>
        </w:rPr>
        <w:t>priority levels</w:t>
      </w:r>
    </w:p>
    <w:p>
      <w:pPr>
        <w:pStyle w:val="Normal"/>
        <w:jc w:val="center"/>
        <w:rPr/>
      </w:pPr>
      <w:r>
        <w:rPr>
          <w:b/>
          <w:bCs/>
          <w:sz w:val="28"/>
          <w:szCs w:val="28"/>
          <w:lang w:val="en-GB"/>
        </w:rPr>
        <w:t>Attachment to Exhibit 3 (</w:t>
      </w:r>
      <w:r>
        <w:rPr>
          <w:b/>
          <w:bCs/>
          <w:i/>
          <w:sz w:val="28"/>
          <w:szCs w:val="28"/>
          <w:lang w:val="en-GB"/>
        </w:rPr>
        <w:t>Service Levels</w:t>
      </w:r>
      <w:r>
        <w:rPr>
          <w:b/>
          <w:bCs/>
          <w:sz w:val="28"/>
          <w:szCs w:val="28"/>
          <w:lang w:val="en-GB"/>
        </w:rPr>
        <w:t>)</w:t>
      </w:r>
    </w:p>
    <w:p>
      <w:pPr>
        <w:pStyle w:val="Title"/>
        <w:rPr>
          <w:rFonts w:cs="Times New Roman"/>
          <w:b w:val="false"/>
          <w:bCs w:val="false"/>
          <w:sz w:val="22"/>
          <w:szCs w:val="22"/>
          <w:lang w:val="en-GB"/>
        </w:rPr>
      </w:pPr>
      <w:r>
        <w:rPr>
          <w:rFonts w:cs="Times New Roman"/>
          <w:b w:val="false"/>
          <w:bCs w:val="false"/>
          <w:sz w:val="22"/>
          <w:szCs w:val="22"/>
          <w:lang w:val="en-GB"/>
        </w:rPr>
      </w:r>
    </w:p>
    <w:p>
      <w:pPr>
        <w:pStyle w:val="Title"/>
        <w:rPr>
          <w:rFonts w:cs="Times New Roman"/>
          <w:sz w:val="22"/>
          <w:szCs w:val="22"/>
          <w:lang w:val="en-GB"/>
        </w:rPr>
      </w:pPr>
      <w:r>
        <w:rPr>
          <w:rFonts w:cs="Times New Roman"/>
          <w:sz w:val="22"/>
          <w:szCs w:val="22"/>
          <w:lang w:val="en-GB"/>
        </w:rPr>
      </w:r>
    </w:p>
    <w:p>
      <w:pPr>
        <w:pStyle w:val="Normal"/>
        <w:rPr>
          <w:rFonts w:cs="Times New Roman"/>
          <w:sz w:val="22"/>
          <w:szCs w:val="22"/>
          <w:lang w:val="en-GB"/>
        </w:rPr>
      </w:pPr>
      <w:r>
        <w:rPr>
          <w:rFonts w:cs="Times New Roman"/>
          <w:sz w:val="22"/>
          <w:szCs w:val="22"/>
          <w:lang w:val="en-GB"/>
        </w:rPr>
      </w:r>
    </w:p>
    <w:p>
      <w:pPr>
        <w:sectPr>
          <w:headerReference w:type="default" r:id="rId2"/>
          <w:footerReference w:type="default" r:id="rId3"/>
          <w:type w:val="nextPage"/>
          <w:pgSz w:w="11906" w:h="16838"/>
          <w:pgMar w:left="1440" w:right="1440" w:gutter="0" w:header="720" w:top="1728" w:footer="737" w:bottom="1728"/>
          <w:pgNumType w:fmt="decimal"/>
          <w:formProt w:val="false"/>
          <w:textDirection w:val="lrTb"/>
          <w:docGrid w:type="default" w:linePitch="360" w:charSpace="0"/>
        </w:sectPr>
        <w:pStyle w:val="Normal"/>
        <w:rPr>
          <w:szCs w:val="22"/>
          <w:lang w:val="en-GB"/>
        </w:rPr>
      </w:pPr>
      <w:r>
        <w:rPr>
          <w:szCs w:val="22"/>
          <w:lang w:val="en-GB"/>
        </w:rPr>
      </w:r>
    </w:p>
    <w:p>
      <w:pPr>
        <w:pStyle w:val="Subtitle"/>
        <w:rPr>
          <w:rFonts w:ascii="Times New Roman" w:hAnsi="Times New Roman" w:cs="Times New Roman"/>
          <w:sz w:val="18"/>
          <w:szCs w:val="18"/>
          <w:lang w:val="en-GB"/>
        </w:rPr>
      </w:pPr>
      <w:r>
        <w:rPr>
          <w:rFonts w:cs="Times New Roman" w:ascii="Times New Roman" w:hAnsi="Times New Roman"/>
          <w:sz w:val="18"/>
          <w:szCs w:val="18"/>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9019" w:leader="dot"/>
            </w:tabs>
            <w:rPr>
              <w:rFonts w:ascii="Times New Roman" w:hAnsi="Times New Roman" w:cs="Times New Roman"/>
              <w:b w:val="false"/>
              <w:bCs w:val="false"/>
              <w:caps w:val="false"/>
              <w:smallCaps w:val="false"/>
              <w:sz w:val="18"/>
              <w:szCs w:val="18"/>
              <w:lang w:val="en-US" w:eastAsia="en-US"/>
            </w:rPr>
          </w:pPr>
          <w:r>
            <w:fldChar w:fldCharType="begin"/>
          </w:r>
          <w:r>
            <w:rPr>
              <w:sz w:val="18"/>
              <w:szCs w:val="18"/>
              <w:rFonts w:cs="Times New Roman" w:ascii="Times New Roman" w:hAnsi="Times New Roman"/>
              <w:lang w:val="en-US" w:eastAsia="en-US"/>
            </w:rPr>
            <w:instrText xml:space="preserve"> TOC \o "3-3" \t "Heading 1 Numbered,1,Heading 2 Numbered,2" </w:instrText>
          </w:r>
          <w:r>
            <w:rPr>
              <w:sz w:val="18"/>
              <w:szCs w:val="18"/>
              <w:rFonts w:cs="Times New Roman" w:ascii="Times New Roman" w:hAnsi="Times New Roman"/>
              <w:lang w:val="en-US" w:eastAsia="en-US"/>
            </w:rPr>
            <w:fldChar w:fldCharType="separate"/>
          </w:r>
          <w:r>
            <w:rPr>
              <w:rFonts w:cs="Times New Roman" w:ascii="Times New Roman" w:hAnsi="Times New Roman"/>
              <w:sz w:val="18"/>
              <w:szCs w:val="18"/>
              <w:lang w:val="en-US" w:eastAsia="en-US"/>
            </w:rPr>
            <w:t>1.</w:t>
          </w:r>
          <w:r>
            <w:rPr>
              <w:rFonts w:cs="Times New Roman" w:ascii="Times New Roman" w:hAnsi="Times New Roman"/>
              <w:b w:val="false"/>
              <w:bCs w:val="false"/>
              <w:caps w:val="false"/>
              <w:smallCaps w:val="false"/>
              <w:sz w:val="18"/>
              <w:szCs w:val="18"/>
              <w:lang w:val="en-US" w:eastAsia="en-US"/>
            </w:rPr>
            <w:tab/>
          </w:r>
          <w:r>
            <w:rPr>
              <w:rFonts w:cs="Times New Roman" w:ascii="Times New Roman" w:hAnsi="Times New Roman"/>
              <w:sz w:val="18"/>
              <w:szCs w:val="18"/>
              <w:lang w:val="en-US" w:eastAsia="en-US"/>
            </w:rPr>
            <w:t>Introduction</w:t>
            <w:tab/>
          </w:r>
          <w:hyperlink w:anchor="__RefHeading___Toc148152976">
            <w:r>
              <w:rPr>
                <w:rStyle w:val="IndexLink"/>
                <w:rFonts w:cs="Times New Roman" w:ascii="Times New Roman" w:hAnsi="Times New Roman"/>
                <w:sz w:val="18"/>
                <w:szCs w:val="18"/>
                <w:lang w:val="en-US" w:eastAsia="en-US"/>
              </w:rPr>
              <w:t>1</w:t>
            </w:r>
          </w:hyperlink>
        </w:p>
        <w:p>
          <w:pPr>
            <w:pStyle w:val="TOC1"/>
            <w:tabs>
              <w:tab w:val="clear" w:pos="720"/>
              <w:tab w:val="left" w:pos="440" w:leader="none"/>
              <w:tab w:val="right" w:pos="9019" w:leader="dot"/>
            </w:tabs>
            <w:rPr>
              <w:rFonts w:ascii="Times New Roman" w:hAnsi="Times New Roman" w:cs="Times New Roman"/>
              <w:b w:val="false"/>
              <w:bCs w:val="false"/>
              <w:caps w:val="false"/>
              <w:smallCaps w:val="false"/>
              <w:sz w:val="18"/>
              <w:szCs w:val="18"/>
              <w:lang w:val="en-US" w:eastAsia="en-US"/>
            </w:rPr>
          </w:pPr>
          <w:r>
            <w:rPr>
              <w:rFonts w:cs="Times New Roman" w:ascii="Times New Roman" w:hAnsi="Times New Roman"/>
              <w:sz w:val="18"/>
              <w:szCs w:val="18"/>
              <w:lang w:val="en-CA" w:eastAsia="en-US"/>
            </w:rPr>
            <w:t>2.</w:t>
          </w:r>
          <w:r>
            <w:rPr>
              <w:rFonts w:cs="Times New Roman" w:ascii="Times New Roman" w:hAnsi="Times New Roman"/>
              <w:b w:val="false"/>
              <w:bCs w:val="false"/>
              <w:caps w:val="false"/>
              <w:smallCaps w:val="false"/>
              <w:sz w:val="18"/>
              <w:szCs w:val="18"/>
              <w:lang w:val="en-US" w:eastAsia="en-US"/>
            </w:rPr>
            <w:tab/>
          </w:r>
          <w:r>
            <w:rPr>
              <w:rFonts w:cs="Times New Roman" w:ascii="Times New Roman" w:hAnsi="Times New Roman"/>
              <w:sz w:val="18"/>
              <w:szCs w:val="18"/>
              <w:lang w:val="en-US" w:eastAsia="en-US"/>
            </w:rPr>
            <w:t>DESCRIPTION OF PRIORITY LEVELS</w:t>
            <w:tab/>
          </w:r>
          <w:hyperlink w:anchor="__RefHeading___Toc148152977">
            <w:r>
              <w:rPr>
                <w:rStyle w:val="IndexLink"/>
                <w:rFonts w:cs="Times New Roman" w:ascii="Times New Roman" w:hAnsi="Times New Roman"/>
                <w:sz w:val="18"/>
                <w:szCs w:val="18"/>
                <w:lang w:val="en-US" w:eastAsia="en-US"/>
              </w:rPr>
              <w:t>1</w:t>
            </w:r>
          </w:hyperlink>
        </w:p>
        <w:p>
          <w:pPr>
            <w:pStyle w:val="TOC2"/>
            <w:tabs>
              <w:tab w:val="clear" w:pos="720"/>
              <w:tab w:val="left" w:pos="660" w:leader="none"/>
              <w:tab w:val="right" w:pos="9019" w:leader="dot"/>
            </w:tabs>
            <w:rPr>
              <w:b w:val="false"/>
              <w:bCs w:val="false"/>
              <w:sz w:val="18"/>
              <w:szCs w:val="18"/>
              <w:lang w:val="en-US" w:eastAsia="en-US"/>
            </w:rPr>
          </w:pPr>
          <w:r>
            <w:rPr>
              <w:sz w:val="18"/>
              <w:szCs w:val="18"/>
              <w:lang w:val="en-GB" w:eastAsia="en-US"/>
            </w:rPr>
            <w:t>2.1.</w:t>
          </w:r>
          <w:r>
            <w:rPr>
              <w:b w:val="false"/>
              <w:bCs w:val="false"/>
              <w:sz w:val="18"/>
              <w:szCs w:val="18"/>
              <w:lang w:val="en-US" w:eastAsia="en-US"/>
            </w:rPr>
            <w:tab/>
          </w:r>
          <w:r>
            <w:rPr>
              <w:sz w:val="18"/>
              <w:szCs w:val="18"/>
              <w:lang w:val="en-GB" w:eastAsia="en-US"/>
            </w:rPr>
            <w:t>General</w:t>
          </w:r>
          <w:r>
            <w:rPr>
              <w:sz w:val="18"/>
              <w:szCs w:val="18"/>
              <w:lang w:val="en-US" w:eastAsia="en-US"/>
            </w:rPr>
            <w:tab/>
          </w:r>
          <w:hyperlink w:anchor="__RefHeading___Toc148152978">
            <w:r>
              <w:rPr>
                <w:rStyle w:val="IndexLink"/>
                <w:sz w:val="18"/>
                <w:szCs w:val="18"/>
                <w:lang w:val="en-US" w:eastAsia="en-US"/>
              </w:rPr>
              <w:t>1</w:t>
            </w:r>
          </w:hyperlink>
        </w:p>
        <w:p>
          <w:pPr>
            <w:pStyle w:val="TOC2"/>
            <w:tabs>
              <w:tab w:val="clear" w:pos="720"/>
              <w:tab w:val="left" w:pos="660" w:leader="none"/>
              <w:tab w:val="right" w:pos="9019" w:leader="dot"/>
            </w:tabs>
            <w:rPr>
              <w:b w:val="false"/>
              <w:bCs w:val="false"/>
              <w:sz w:val="18"/>
              <w:szCs w:val="18"/>
              <w:lang w:val="en-US" w:eastAsia="en-US"/>
            </w:rPr>
          </w:pPr>
          <w:r>
            <w:rPr>
              <w:sz w:val="18"/>
              <w:szCs w:val="18"/>
              <w:lang w:val="en-GB" w:eastAsia="en-US"/>
            </w:rPr>
            <w:t>2.2.</w:t>
          </w:r>
          <w:r>
            <w:rPr>
              <w:b w:val="false"/>
              <w:bCs w:val="false"/>
              <w:sz w:val="18"/>
              <w:szCs w:val="18"/>
              <w:lang w:val="en-US" w:eastAsia="en-US"/>
            </w:rPr>
            <w:tab/>
          </w:r>
          <w:r>
            <w:rPr>
              <w:sz w:val="18"/>
              <w:szCs w:val="18"/>
              <w:lang w:val="en-GB" w:eastAsia="en-US"/>
            </w:rPr>
            <w:t>Priority factors</w:t>
          </w:r>
          <w:r>
            <w:rPr>
              <w:sz w:val="18"/>
              <w:szCs w:val="18"/>
              <w:lang w:val="en-US" w:eastAsia="en-US"/>
            </w:rPr>
            <w:tab/>
          </w:r>
          <w:hyperlink w:anchor="__RefHeading___Toc148152979">
            <w:r>
              <w:rPr>
                <w:rStyle w:val="IndexLink"/>
                <w:sz w:val="18"/>
                <w:szCs w:val="18"/>
                <w:lang w:val="en-US" w:eastAsia="en-US"/>
              </w:rPr>
              <w:t>1</w:t>
            </w:r>
          </w:hyperlink>
        </w:p>
        <w:p>
          <w:pPr>
            <w:pStyle w:val="TOC2"/>
            <w:tabs>
              <w:tab w:val="clear" w:pos="720"/>
              <w:tab w:val="left" w:pos="660" w:leader="none"/>
              <w:tab w:val="right" w:pos="9019" w:leader="dot"/>
            </w:tabs>
            <w:rPr>
              <w:b w:val="false"/>
              <w:bCs w:val="false"/>
              <w:sz w:val="18"/>
              <w:szCs w:val="18"/>
              <w:lang w:val="en-US" w:eastAsia="en-US"/>
            </w:rPr>
          </w:pPr>
          <w:r>
            <w:rPr>
              <w:sz w:val="18"/>
              <w:szCs w:val="18"/>
              <w:lang w:val="en-GB" w:eastAsia="en-US"/>
            </w:rPr>
            <w:t>2.3.</w:t>
          </w:r>
          <w:r>
            <w:rPr>
              <w:b w:val="false"/>
              <w:bCs w:val="false"/>
              <w:sz w:val="18"/>
              <w:szCs w:val="18"/>
              <w:lang w:val="en-US" w:eastAsia="en-US"/>
            </w:rPr>
            <w:tab/>
          </w:r>
          <w:r>
            <w:rPr>
              <w:sz w:val="18"/>
              <w:szCs w:val="18"/>
              <w:lang w:val="en-GB" w:eastAsia="en-US"/>
            </w:rPr>
            <w:t>Priority definitions</w:t>
          </w:r>
          <w:r>
            <w:rPr>
              <w:sz w:val="18"/>
              <w:szCs w:val="18"/>
              <w:lang w:val="en-US" w:eastAsia="en-US"/>
            </w:rPr>
            <w:tab/>
          </w:r>
          <w:hyperlink w:anchor="__RefHeading___Toc148152980">
            <w:r>
              <w:rPr>
                <w:rStyle w:val="IndexLink"/>
                <w:sz w:val="18"/>
                <w:szCs w:val="18"/>
                <w:lang w:val="en-US" w:eastAsia="en-US"/>
              </w:rPr>
              <w:t>2</w:t>
            </w:r>
          </w:hyperlink>
        </w:p>
        <w:p>
          <w:pPr>
            <w:pStyle w:val="TOC1"/>
            <w:tabs>
              <w:tab w:val="clear" w:pos="720"/>
              <w:tab w:val="left" w:pos="440" w:leader="none"/>
              <w:tab w:val="right" w:pos="9019" w:leader="dot"/>
            </w:tabs>
            <w:rPr>
              <w:rFonts w:ascii="Times New Roman" w:hAnsi="Times New Roman" w:cs="Times New Roman"/>
              <w:b w:val="false"/>
              <w:bCs w:val="false"/>
              <w:caps w:val="false"/>
              <w:smallCaps w:val="false"/>
              <w:sz w:val="18"/>
              <w:szCs w:val="18"/>
              <w:lang w:val="en-US" w:eastAsia="en-US"/>
            </w:rPr>
          </w:pPr>
          <w:r>
            <w:rPr>
              <w:rFonts w:cs="Times New Roman" w:ascii="Times New Roman" w:hAnsi="Times New Roman"/>
              <w:sz w:val="18"/>
              <w:szCs w:val="18"/>
              <w:lang w:val="en-US" w:eastAsia="en-US"/>
            </w:rPr>
            <w:t>3.</w:t>
          </w:r>
          <w:r>
            <w:rPr>
              <w:rFonts w:cs="Times New Roman" w:ascii="Times New Roman" w:hAnsi="Times New Roman"/>
              <w:b w:val="false"/>
              <w:bCs w:val="false"/>
              <w:caps w:val="false"/>
              <w:smallCaps w:val="false"/>
              <w:sz w:val="18"/>
              <w:szCs w:val="18"/>
              <w:lang w:val="en-US" w:eastAsia="en-US"/>
            </w:rPr>
            <w:tab/>
          </w:r>
          <w:r>
            <w:rPr>
              <w:rFonts w:cs="Times New Roman" w:ascii="Times New Roman" w:hAnsi="Times New Roman"/>
              <w:sz w:val="18"/>
              <w:szCs w:val="18"/>
              <w:lang w:val="en-US" w:eastAsia="en-US"/>
            </w:rPr>
            <w:t>incident time to fix matrix</w:t>
            <w:tab/>
          </w:r>
          <w:hyperlink w:anchor="__RefHeading___Toc148152981">
            <w:r>
              <w:rPr>
                <w:rStyle w:val="IndexLink"/>
                <w:rFonts w:cs="Times New Roman" w:ascii="Times New Roman" w:hAnsi="Times New Roman"/>
                <w:sz w:val="18"/>
                <w:szCs w:val="18"/>
                <w:lang w:val="en-US" w:eastAsia="en-US"/>
              </w:rPr>
              <w:t>3</w:t>
            </w:r>
          </w:hyperlink>
        </w:p>
        <w:p>
          <w:pPr>
            <w:pStyle w:val="TOC1"/>
            <w:tabs>
              <w:tab w:val="clear" w:pos="720"/>
              <w:tab w:val="left" w:pos="440" w:leader="none"/>
              <w:tab w:val="right" w:pos="9019" w:leader="dot"/>
            </w:tabs>
            <w:rPr>
              <w:rFonts w:ascii="Times New Roman" w:hAnsi="Times New Roman" w:cs="Times New Roman"/>
              <w:b w:val="false"/>
              <w:bCs w:val="false"/>
              <w:caps w:val="false"/>
              <w:smallCaps w:val="false"/>
              <w:sz w:val="18"/>
              <w:szCs w:val="18"/>
              <w:lang w:val="en-US" w:eastAsia="en-US"/>
            </w:rPr>
          </w:pPr>
          <w:r>
            <w:rPr>
              <w:rFonts w:cs="Times New Roman" w:ascii="Times New Roman" w:hAnsi="Times New Roman"/>
              <w:sz w:val="18"/>
              <w:szCs w:val="18"/>
              <w:lang w:val="en-US" w:eastAsia="en-US"/>
            </w:rPr>
            <w:t>4.</w:t>
          </w:r>
          <w:r>
            <w:rPr>
              <w:rFonts w:cs="Times New Roman" w:ascii="Times New Roman" w:hAnsi="Times New Roman"/>
              <w:b w:val="false"/>
              <w:bCs w:val="false"/>
              <w:caps w:val="false"/>
              <w:smallCaps w:val="false"/>
              <w:sz w:val="18"/>
              <w:szCs w:val="18"/>
              <w:lang w:val="en-US" w:eastAsia="en-US"/>
            </w:rPr>
            <w:tab/>
          </w:r>
          <w:r>
            <w:rPr>
              <w:rFonts w:cs="Times New Roman" w:ascii="Times New Roman" w:hAnsi="Times New Roman"/>
              <w:sz w:val="18"/>
              <w:szCs w:val="18"/>
              <w:lang w:val="en-US" w:eastAsia="en-US"/>
            </w:rPr>
            <w:t>Escalation procedures</w:t>
            <w:tab/>
          </w:r>
          <w:hyperlink w:anchor="__RefHeading___Toc148152982">
            <w:r>
              <w:rPr>
                <w:rStyle w:val="IndexLink"/>
                <w:rFonts w:cs="Times New Roman" w:ascii="Times New Roman" w:hAnsi="Times New Roman"/>
                <w:sz w:val="18"/>
                <w:szCs w:val="18"/>
                <w:lang w:val="en-US" w:eastAsia="en-US"/>
              </w:rPr>
              <w:t>3</w:t>
            </w:r>
          </w:hyperlink>
        </w:p>
        <w:p>
          <w:pPr>
            <w:pStyle w:val="TOC2"/>
            <w:tabs>
              <w:tab w:val="clear" w:pos="720"/>
              <w:tab w:val="left" w:pos="660" w:leader="none"/>
              <w:tab w:val="right" w:pos="9019" w:leader="dot"/>
            </w:tabs>
            <w:rPr>
              <w:b w:val="false"/>
              <w:bCs w:val="false"/>
              <w:sz w:val="18"/>
              <w:szCs w:val="18"/>
              <w:lang w:val="en-US" w:eastAsia="en-US"/>
            </w:rPr>
          </w:pPr>
          <w:r>
            <w:rPr>
              <w:sz w:val="18"/>
              <w:szCs w:val="18"/>
              <w:lang w:val="en-GB" w:eastAsia="en-US"/>
            </w:rPr>
            <w:t>4.1.</w:t>
          </w:r>
          <w:r>
            <w:rPr>
              <w:b w:val="false"/>
              <w:bCs w:val="false"/>
              <w:sz w:val="18"/>
              <w:szCs w:val="18"/>
              <w:lang w:val="en-US" w:eastAsia="en-US"/>
            </w:rPr>
            <w:tab/>
          </w:r>
          <w:r>
            <w:rPr>
              <w:sz w:val="18"/>
              <w:szCs w:val="18"/>
              <w:lang w:val="en-GB" w:eastAsia="en-US"/>
            </w:rPr>
            <w:t>Description of Escalation Procedures</w:t>
          </w:r>
          <w:r>
            <w:rPr>
              <w:sz w:val="18"/>
              <w:szCs w:val="18"/>
              <w:lang w:val="en-US" w:eastAsia="en-US"/>
            </w:rPr>
            <w:tab/>
          </w:r>
          <w:hyperlink w:anchor="__RefHeading___Toc148152983">
            <w:r>
              <w:rPr>
                <w:rStyle w:val="IndexLink"/>
                <w:sz w:val="18"/>
                <w:szCs w:val="18"/>
                <w:lang w:val="en-US" w:eastAsia="en-US"/>
              </w:rPr>
              <w:t>3</w:t>
            </w:r>
          </w:hyperlink>
        </w:p>
        <w:p>
          <w:pPr>
            <w:pStyle w:val="TOC2"/>
            <w:tabs>
              <w:tab w:val="clear" w:pos="720"/>
              <w:tab w:val="left" w:pos="660" w:leader="none"/>
              <w:tab w:val="right" w:pos="9019" w:leader="dot"/>
            </w:tabs>
            <w:rPr>
              <w:sz w:val="18"/>
              <w:szCs w:val="18"/>
              <w:lang w:val="en-US" w:eastAsia="en-US"/>
            </w:rPr>
          </w:pPr>
          <w:r>
            <w:rPr>
              <w:b w:val="false"/>
              <w:bCs w:val="false"/>
              <w:sz w:val="18"/>
              <w:szCs w:val="18"/>
              <w:lang w:val="en-US" w:eastAsia="en-US"/>
            </w:rPr>
            <w:t>4.2.</w:t>
          </w:r>
          <w:r>
            <w:rPr>
              <w:b w:val="false"/>
              <w:bCs w:val="false"/>
              <w:sz w:val="18"/>
              <w:szCs w:val="18"/>
              <w:lang w:val="en-US" w:eastAsia="en-US"/>
            </w:rPr>
            <w:tab/>
          </w:r>
          <w:r>
            <w:rPr>
              <w:b w:val="false"/>
              <w:bCs w:val="false"/>
              <w:sz w:val="18"/>
              <w:szCs w:val="18"/>
              <w:lang w:val="en-GB" w:eastAsia="en-US"/>
            </w:rPr>
            <w:t>Current escalation timelines</w:t>
          </w:r>
          <w:r>
            <w:rPr>
              <w:b w:val="false"/>
              <w:bCs w:val="false"/>
              <w:sz w:val="18"/>
              <w:szCs w:val="18"/>
              <w:lang w:val="en-US" w:eastAsia="en-US"/>
            </w:rPr>
            <w:tab/>
          </w:r>
          <w:hyperlink w:anchor="__RefHeading___Toc148152984">
            <w:r>
              <w:rPr>
                <w:rStyle w:val="IndexLink"/>
                <w:b w:val="false"/>
                <w:bCs w:val="false"/>
                <w:sz w:val="18"/>
                <w:szCs w:val="18"/>
                <w:lang w:val="en-US" w:eastAsia="en-US"/>
              </w:rPr>
              <w:t>4</w:t>
            </w:r>
          </w:hyperlink>
          <w:r>
            <w:rPr>
              <w:rStyle w:val="IndexLink"/>
              <w:sz w:val="18"/>
              <w:b w:val="false"/>
              <w:szCs w:val="18"/>
              <w:bCs w:val="false"/>
              <w:lang w:val="en-US" w:eastAsia="en-US"/>
            </w:rPr>
            <w:fldChar w:fldCharType="end"/>
          </w:r>
        </w:p>
      </w:sdtContent>
    </w:sdt>
    <w:p>
      <w:pPr>
        <w:pStyle w:val="Normal"/>
        <w:rPr>
          <w:b/>
          <w:bCs/>
          <w:caps/>
          <w:sz w:val="18"/>
          <w:szCs w:val="18"/>
          <w:lang w:val="en-GB" w:eastAsia="en-US"/>
        </w:rPr>
      </w:pPr>
      <w:r>
        <w:rPr>
          <w:b/>
          <w:bCs/>
          <w:caps/>
          <w:sz w:val="18"/>
          <w:szCs w:val="18"/>
          <w:lang w:val="en-GB" w:eastAsia="en-US"/>
        </w:rPr>
      </w:r>
    </w:p>
    <w:p>
      <w:pPr>
        <w:pStyle w:val="Normal"/>
        <w:rPr>
          <w:b/>
          <w:bCs/>
          <w:caps/>
          <w:sz w:val="18"/>
          <w:szCs w:val="18"/>
          <w:lang w:val="en-GB"/>
        </w:rPr>
      </w:pPr>
      <w:r>
        <w:rPr>
          <w:b/>
          <w:bCs/>
          <w:caps/>
          <w:sz w:val="18"/>
          <w:szCs w:val="18"/>
          <w:lang w:val="en-GB"/>
        </w:rPr>
      </w:r>
    </w:p>
    <w:p>
      <w:pPr>
        <w:sectPr>
          <w:headerReference w:type="default" r:id="rId4"/>
          <w:headerReference w:type="first" r:id="rId5"/>
          <w:footerReference w:type="default" r:id="rId6"/>
          <w:footerReference w:type="first" r:id="rId7"/>
          <w:type w:val="nextPage"/>
          <w:pgSz w:w="11906" w:h="16838"/>
          <w:pgMar w:left="1440" w:right="1440" w:gutter="0" w:header="720" w:top="1729" w:footer="737" w:bottom="1729"/>
          <w:pgNumType w:start="1" w:fmt="lowerRoman"/>
          <w:formProt w:val="false"/>
          <w:textDirection w:val="lrTb"/>
          <w:docGrid w:type="default" w:linePitch="360" w:charSpace="0"/>
        </w:sectPr>
        <w:pStyle w:val="Normal"/>
        <w:rPr>
          <w:b/>
          <w:bCs/>
          <w:caps/>
          <w:sz w:val="18"/>
          <w:szCs w:val="18"/>
          <w:lang w:val="en-GB"/>
        </w:rPr>
      </w:pPr>
      <w:r>
        <w:rPr>
          <w:b/>
          <w:bCs/>
          <w:caps/>
          <w:sz w:val="18"/>
          <w:szCs w:val="18"/>
          <w:lang w:val="en-GB"/>
        </w:rPr>
      </w:r>
    </w:p>
    <w:p>
      <w:pPr>
        <w:pStyle w:val="Heading1Numbered"/>
        <w:numPr>
          <w:ilvl w:val="0"/>
          <w:numId w:val="3"/>
        </w:numPr>
        <w:rPr>
          <w:rFonts w:ascii="Times New Roman" w:hAnsi="Times New Roman" w:cs="Times New Roman"/>
          <w:sz w:val="22"/>
          <w:szCs w:val="22"/>
        </w:rPr>
      </w:pPr>
      <w:bookmarkStart w:id="0" w:name="__RefHeading___Toc148152976"/>
      <w:bookmarkEnd w:id="0"/>
      <w:r>
        <w:rPr>
          <w:rFonts w:cs="Times New Roman" w:ascii="Times New Roman" w:hAnsi="Times New Roman"/>
          <w:sz w:val="22"/>
          <w:szCs w:val="22"/>
        </w:rPr>
        <w:t>Introduction</w:t>
      </w:r>
    </w:p>
    <w:p>
      <w:pPr>
        <w:pStyle w:val="BodyText"/>
        <w:jc w:val="both"/>
        <w:rPr/>
      </w:pPr>
      <w:r>
        <w:rPr>
          <w:szCs w:val="22"/>
          <w:lang w:val="en-GB"/>
        </w:rPr>
        <w:t>This Exhibit sets forth qualitative descriptions of Priority Levels associated with the Services. Priority Levels are used to categorize each Incident associated with the Services based on the potential impact of the Incident to EuroBank.</w:t>
      </w:r>
    </w:p>
    <w:p>
      <w:pPr>
        <w:pStyle w:val="BodyText"/>
        <w:jc w:val="both"/>
        <w:rPr/>
      </w:pPr>
      <w:r>
        <w:rPr>
          <w:szCs w:val="22"/>
          <w:lang w:val="en-GB"/>
        </w:rPr>
        <w:t>There may be different Service Levels associated with the resolution of an Incident based on the assigned Priority Level.</w:t>
      </w:r>
    </w:p>
    <w:p>
      <w:pPr>
        <w:pStyle w:val="Heading1Numbered"/>
        <w:numPr>
          <w:ilvl w:val="0"/>
          <w:numId w:val="3"/>
        </w:numPr>
        <w:rPr>
          <w:rFonts w:ascii="Times New Roman" w:hAnsi="Times New Roman" w:cs="Times New Roman"/>
          <w:sz w:val="22"/>
          <w:szCs w:val="22"/>
          <w:lang w:val="en-CA"/>
        </w:rPr>
      </w:pPr>
      <w:bookmarkStart w:id="1" w:name="__RefHeading___Toc148152977"/>
      <w:r>
        <w:rPr>
          <w:rFonts w:cs="Times New Roman" w:ascii="Times New Roman" w:hAnsi="Times New Roman"/>
          <w:sz w:val="22"/>
          <w:szCs w:val="22"/>
        </w:rPr>
        <w:t>DESCRIPTION OF PRIORITY LEVELS</w:t>
      </w:r>
      <w:bookmarkEnd w:id="1"/>
      <w:r>
        <w:rPr>
          <w:rFonts w:cs="Times New Roman" w:ascii="Times New Roman" w:hAnsi="Times New Roman"/>
          <w:sz w:val="22"/>
          <w:szCs w:val="22"/>
        </w:rPr>
        <w:t xml:space="preserve"> </w:t>
      </w:r>
    </w:p>
    <w:p>
      <w:pPr>
        <w:pStyle w:val="Heading2Numbered"/>
        <w:numPr>
          <w:ilvl w:val="1"/>
          <w:numId w:val="3"/>
        </w:numPr>
        <w:rPr>
          <w:rFonts w:ascii="Times New Roman" w:hAnsi="Times New Roman" w:cs="Times New Roman"/>
          <w:sz w:val="22"/>
          <w:szCs w:val="22"/>
          <w:lang w:val="en-GB"/>
        </w:rPr>
      </w:pPr>
      <w:r>
        <w:rPr>
          <w:rFonts w:cs="Times New Roman" w:ascii="Times New Roman" w:hAnsi="Times New Roman"/>
          <w:sz w:val="22"/>
          <w:szCs w:val="22"/>
          <w:lang w:val="en-GB"/>
        </w:rPr>
        <w:t xml:space="preserve"> </w:t>
      </w:r>
      <w:bookmarkStart w:id="2" w:name="__RefHeading___Toc148152978"/>
      <w:r>
        <w:rPr>
          <w:rFonts w:cs="Times New Roman" w:ascii="Times New Roman" w:hAnsi="Times New Roman"/>
          <w:sz w:val="22"/>
          <w:szCs w:val="22"/>
          <w:lang w:val="en-GB"/>
        </w:rPr>
        <w:t>General</w:t>
      </w:r>
      <w:bookmarkEnd w:id="2"/>
    </w:p>
    <w:p>
      <w:pPr>
        <w:pStyle w:val="Heading51"/>
        <w:numPr>
          <w:ilvl w:val="2"/>
          <w:numId w:val="3"/>
        </w:numPr>
        <w:tabs>
          <w:tab w:val="clear" w:pos="992"/>
        </w:tabs>
        <w:ind w:hanging="720" w:start="1440" w:end="0"/>
        <w:rPr>
          <w:sz w:val="22"/>
          <w:szCs w:val="22"/>
        </w:rPr>
      </w:pPr>
      <w:r>
        <w:rPr>
          <w:sz w:val="22"/>
          <w:szCs w:val="22"/>
        </w:rPr>
        <w:t>Where the PST Supplier has identified an Incident and does not have an assignment from EuroBank on the Priority Level, the PST Supplier will use the Incident priority descriptions set forth below to assign the Priority Level.</w:t>
      </w:r>
    </w:p>
    <w:p>
      <w:pPr>
        <w:pStyle w:val="Heading51"/>
        <w:numPr>
          <w:ilvl w:val="2"/>
          <w:numId w:val="3"/>
        </w:numPr>
        <w:tabs>
          <w:tab w:val="clear" w:pos="992"/>
        </w:tabs>
        <w:ind w:hanging="720" w:start="1440" w:end="0"/>
        <w:rPr>
          <w:sz w:val="22"/>
          <w:szCs w:val="22"/>
        </w:rPr>
      </w:pPr>
      <w:r>
        <w:rPr>
          <w:sz w:val="22"/>
          <w:szCs w:val="22"/>
        </w:rPr>
        <w:t>Should EuroBank determine that the PST Supplier has not properly escalated an Incident as per Section 4 below, EuroBank reserves the right to escalate such Incident at any time to the next highest Priority Level and give notice to the PST Supplier immediately upon executing this right via electronic mail, fax or phone.</w:t>
      </w:r>
    </w:p>
    <w:p>
      <w:pPr>
        <w:pStyle w:val="Heading51"/>
        <w:numPr>
          <w:ilvl w:val="2"/>
          <w:numId w:val="3"/>
        </w:numPr>
        <w:tabs>
          <w:tab w:val="clear" w:pos="992"/>
        </w:tabs>
        <w:ind w:hanging="720" w:start="1440" w:end="0"/>
        <w:rPr>
          <w:sz w:val="22"/>
          <w:szCs w:val="22"/>
        </w:rPr>
      </w:pPr>
      <w:bookmarkStart w:id="3" w:name="_Ref67199849"/>
      <w:r>
        <w:rPr>
          <w:sz w:val="22"/>
          <w:szCs w:val="22"/>
        </w:rPr>
        <w:t>An Incident that does not get resolved within the designated time below will be escalated by the PST Supplier to the next higher Priority Level as described below.</w:t>
      </w:r>
      <w:bookmarkEnd w:id="3"/>
    </w:p>
    <w:p>
      <w:pPr>
        <w:pStyle w:val="Heading51"/>
        <w:numPr>
          <w:ilvl w:val="2"/>
          <w:numId w:val="3"/>
        </w:numPr>
        <w:tabs>
          <w:tab w:val="clear" w:pos="992"/>
        </w:tabs>
        <w:ind w:hanging="720" w:start="1440" w:end="0"/>
        <w:rPr>
          <w:sz w:val="22"/>
          <w:szCs w:val="22"/>
        </w:rPr>
      </w:pPr>
      <w:r>
        <w:rPr>
          <w:sz w:val="22"/>
          <w:szCs w:val="22"/>
        </w:rPr>
        <w:t>Impact and urgency (and thus priority) may be changed during the lifecycle of an Incident, for instance at EuroBank’s request.</w:t>
      </w:r>
    </w:p>
    <w:p>
      <w:pPr>
        <w:pStyle w:val="Heading2Numbered"/>
        <w:numPr>
          <w:ilvl w:val="1"/>
          <w:numId w:val="3"/>
        </w:numPr>
        <w:jc w:val="both"/>
        <w:rPr>
          <w:rFonts w:ascii="Times New Roman" w:hAnsi="Times New Roman" w:cs="Times New Roman"/>
          <w:sz w:val="22"/>
          <w:szCs w:val="22"/>
          <w:lang w:val="en-GB"/>
        </w:rPr>
      </w:pPr>
      <w:bookmarkStart w:id="4" w:name="__RefHeading___Toc148152979"/>
      <w:bookmarkEnd w:id="4"/>
      <w:r>
        <w:rPr>
          <w:rFonts w:cs="Times New Roman" w:ascii="Times New Roman" w:hAnsi="Times New Roman"/>
          <w:sz w:val="22"/>
          <w:szCs w:val="22"/>
          <w:lang w:val="en-GB"/>
        </w:rPr>
        <w:t>Priority factors</w:t>
      </w:r>
    </w:p>
    <w:p>
      <w:pPr>
        <w:pStyle w:val="Normal"/>
        <w:autoSpaceDE w:val="false"/>
        <w:ind w:start="720" w:end="0"/>
        <w:jc w:val="both"/>
        <w:rPr/>
      </w:pPr>
      <w:r>
        <w:rPr>
          <w:szCs w:val="22"/>
          <w:lang w:val="en-GB"/>
        </w:rPr>
        <w:t>The priority between Incidents is determined through the impact and the urgency of each Incident.  Factors used to determine the impact and urgency are:</w:t>
      </w:r>
    </w:p>
    <w:p>
      <w:pPr>
        <w:pStyle w:val="Normal"/>
        <w:numPr>
          <w:ilvl w:val="0"/>
          <w:numId w:val="4"/>
        </w:numPr>
        <w:autoSpaceDE w:val="false"/>
        <w:jc w:val="both"/>
        <w:rPr>
          <w:szCs w:val="22"/>
          <w:lang w:val="en-GB"/>
        </w:rPr>
      </w:pPr>
      <w:r>
        <w:rPr>
          <w:szCs w:val="22"/>
          <w:lang w:val="en-GB"/>
        </w:rPr>
        <w:t>Number of customers affected by the Incident;</w:t>
      </w:r>
    </w:p>
    <w:p>
      <w:pPr>
        <w:pStyle w:val="Normal"/>
        <w:numPr>
          <w:ilvl w:val="0"/>
          <w:numId w:val="4"/>
        </w:numPr>
        <w:autoSpaceDE w:val="false"/>
        <w:jc w:val="both"/>
        <w:rPr>
          <w:szCs w:val="22"/>
          <w:lang w:val="en-GB"/>
        </w:rPr>
      </w:pPr>
      <w:r>
        <w:rPr>
          <w:szCs w:val="22"/>
          <w:lang w:val="en-GB"/>
        </w:rPr>
        <w:t>Urgency of resolution;</w:t>
      </w:r>
    </w:p>
    <w:p>
      <w:pPr>
        <w:pStyle w:val="Normal"/>
        <w:numPr>
          <w:ilvl w:val="0"/>
          <w:numId w:val="4"/>
        </w:numPr>
        <w:autoSpaceDE w:val="false"/>
        <w:jc w:val="both"/>
        <w:rPr>
          <w:szCs w:val="22"/>
          <w:lang w:val="en-GB"/>
        </w:rPr>
      </w:pPr>
      <w:r>
        <w:rPr>
          <w:szCs w:val="22"/>
          <w:lang w:val="en-GB"/>
        </w:rPr>
        <w:t>Length and scope of the outage;</w:t>
      </w:r>
    </w:p>
    <w:p>
      <w:pPr>
        <w:pStyle w:val="Normal"/>
        <w:numPr>
          <w:ilvl w:val="0"/>
          <w:numId w:val="4"/>
        </w:numPr>
        <w:autoSpaceDE w:val="false"/>
        <w:jc w:val="both"/>
        <w:rPr>
          <w:szCs w:val="22"/>
          <w:lang w:val="en-GB"/>
        </w:rPr>
      </w:pPr>
      <w:r>
        <w:rPr>
          <w:szCs w:val="22"/>
          <w:lang w:val="en-GB"/>
        </w:rPr>
        <w:t>Availability of a solution / workaround;</w:t>
      </w:r>
    </w:p>
    <w:p>
      <w:pPr>
        <w:pStyle w:val="Normal"/>
        <w:numPr>
          <w:ilvl w:val="0"/>
          <w:numId w:val="4"/>
        </w:numPr>
        <w:autoSpaceDE w:val="false"/>
        <w:jc w:val="both"/>
        <w:rPr>
          <w:szCs w:val="22"/>
          <w:lang w:val="en-GB"/>
        </w:rPr>
      </w:pPr>
      <w:r>
        <w:rPr>
          <w:szCs w:val="22"/>
          <w:lang w:val="en-GB"/>
        </w:rPr>
        <w:t>Type of service being disrupted;</w:t>
      </w:r>
    </w:p>
    <w:p>
      <w:pPr>
        <w:pStyle w:val="Normal"/>
        <w:numPr>
          <w:ilvl w:val="0"/>
          <w:numId w:val="4"/>
        </w:numPr>
        <w:autoSpaceDE w:val="false"/>
        <w:jc w:val="both"/>
        <w:rPr>
          <w:szCs w:val="22"/>
          <w:lang w:val="en-GB"/>
        </w:rPr>
      </w:pPr>
      <w:r>
        <w:rPr>
          <w:szCs w:val="22"/>
          <w:lang w:val="en-GB"/>
        </w:rPr>
        <w:t>Number of occurrences;</w:t>
      </w:r>
    </w:p>
    <w:p>
      <w:pPr>
        <w:pStyle w:val="Normal"/>
        <w:numPr>
          <w:ilvl w:val="0"/>
          <w:numId w:val="4"/>
        </w:numPr>
        <w:autoSpaceDE w:val="false"/>
        <w:jc w:val="both"/>
        <w:rPr>
          <w:szCs w:val="22"/>
          <w:lang w:val="en-GB"/>
        </w:rPr>
      </w:pPr>
      <w:r>
        <w:rPr>
          <w:szCs w:val="22"/>
          <w:lang w:val="en-GB"/>
        </w:rPr>
        <w:t>Length of time an Incident has remained open;</w:t>
      </w:r>
      <w:r>
        <w:br w:type="page"/>
      </w:r>
    </w:p>
    <w:p>
      <w:pPr>
        <w:pStyle w:val="Normal"/>
        <w:autoSpaceDE w:val="false"/>
        <w:jc w:val="both"/>
        <w:rPr>
          <w:szCs w:val="22"/>
          <w:lang w:val="en-GB"/>
        </w:rPr>
      </w:pPr>
      <w:r>
        <w:rPr>
          <w:szCs w:val="22"/>
          <w:lang w:val="en-GB"/>
        </w:rPr>
      </w:r>
    </w:p>
    <w:p>
      <w:pPr>
        <w:pStyle w:val="Heading2Numbered"/>
        <w:numPr>
          <w:ilvl w:val="1"/>
          <w:numId w:val="3"/>
        </w:numPr>
        <w:rPr>
          <w:rFonts w:ascii="Times New Roman" w:hAnsi="Times New Roman" w:cs="Times New Roman"/>
          <w:sz w:val="22"/>
          <w:szCs w:val="22"/>
          <w:lang w:val="en-GB"/>
        </w:rPr>
      </w:pPr>
      <w:r>
        <w:rPr>
          <w:rFonts w:cs="Times New Roman" w:ascii="Times New Roman" w:hAnsi="Times New Roman"/>
          <w:sz w:val="22"/>
          <w:szCs w:val="22"/>
          <w:lang w:val="en-GB"/>
        </w:rPr>
        <w:t xml:space="preserve"> </w:t>
      </w:r>
      <w:bookmarkStart w:id="5" w:name="__RefHeading___Toc148152980"/>
      <w:r>
        <w:rPr>
          <w:rFonts w:cs="Times New Roman" w:ascii="Times New Roman" w:hAnsi="Times New Roman"/>
          <w:sz w:val="22"/>
          <w:szCs w:val="22"/>
          <w:lang w:val="en-GB"/>
        </w:rPr>
        <w:t>Priority definitions</w:t>
      </w:r>
      <w:bookmarkEnd w:id="5"/>
    </w:p>
    <w:tbl>
      <w:tblPr>
        <w:tblW w:w="9317" w:type="dxa"/>
        <w:jc w:val="start"/>
        <w:tblInd w:w="-72" w:type="dxa"/>
        <w:tblLayout w:type="fixed"/>
        <w:tblCellMar>
          <w:top w:w="0" w:type="dxa"/>
          <w:start w:w="108" w:type="dxa"/>
          <w:bottom w:w="0" w:type="dxa"/>
          <w:end w:w="108" w:type="dxa"/>
        </w:tblCellMar>
      </w:tblPr>
      <w:tblGrid>
        <w:gridCol w:w="1620"/>
        <w:gridCol w:w="7697"/>
      </w:tblGrid>
      <w:tr>
        <w:trPr>
          <w:trHeight w:val="390" w:hRule="atLeast"/>
        </w:trPr>
        <w:tc>
          <w:tcPr>
            <w:tcW w:w="1620" w:type="dxa"/>
            <w:tcBorders>
              <w:top w:val="single" w:sz="4" w:space="0" w:color="000000"/>
              <w:start w:val="single" w:sz="4" w:space="0" w:color="000000"/>
              <w:bottom w:val="single" w:sz="4" w:space="0" w:color="000000"/>
              <w:end w:val="single" w:sz="4" w:space="0" w:color="000000"/>
            </w:tcBorders>
            <w:shd w:fill="B3B3B3" w:val="clear"/>
          </w:tcPr>
          <w:p>
            <w:pPr>
              <w:pStyle w:val="Normal"/>
              <w:autoSpaceDE w:val="false"/>
              <w:spacing w:before="0" w:after="0"/>
              <w:rPr>
                <w:b/>
                <w:bCs/>
                <w:szCs w:val="22"/>
              </w:rPr>
            </w:pPr>
            <w:r>
              <w:rPr>
                <w:b/>
                <w:bCs/>
                <w:szCs w:val="22"/>
              </w:rPr>
              <w:t>Urgency</w:t>
            </w:r>
          </w:p>
        </w:tc>
        <w:tc>
          <w:tcPr>
            <w:tcW w:w="7697" w:type="dxa"/>
            <w:tcBorders>
              <w:top w:val="single" w:sz="4" w:space="0" w:color="000000"/>
              <w:start w:val="single" w:sz="4" w:space="0" w:color="000000"/>
              <w:bottom w:val="single" w:sz="4" w:space="0" w:color="000000"/>
              <w:end w:val="single" w:sz="4" w:space="0" w:color="000000"/>
            </w:tcBorders>
            <w:shd w:fill="B3B3B3" w:val="clear"/>
          </w:tcPr>
          <w:p>
            <w:pPr>
              <w:pStyle w:val="Normal"/>
              <w:autoSpaceDE w:val="false"/>
              <w:spacing w:before="0" w:after="0"/>
              <w:rPr>
                <w:b/>
                <w:bCs/>
                <w:szCs w:val="22"/>
              </w:rPr>
            </w:pPr>
            <w:r>
              <w:rPr>
                <w:b/>
                <w:bCs/>
                <w:szCs w:val="22"/>
              </w:rPr>
              <w:t>Description</w:t>
            </w:r>
          </w:p>
          <w:p>
            <w:pPr>
              <w:pStyle w:val="Normal"/>
              <w:autoSpaceDE w:val="false"/>
              <w:spacing w:before="0" w:after="0"/>
              <w:rPr>
                <w:b/>
                <w:bCs/>
                <w:szCs w:val="22"/>
              </w:rPr>
            </w:pPr>
            <w:r>
              <w:rPr>
                <w:b/>
                <w:bCs/>
                <w:szCs w:val="22"/>
              </w:rPr>
            </w:r>
          </w:p>
        </w:tc>
      </w:tr>
      <w:tr>
        <w:trPr/>
        <w:tc>
          <w:tcPr>
            <w:tcW w:w="162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b/>
                <w:bCs/>
                <w:szCs w:val="22"/>
              </w:rPr>
            </w:pPr>
            <w:r>
              <w:rPr>
                <w:szCs w:val="22"/>
              </w:rPr>
              <w:t>High</w:t>
            </w:r>
          </w:p>
        </w:tc>
        <w:tc>
          <w:tcPr>
            <w:tcW w:w="7697" w:type="dxa"/>
            <w:tcBorders>
              <w:top w:val="single" w:sz="4" w:space="0" w:color="000000"/>
              <w:start w:val="single" w:sz="4" w:space="0" w:color="000000"/>
              <w:bottom w:val="single" w:sz="4" w:space="0" w:color="000000"/>
              <w:end w:val="single" w:sz="4" w:space="0" w:color="000000"/>
            </w:tcBorders>
          </w:tcPr>
          <w:p>
            <w:pPr>
              <w:pStyle w:val="Normal"/>
              <w:numPr>
                <w:ilvl w:val="0"/>
                <w:numId w:val="5"/>
              </w:numPr>
              <w:autoSpaceDE w:val="false"/>
              <w:spacing w:before="0" w:after="0"/>
              <w:rPr>
                <w:szCs w:val="22"/>
              </w:rPr>
            </w:pPr>
            <w:r>
              <w:rPr>
                <w:szCs w:val="22"/>
              </w:rPr>
              <w:t xml:space="preserve">Service must be restored at once </w:t>
            </w:r>
          </w:p>
          <w:p>
            <w:pPr>
              <w:pStyle w:val="Normal"/>
              <w:numPr>
                <w:ilvl w:val="0"/>
                <w:numId w:val="5"/>
              </w:numPr>
              <w:tabs>
                <w:tab w:val="clear" w:pos="720"/>
              </w:tabs>
              <w:autoSpaceDE w:val="false"/>
              <w:spacing w:before="0" w:after="0"/>
              <w:rPr>
                <w:szCs w:val="22"/>
              </w:rPr>
            </w:pPr>
            <w:r>
              <w:rPr>
                <w:szCs w:val="22"/>
              </w:rPr>
              <w:t xml:space="preserve">No workaround or other temporary solution is available to enable continuation of work </w:t>
            </w:r>
          </w:p>
        </w:tc>
      </w:tr>
      <w:tr>
        <w:trPr/>
        <w:tc>
          <w:tcPr>
            <w:tcW w:w="162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b/>
                <w:bCs/>
                <w:szCs w:val="22"/>
              </w:rPr>
            </w:pPr>
            <w:r>
              <w:rPr>
                <w:szCs w:val="22"/>
              </w:rPr>
              <w:t>Medium</w:t>
            </w:r>
          </w:p>
        </w:tc>
        <w:tc>
          <w:tcPr>
            <w:tcW w:w="7697" w:type="dxa"/>
            <w:tcBorders>
              <w:top w:val="single" w:sz="4" w:space="0" w:color="000000"/>
              <w:start w:val="single" w:sz="4" w:space="0" w:color="000000"/>
              <w:bottom w:val="single" w:sz="4" w:space="0" w:color="000000"/>
              <w:end w:val="single" w:sz="4" w:space="0" w:color="000000"/>
            </w:tcBorders>
          </w:tcPr>
          <w:p>
            <w:pPr>
              <w:pStyle w:val="Normal"/>
              <w:numPr>
                <w:ilvl w:val="0"/>
                <w:numId w:val="5"/>
              </w:numPr>
              <w:autoSpaceDE w:val="false"/>
              <w:spacing w:before="0" w:after="0"/>
              <w:rPr>
                <w:szCs w:val="22"/>
              </w:rPr>
            </w:pPr>
            <w:r>
              <w:rPr>
                <w:szCs w:val="22"/>
              </w:rPr>
              <w:t>Service does not have to be restored at once but needs to be restored as soon as possible</w:t>
            </w:r>
          </w:p>
          <w:p>
            <w:pPr>
              <w:pStyle w:val="Normal"/>
              <w:numPr>
                <w:ilvl w:val="0"/>
                <w:numId w:val="5"/>
              </w:numPr>
              <w:autoSpaceDE w:val="false"/>
              <w:spacing w:before="0" w:after="0"/>
              <w:rPr>
                <w:b/>
                <w:bCs/>
                <w:szCs w:val="22"/>
              </w:rPr>
            </w:pPr>
            <w:r>
              <w:rPr>
                <w:szCs w:val="22"/>
              </w:rPr>
              <w:t>Work can be postponed easily, while a workaround, other temporary solution or adaptation are not possible.</w:t>
            </w:r>
          </w:p>
        </w:tc>
      </w:tr>
      <w:tr>
        <w:trPr/>
        <w:tc>
          <w:tcPr>
            <w:tcW w:w="162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b/>
                <w:bCs/>
                <w:szCs w:val="22"/>
              </w:rPr>
            </w:pPr>
            <w:r>
              <w:rPr>
                <w:szCs w:val="22"/>
              </w:rPr>
              <w:t>Low</w:t>
            </w:r>
          </w:p>
        </w:tc>
        <w:tc>
          <w:tcPr>
            <w:tcW w:w="7697" w:type="dxa"/>
            <w:tcBorders>
              <w:top w:val="single" w:sz="4" w:space="0" w:color="000000"/>
              <w:start w:val="single" w:sz="4" w:space="0" w:color="000000"/>
              <w:bottom w:val="single" w:sz="4" w:space="0" w:color="000000"/>
              <w:end w:val="single" w:sz="4" w:space="0" w:color="000000"/>
            </w:tcBorders>
          </w:tcPr>
          <w:p>
            <w:pPr>
              <w:pStyle w:val="Normal"/>
              <w:numPr>
                <w:ilvl w:val="0"/>
                <w:numId w:val="5"/>
              </w:numPr>
              <w:autoSpaceDE w:val="false"/>
              <w:spacing w:before="0" w:after="0"/>
              <w:rPr>
                <w:szCs w:val="22"/>
              </w:rPr>
            </w:pPr>
            <w:r>
              <w:rPr>
                <w:szCs w:val="22"/>
              </w:rPr>
              <w:t xml:space="preserve">A solution may be postponed for a longer period of time </w:t>
            </w:r>
          </w:p>
          <w:p>
            <w:pPr>
              <w:pStyle w:val="Normal"/>
              <w:numPr>
                <w:ilvl w:val="0"/>
                <w:numId w:val="5"/>
              </w:numPr>
              <w:autoSpaceDE w:val="false"/>
              <w:spacing w:before="0" w:after="0"/>
              <w:rPr>
                <w:b/>
                <w:bCs/>
                <w:szCs w:val="22"/>
              </w:rPr>
            </w:pPr>
            <w:r>
              <w:rPr>
                <w:szCs w:val="22"/>
              </w:rPr>
              <w:t>A workaround, other temporary solution or adaptation is available to enable continuation of work</w:t>
            </w:r>
          </w:p>
        </w:tc>
      </w:tr>
    </w:tbl>
    <w:p>
      <w:pPr>
        <w:pStyle w:val="BodyText"/>
        <w:spacing w:before="0" w:after="0"/>
        <w:rPr>
          <w:szCs w:val="22"/>
        </w:rPr>
      </w:pPr>
      <w:r>
        <w:rPr>
          <w:szCs w:val="22"/>
        </w:rPr>
      </w:r>
    </w:p>
    <w:tbl>
      <w:tblPr>
        <w:tblW w:w="9317" w:type="dxa"/>
        <w:jc w:val="start"/>
        <w:tblInd w:w="-72" w:type="dxa"/>
        <w:tblLayout w:type="fixed"/>
        <w:tblCellMar>
          <w:top w:w="0" w:type="dxa"/>
          <w:start w:w="108" w:type="dxa"/>
          <w:bottom w:w="0" w:type="dxa"/>
          <w:end w:w="108" w:type="dxa"/>
        </w:tblCellMar>
      </w:tblPr>
      <w:tblGrid>
        <w:gridCol w:w="1620"/>
        <w:gridCol w:w="7697"/>
      </w:tblGrid>
      <w:tr>
        <w:trPr>
          <w:trHeight w:val="390" w:hRule="atLeast"/>
        </w:trPr>
        <w:tc>
          <w:tcPr>
            <w:tcW w:w="1620" w:type="dxa"/>
            <w:tcBorders>
              <w:top w:val="single" w:sz="4" w:space="0" w:color="000000"/>
              <w:start w:val="single" w:sz="4" w:space="0" w:color="000000"/>
              <w:bottom w:val="single" w:sz="4" w:space="0" w:color="000000"/>
              <w:end w:val="single" w:sz="4" w:space="0" w:color="000000"/>
            </w:tcBorders>
            <w:shd w:fill="B3B3B3" w:val="clear"/>
          </w:tcPr>
          <w:p>
            <w:pPr>
              <w:pStyle w:val="Normal"/>
              <w:autoSpaceDE w:val="false"/>
              <w:spacing w:before="0" w:after="0"/>
              <w:rPr>
                <w:b/>
                <w:bCs/>
                <w:szCs w:val="22"/>
              </w:rPr>
            </w:pPr>
            <w:r>
              <w:rPr>
                <w:b/>
                <w:bCs/>
                <w:szCs w:val="22"/>
              </w:rPr>
              <w:t>Impact</w:t>
            </w:r>
          </w:p>
        </w:tc>
        <w:tc>
          <w:tcPr>
            <w:tcW w:w="7697" w:type="dxa"/>
            <w:tcBorders>
              <w:top w:val="single" w:sz="4" w:space="0" w:color="000000"/>
              <w:start w:val="single" w:sz="4" w:space="0" w:color="000000"/>
              <w:bottom w:val="single" w:sz="4" w:space="0" w:color="000000"/>
              <w:end w:val="single" w:sz="4" w:space="0" w:color="000000"/>
            </w:tcBorders>
            <w:shd w:fill="B3B3B3" w:val="clear"/>
          </w:tcPr>
          <w:p>
            <w:pPr>
              <w:pStyle w:val="Normal"/>
              <w:autoSpaceDE w:val="false"/>
              <w:spacing w:before="0" w:after="0"/>
              <w:rPr>
                <w:b/>
                <w:bCs/>
                <w:szCs w:val="22"/>
              </w:rPr>
            </w:pPr>
            <w:r>
              <w:rPr>
                <w:b/>
                <w:bCs/>
                <w:szCs w:val="22"/>
              </w:rPr>
              <w:t>Description</w:t>
            </w:r>
          </w:p>
          <w:p>
            <w:pPr>
              <w:pStyle w:val="Normal"/>
              <w:autoSpaceDE w:val="false"/>
              <w:spacing w:before="0" w:after="0"/>
              <w:rPr>
                <w:b/>
                <w:bCs/>
                <w:szCs w:val="22"/>
              </w:rPr>
            </w:pPr>
            <w:r>
              <w:rPr>
                <w:b/>
                <w:bCs/>
                <w:szCs w:val="22"/>
              </w:rPr>
            </w:r>
          </w:p>
        </w:tc>
      </w:tr>
      <w:tr>
        <w:trPr/>
        <w:tc>
          <w:tcPr>
            <w:tcW w:w="162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b/>
                <w:bCs/>
                <w:szCs w:val="22"/>
              </w:rPr>
            </w:pPr>
            <w:r>
              <w:rPr>
                <w:szCs w:val="22"/>
              </w:rPr>
              <w:t>High</w:t>
            </w:r>
          </w:p>
        </w:tc>
        <w:tc>
          <w:tcPr>
            <w:tcW w:w="7697" w:type="dxa"/>
            <w:tcBorders>
              <w:top w:val="single" w:sz="4" w:space="0" w:color="000000"/>
              <w:start w:val="single" w:sz="4" w:space="0" w:color="000000"/>
              <w:bottom w:val="single" w:sz="4" w:space="0" w:color="000000"/>
              <w:end w:val="single" w:sz="4" w:space="0" w:color="000000"/>
            </w:tcBorders>
          </w:tcPr>
          <w:p>
            <w:pPr>
              <w:pStyle w:val="Normal"/>
              <w:numPr>
                <w:ilvl w:val="0"/>
                <w:numId w:val="5"/>
              </w:numPr>
              <w:autoSpaceDE w:val="false"/>
              <w:spacing w:before="0" w:after="0"/>
              <w:rPr>
                <w:szCs w:val="22"/>
              </w:rPr>
            </w:pPr>
            <w:r>
              <w:rPr>
                <w:szCs w:val="22"/>
              </w:rPr>
              <w:t>There is (or is an imminent threat of) severe production loss, involving a large sum of money and/or</w:t>
            </w:r>
          </w:p>
          <w:p>
            <w:pPr>
              <w:pStyle w:val="Normal"/>
              <w:numPr>
                <w:ilvl w:val="0"/>
                <w:numId w:val="5"/>
              </w:numPr>
              <w:autoSpaceDE w:val="false"/>
              <w:spacing w:before="0" w:after="0"/>
              <w:rPr>
                <w:szCs w:val="22"/>
              </w:rPr>
            </w:pPr>
            <w:r>
              <w:rPr>
                <w:szCs w:val="22"/>
              </w:rPr>
              <w:t>Damage claims may follow, and/or</w:t>
            </w:r>
          </w:p>
          <w:p>
            <w:pPr>
              <w:pStyle w:val="Normal"/>
              <w:numPr>
                <w:ilvl w:val="0"/>
                <w:numId w:val="5"/>
              </w:numPr>
              <w:autoSpaceDE w:val="false"/>
              <w:spacing w:before="0" w:after="0"/>
              <w:rPr>
                <w:szCs w:val="22"/>
              </w:rPr>
            </w:pPr>
            <w:r>
              <w:rPr>
                <w:szCs w:val="22"/>
              </w:rPr>
              <w:t>The disruption has impact on one or more business critical processes or on large parts of the company, and/or</w:t>
            </w:r>
          </w:p>
          <w:p>
            <w:pPr>
              <w:pStyle w:val="Normal"/>
              <w:numPr>
                <w:ilvl w:val="0"/>
                <w:numId w:val="5"/>
              </w:numPr>
              <w:autoSpaceDE w:val="false"/>
              <w:spacing w:before="0" w:after="0"/>
              <w:rPr>
                <w:szCs w:val="22"/>
              </w:rPr>
            </w:pPr>
            <w:r>
              <w:rPr>
                <w:szCs w:val="22"/>
              </w:rPr>
              <w:t xml:space="preserve">The disruption has direct impact on EuroBank customers. </w:t>
            </w:r>
          </w:p>
        </w:tc>
      </w:tr>
      <w:tr>
        <w:trPr/>
        <w:tc>
          <w:tcPr>
            <w:tcW w:w="162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b/>
                <w:bCs/>
                <w:szCs w:val="22"/>
              </w:rPr>
            </w:pPr>
            <w:r>
              <w:rPr>
                <w:szCs w:val="22"/>
              </w:rPr>
              <w:t>Medium</w:t>
            </w:r>
          </w:p>
        </w:tc>
        <w:tc>
          <w:tcPr>
            <w:tcW w:w="7697" w:type="dxa"/>
            <w:tcBorders>
              <w:top w:val="single" w:sz="4" w:space="0" w:color="000000"/>
              <w:start w:val="single" w:sz="4" w:space="0" w:color="000000"/>
              <w:bottom w:val="single" w:sz="4" w:space="0" w:color="000000"/>
              <w:end w:val="single" w:sz="4" w:space="0" w:color="000000"/>
            </w:tcBorders>
          </w:tcPr>
          <w:p>
            <w:pPr>
              <w:pStyle w:val="Normal"/>
              <w:numPr>
                <w:ilvl w:val="0"/>
                <w:numId w:val="5"/>
              </w:numPr>
              <w:autoSpaceDE w:val="false"/>
              <w:spacing w:before="0" w:after="0"/>
              <w:rPr>
                <w:szCs w:val="22"/>
              </w:rPr>
            </w:pPr>
            <w:r>
              <w:rPr>
                <w:szCs w:val="22"/>
              </w:rPr>
              <w:t>There is (or is an imminent threat of) production loss, involving a medium/small sum of money and/or</w:t>
            </w:r>
          </w:p>
          <w:p>
            <w:pPr>
              <w:pStyle w:val="Normal"/>
              <w:numPr>
                <w:ilvl w:val="0"/>
                <w:numId w:val="5"/>
              </w:numPr>
              <w:autoSpaceDE w:val="false"/>
              <w:spacing w:before="0" w:after="0"/>
              <w:rPr>
                <w:szCs w:val="22"/>
              </w:rPr>
            </w:pPr>
            <w:r>
              <w:rPr>
                <w:szCs w:val="22"/>
              </w:rPr>
              <w:t>Damage claims may follow, and/or</w:t>
            </w:r>
          </w:p>
          <w:p>
            <w:pPr>
              <w:pStyle w:val="Normal"/>
              <w:numPr>
                <w:ilvl w:val="0"/>
                <w:numId w:val="5"/>
              </w:numPr>
              <w:autoSpaceDE w:val="false"/>
              <w:spacing w:before="0" w:after="0"/>
              <w:rPr>
                <w:szCs w:val="22"/>
              </w:rPr>
            </w:pPr>
            <w:r>
              <w:rPr>
                <w:szCs w:val="22"/>
              </w:rPr>
              <w:t>The disruption has impact on one or more non-business critical processes or on a small part of the company, and/or</w:t>
            </w:r>
          </w:p>
          <w:p>
            <w:pPr>
              <w:pStyle w:val="Normal"/>
              <w:numPr>
                <w:ilvl w:val="0"/>
                <w:numId w:val="5"/>
              </w:numPr>
              <w:autoSpaceDE w:val="false"/>
              <w:spacing w:before="0" w:after="0"/>
              <w:rPr>
                <w:szCs w:val="22"/>
              </w:rPr>
            </w:pPr>
            <w:r>
              <w:rPr>
                <w:szCs w:val="22"/>
              </w:rPr>
              <w:t>The disruption has impact on internal EuroBank processes.</w:t>
            </w:r>
          </w:p>
        </w:tc>
      </w:tr>
      <w:tr>
        <w:trPr/>
        <w:tc>
          <w:tcPr>
            <w:tcW w:w="162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b/>
                <w:bCs/>
                <w:szCs w:val="22"/>
              </w:rPr>
            </w:pPr>
            <w:r>
              <w:rPr>
                <w:szCs w:val="22"/>
              </w:rPr>
              <w:t>Low</w:t>
            </w:r>
          </w:p>
        </w:tc>
        <w:tc>
          <w:tcPr>
            <w:tcW w:w="7697" w:type="dxa"/>
            <w:tcBorders>
              <w:top w:val="single" w:sz="4" w:space="0" w:color="000000"/>
              <w:start w:val="single" w:sz="4" w:space="0" w:color="000000"/>
              <w:bottom w:val="single" w:sz="4" w:space="0" w:color="000000"/>
              <w:end w:val="single" w:sz="4" w:space="0" w:color="000000"/>
            </w:tcBorders>
          </w:tcPr>
          <w:p>
            <w:pPr>
              <w:pStyle w:val="Normal"/>
              <w:numPr>
                <w:ilvl w:val="0"/>
                <w:numId w:val="5"/>
              </w:numPr>
              <w:autoSpaceDE w:val="false"/>
              <w:spacing w:before="0" w:after="0"/>
              <w:rPr>
                <w:szCs w:val="22"/>
              </w:rPr>
            </w:pPr>
            <w:r>
              <w:rPr>
                <w:szCs w:val="22"/>
              </w:rPr>
              <w:t>There is no production loss, and/or</w:t>
            </w:r>
          </w:p>
          <w:p>
            <w:pPr>
              <w:pStyle w:val="Normal"/>
              <w:numPr>
                <w:ilvl w:val="0"/>
                <w:numId w:val="5"/>
              </w:numPr>
              <w:autoSpaceDE w:val="false"/>
              <w:spacing w:before="0" w:after="0"/>
              <w:rPr>
                <w:szCs w:val="22"/>
              </w:rPr>
            </w:pPr>
            <w:r>
              <w:rPr>
                <w:szCs w:val="22"/>
              </w:rPr>
              <w:t>The disruption has impact on one or a few employees.</w:t>
            </w:r>
          </w:p>
        </w:tc>
      </w:tr>
    </w:tbl>
    <w:p>
      <w:pPr>
        <w:pStyle w:val="Normal"/>
        <w:autoSpaceDE w:val="false"/>
        <w:spacing w:before="0" w:after="0"/>
        <w:rPr>
          <w:szCs w:val="22"/>
        </w:rPr>
      </w:pPr>
      <w:r>
        <w:rPr>
          <w:szCs w:val="22"/>
        </w:rPr>
      </w:r>
    </w:p>
    <w:p>
      <w:pPr>
        <w:pStyle w:val="Normal"/>
        <w:autoSpaceDE w:val="false"/>
        <w:spacing w:before="0" w:after="0"/>
        <w:rPr>
          <w:szCs w:val="22"/>
        </w:rPr>
      </w:pPr>
      <w:r>
        <w:rPr>
          <w:szCs w:val="22"/>
        </w:rPr>
      </w:r>
    </w:p>
    <w:p>
      <w:pPr>
        <w:pStyle w:val="Normal"/>
        <w:autoSpaceDE w:val="false"/>
        <w:spacing w:before="0" w:after="0"/>
        <w:jc w:val="both"/>
        <w:rPr>
          <w:szCs w:val="22"/>
        </w:rPr>
      </w:pPr>
      <w:r>
        <w:rPr>
          <w:szCs w:val="22"/>
        </w:rPr>
        <w:t>All Incidents will be assigned one of four possible priority classifications. These classifications range from 1 (Critical) to 4 (Low). The priority is calculated automatically using the impact and urgency codes. The following table is used to identify the relevant priority code number:</w:t>
      </w:r>
    </w:p>
    <w:p>
      <w:pPr>
        <w:pStyle w:val="Normal"/>
        <w:autoSpaceDE w:val="false"/>
        <w:spacing w:before="0" w:after="0"/>
        <w:rPr>
          <w:szCs w:val="22"/>
        </w:rPr>
      </w:pPr>
      <w:r>
        <w:rPr>
          <w:szCs w:val="22"/>
        </w:rPr>
      </w:r>
    </w:p>
    <w:tbl>
      <w:tblPr>
        <w:tblW w:w="5868" w:type="dxa"/>
        <w:jc w:val="start"/>
        <w:tblInd w:w="0" w:type="dxa"/>
        <w:tblLayout w:type="fixed"/>
        <w:tblCellMar>
          <w:top w:w="0" w:type="dxa"/>
          <w:start w:w="108" w:type="dxa"/>
          <w:bottom w:w="0" w:type="dxa"/>
          <w:end w:w="108" w:type="dxa"/>
        </w:tblCellMar>
      </w:tblPr>
      <w:tblGrid>
        <w:gridCol w:w="1011"/>
        <w:gridCol w:w="1077"/>
        <w:gridCol w:w="1260"/>
        <w:gridCol w:w="1260"/>
        <w:gridCol w:w="1260"/>
      </w:tblGrid>
      <w:tr>
        <w:trPr/>
        <w:tc>
          <w:tcPr>
            <w:tcW w:w="2088" w:type="dxa"/>
            <w:gridSpan w:val="2"/>
            <w:vMerge w:val="restart"/>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b/>
                <w:szCs w:val="22"/>
              </w:rPr>
            </w:pPr>
            <w:r>
              <w:rPr>
                <w:b/>
                <w:szCs w:val="22"/>
              </w:rPr>
              <w:t>Priority</w:t>
            </w:r>
          </w:p>
        </w:tc>
        <w:tc>
          <w:tcPr>
            <w:tcW w:w="3780" w:type="dxa"/>
            <w:gridSpan w:val="3"/>
            <w:tcBorders>
              <w:top w:val="single" w:sz="4" w:space="0" w:color="000000"/>
              <w:start w:val="single" w:sz="4" w:space="0" w:color="000000"/>
              <w:bottom w:val="single" w:sz="4" w:space="0" w:color="000000"/>
              <w:end w:val="single" w:sz="4" w:space="0" w:color="000000"/>
            </w:tcBorders>
          </w:tcPr>
          <w:p>
            <w:pPr>
              <w:pStyle w:val="Normal"/>
              <w:autoSpaceDE w:val="false"/>
              <w:spacing w:before="0" w:after="0"/>
              <w:jc w:val="center"/>
              <w:rPr>
                <w:b/>
                <w:szCs w:val="22"/>
              </w:rPr>
            </w:pPr>
            <w:r>
              <w:rPr>
                <w:b/>
                <w:szCs w:val="22"/>
              </w:rPr>
              <w:t>Impact</w:t>
            </w:r>
          </w:p>
        </w:tc>
      </w:tr>
      <w:tr>
        <w:trPr/>
        <w:tc>
          <w:tcPr>
            <w:tcW w:w="2088" w:type="dxa"/>
            <w:gridSpan w:val="2"/>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before="0" w:after="0"/>
              <w:rPr>
                <w:b/>
                <w:szCs w:val="22"/>
              </w:rPr>
            </w:pPr>
            <w:r>
              <w:rPr>
                <w:b/>
                <w:szCs w:val="22"/>
              </w:rPr>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jc w:val="center"/>
              <w:rPr>
                <w:szCs w:val="22"/>
              </w:rPr>
            </w:pPr>
            <w:r>
              <w:rPr>
                <w:szCs w:val="22"/>
              </w:rPr>
              <w:t>High</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jc w:val="center"/>
              <w:rPr>
                <w:szCs w:val="22"/>
              </w:rPr>
            </w:pPr>
            <w:r>
              <w:rPr>
                <w:szCs w:val="22"/>
              </w:rPr>
              <w:t>Medium</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jc w:val="center"/>
              <w:rPr>
                <w:szCs w:val="22"/>
              </w:rPr>
            </w:pPr>
            <w:r>
              <w:rPr>
                <w:szCs w:val="22"/>
              </w:rPr>
              <w:t>Low</w:t>
            </w:r>
          </w:p>
        </w:tc>
      </w:tr>
      <w:tr>
        <w:trPr/>
        <w:tc>
          <w:tcPr>
            <w:tcW w:w="1011" w:type="dxa"/>
            <w:vMerge w:val="restart"/>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before="0" w:after="0"/>
              <w:jc w:val="center"/>
              <w:rPr>
                <w:szCs w:val="22"/>
              </w:rPr>
            </w:pPr>
            <w:r>
              <w:rPr>
                <w:szCs w:val="22"/>
              </w:rPr>
            </w:r>
          </w:p>
          <w:p>
            <w:pPr>
              <w:pStyle w:val="Normal"/>
              <w:autoSpaceDE w:val="false"/>
              <w:spacing w:before="0" w:after="0"/>
              <w:jc w:val="center"/>
              <w:rPr>
                <w:b/>
                <w:szCs w:val="22"/>
              </w:rPr>
            </w:pPr>
            <w:r>
              <w:rPr>
                <w:b/>
                <w:szCs w:val="22"/>
              </w:rPr>
              <w:t>Urgency</w:t>
            </w:r>
          </w:p>
        </w:tc>
        <w:tc>
          <w:tcPr>
            <w:tcW w:w="1077"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szCs w:val="22"/>
              </w:rPr>
            </w:pPr>
            <w:r>
              <w:rPr>
                <w:szCs w:val="22"/>
              </w:rPr>
              <w:t>High</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jc w:val="center"/>
              <w:rPr>
                <w:szCs w:val="22"/>
              </w:rPr>
            </w:pPr>
            <w:r>
              <w:rPr>
                <w:szCs w:val="22"/>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jc w:val="center"/>
              <w:rPr>
                <w:szCs w:val="22"/>
              </w:rPr>
            </w:pPr>
            <w:r>
              <w:rPr>
                <w:szCs w:val="22"/>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jc w:val="center"/>
              <w:rPr>
                <w:szCs w:val="22"/>
              </w:rPr>
            </w:pPr>
            <w:r>
              <w:rPr>
                <w:szCs w:val="22"/>
              </w:rPr>
              <w:t>3</w:t>
            </w:r>
          </w:p>
        </w:tc>
      </w:tr>
      <w:tr>
        <w:trPr/>
        <w:tc>
          <w:tcPr>
            <w:tcW w:w="1011"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before="0" w:after="0"/>
              <w:rPr>
                <w:szCs w:val="22"/>
              </w:rPr>
            </w:pPr>
            <w:r>
              <w:rPr>
                <w:szCs w:val="22"/>
              </w:rPr>
            </w:r>
          </w:p>
        </w:tc>
        <w:tc>
          <w:tcPr>
            <w:tcW w:w="1077"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szCs w:val="22"/>
              </w:rPr>
            </w:pPr>
            <w:r>
              <w:rPr>
                <w:szCs w:val="22"/>
              </w:rPr>
              <w:t>Medium</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jc w:val="center"/>
              <w:rPr>
                <w:szCs w:val="22"/>
              </w:rPr>
            </w:pPr>
            <w:r>
              <w:rPr>
                <w:szCs w:val="22"/>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jc w:val="center"/>
              <w:rPr>
                <w:szCs w:val="22"/>
              </w:rPr>
            </w:pPr>
            <w:r>
              <w:rPr>
                <w:szCs w:val="22"/>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jc w:val="center"/>
              <w:rPr>
                <w:szCs w:val="22"/>
              </w:rPr>
            </w:pPr>
            <w:r>
              <w:rPr>
                <w:szCs w:val="22"/>
              </w:rPr>
              <w:t>4</w:t>
            </w:r>
          </w:p>
        </w:tc>
      </w:tr>
      <w:tr>
        <w:trPr/>
        <w:tc>
          <w:tcPr>
            <w:tcW w:w="1011"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before="0" w:after="0"/>
              <w:rPr>
                <w:szCs w:val="22"/>
              </w:rPr>
            </w:pPr>
            <w:r>
              <w:rPr>
                <w:szCs w:val="22"/>
              </w:rPr>
            </w:r>
          </w:p>
        </w:tc>
        <w:tc>
          <w:tcPr>
            <w:tcW w:w="1077"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szCs w:val="22"/>
              </w:rPr>
            </w:pPr>
            <w:r>
              <w:rPr>
                <w:szCs w:val="22"/>
              </w:rPr>
              <w:t>Low</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jc w:val="center"/>
              <w:rPr>
                <w:szCs w:val="22"/>
              </w:rPr>
            </w:pPr>
            <w:r>
              <w:rPr>
                <w:szCs w:val="22"/>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jc w:val="center"/>
              <w:rPr>
                <w:szCs w:val="22"/>
              </w:rPr>
            </w:pPr>
            <w:r>
              <w:rPr>
                <w:szCs w:val="22"/>
              </w:rPr>
              <w:t>4</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jc w:val="center"/>
              <w:rPr>
                <w:szCs w:val="22"/>
              </w:rPr>
            </w:pPr>
            <w:r>
              <w:rPr>
                <w:szCs w:val="22"/>
              </w:rPr>
              <w:t>4</w:t>
            </w:r>
          </w:p>
        </w:tc>
      </w:tr>
    </w:tbl>
    <w:p>
      <w:pPr>
        <w:pStyle w:val="Normal"/>
        <w:autoSpaceDE w:val="false"/>
        <w:spacing w:before="0" w:after="0"/>
        <w:rPr>
          <w:i/>
          <w:i/>
          <w:szCs w:val="22"/>
        </w:rPr>
      </w:pPr>
      <w:r>
        <w:rPr>
          <w:i/>
          <w:szCs w:val="22"/>
        </w:rPr>
        <w:t xml:space="preserve">   </w:t>
      </w:r>
    </w:p>
    <w:p>
      <w:pPr>
        <w:pStyle w:val="Normal"/>
        <w:autoSpaceDE w:val="false"/>
        <w:spacing w:before="0" w:after="0"/>
        <w:rPr/>
      </w:pPr>
      <w:r>
        <w:rPr>
          <w:i/>
          <w:szCs w:val="22"/>
        </w:rPr>
        <w:t>Eg  low urgency and medium impact would lead to a priority 4 rating</w:t>
      </w:r>
    </w:p>
    <w:p>
      <w:pPr>
        <w:pStyle w:val="Normal"/>
        <w:autoSpaceDE w:val="false"/>
        <w:spacing w:before="0" w:after="0"/>
        <w:rPr>
          <w:i/>
          <w:i/>
          <w:szCs w:val="22"/>
        </w:rPr>
      </w:pPr>
      <w:r>
        <w:rPr>
          <w:i/>
          <w:szCs w:val="22"/>
        </w:rPr>
      </w:r>
      <w:r>
        <w:br w:type="page"/>
      </w:r>
    </w:p>
    <w:p>
      <w:pPr>
        <w:pStyle w:val="Normal"/>
        <w:autoSpaceDE w:val="false"/>
        <w:spacing w:before="0" w:after="0"/>
        <w:rPr>
          <w:szCs w:val="22"/>
        </w:rPr>
      </w:pPr>
      <w:r>
        <w:rPr>
          <w:szCs w:val="22"/>
        </w:rPr>
      </w:r>
    </w:p>
    <w:p>
      <w:pPr>
        <w:pStyle w:val="Heading1Numbered"/>
        <w:numPr>
          <w:ilvl w:val="0"/>
          <w:numId w:val="3"/>
        </w:numPr>
        <w:rPr>
          <w:rFonts w:ascii="Times New Roman" w:hAnsi="Times New Roman" w:cs="Times New Roman"/>
          <w:sz w:val="22"/>
          <w:szCs w:val="22"/>
        </w:rPr>
      </w:pPr>
      <w:bookmarkStart w:id="6" w:name="__RefHeading___Toc148152981"/>
      <w:bookmarkEnd w:id="6"/>
      <w:r>
        <w:rPr>
          <w:rFonts w:cs="Times New Roman" w:ascii="Times New Roman" w:hAnsi="Times New Roman"/>
          <w:sz w:val="22"/>
          <w:szCs w:val="22"/>
        </w:rPr>
        <w:t>incident time to fix matrix</w:t>
      </w:r>
    </w:p>
    <w:p>
      <w:pPr>
        <w:pStyle w:val="Normal"/>
        <w:jc w:val="both"/>
        <w:rPr/>
      </w:pPr>
      <w:r>
        <w:rPr>
          <w:szCs w:val="22"/>
          <w:lang w:val="en-GB"/>
        </w:rPr>
        <w:t xml:space="preserve">In the following table the maximum number of business hours (relative to impacted Site(s) operation hours) allowed to react and to resolve an Incident is stated per Priority Level. There may be different Service Levels associated with the resolution of an Incident based on the assigned Priority Level. Expected time to respond / time to fix therefore may differ across services. </w:t>
      </w:r>
    </w:p>
    <w:p>
      <w:pPr>
        <w:pStyle w:val="Normal"/>
        <w:rPr>
          <w:szCs w:val="22"/>
          <w:lang w:val="en-GB"/>
        </w:rPr>
      </w:pPr>
      <w:r>
        <w:rPr>
          <w:szCs w:val="22"/>
          <w:lang w:val="en-GB"/>
        </w:rPr>
      </w:r>
    </w:p>
    <w:tbl>
      <w:tblPr>
        <w:tblW w:w="6948" w:type="dxa"/>
        <w:jc w:val="start"/>
        <w:tblInd w:w="0" w:type="dxa"/>
        <w:tblLayout w:type="fixed"/>
        <w:tblCellMar>
          <w:top w:w="0" w:type="dxa"/>
          <w:start w:w="108" w:type="dxa"/>
          <w:bottom w:w="0" w:type="dxa"/>
          <w:end w:w="108" w:type="dxa"/>
        </w:tblCellMar>
      </w:tblPr>
      <w:tblGrid>
        <w:gridCol w:w="1368"/>
        <w:gridCol w:w="3060"/>
        <w:gridCol w:w="2520"/>
      </w:tblGrid>
      <w:tr>
        <w:trPr/>
        <w:tc>
          <w:tcPr>
            <w:tcW w:w="136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120"/>
              <w:rPr>
                <w:b/>
                <w:szCs w:val="22"/>
              </w:rPr>
            </w:pPr>
            <w:r>
              <w:rPr>
                <w:b/>
                <w:szCs w:val="22"/>
              </w:rPr>
              <w:t>Priority</w:t>
            </w:r>
          </w:p>
        </w:tc>
        <w:tc>
          <w:tcPr>
            <w:tcW w:w="306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bidi w:val="0"/>
              <w:spacing w:before="120" w:after="120"/>
              <w:rPr/>
            </w:pPr>
            <w:r>
              <w:rPr>
                <w:b/>
                <w:szCs w:val="22"/>
              </w:rPr>
              <w:t>Maximum Response Time</w:t>
            </w:r>
          </w:p>
        </w:tc>
        <w:tc>
          <w:tcPr>
            <w:tcW w:w="252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bidi w:val="0"/>
              <w:spacing w:before="120" w:after="120"/>
              <w:rPr/>
            </w:pPr>
            <w:r>
              <w:rPr>
                <w:b/>
                <w:szCs w:val="22"/>
              </w:rPr>
              <w:t>Maximum Time to Fix</w:t>
            </w:r>
          </w:p>
        </w:tc>
      </w:tr>
      <w:tr>
        <w:trPr/>
        <w:tc>
          <w:tcPr>
            <w:tcW w:w="1368"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b/>
                <w:szCs w:val="22"/>
              </w:rPr>
            </w:pPr>
            <w:r>
              <w:rPr>
                <w:b/>
                <w:szCs w:val="22"/>
              </w:rPr>
              <w:t>1</w:t>
            </w:r>
          </w:p>
        </w:tc>
        <w:tc>
          <w:tcPr>
            <w:tcW w:w="3060" w:type="dxa"/>
            <w:tcBorders>
              <w:top w:val="single" w:sz="4" w:space="0" w:color="000000"/>
              <w:start w:val="single" w:sz="4" w:space="0" w:color="000000"/>
              <w:bottom w:val="single" w:sz="4" w:space="0" w:color="000000"/>
              <w:end w:val="single" w:sz="4" w:space="0" w:color="000000"/>
            </w:tcBorders>
          </w:tcPr>
          <w:p>
            <w:pPr>
              <w:pStyle w:val="CommentText"/>
              <w:spacing w:before="120" w:after="0"/>
              <w:rPr>
                <w:sz w:val="22"/>
                <w:szCs w:val="22"/>
                <w:lang w:val="en-GB"/>
              </w:rPr>
            </w:pPr>
            <w:r>
              <w:rPr>
                <w:sz w:val="22"/>
                <w:szCs w:val="22"/>
                <w:lang w:val="en-GB"/>
              </w:rPr>
              <w:t>1 hour</w:t>
            </w:r>
          </w:p>
        </w:tc>
        <w:tc>
          <w:tcPr>
            <w:tcW w:w="2520" w:type="dxa"/>
            <w:tcBorders>
              <w:top w:val="single" w:sz="4" w:space="0" w:color="000000"/>
              <w:start w:val="single" w:sz="4" w:space="0" w:color="000000"/>
              <w:bottom w:val="single" w:sz="4" w:space="0" w:color="000000"/>
              <w:end w:val="single" w:sz="4" w:space="0" w:color="000000"/>
            </w:tcBorders>
          </w:tcPr>
          <w:p>
            <w:pPr>
              <w:pStyle w:val="Normal"/>
              <w:spacing w:before="120" w:after="120"/>
              <w:rPr>
                <w:szCs w:val="22"/>
              </w:rPr>
            </w:pPr>
            <w:r>
              <w:rPr>
                <w:szCs w:val="22"/>
              </w:rPr>
              <w:t>2 hours</w:t>
            </w:r>
          </w:p>
        </w:tc>
      </w:tr>
      <w:tr>
        <w:trPr/>
        <w:tc>
          <w:tcPr>
            <w:tcW w:w="1368"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b/>
                <w:szCs w:val="22"/>
              </w:rPr>
            </w:pPr>
            <w:r>
              <w:rPr>
                <w:b/>
                <w:szCs w:val="22"/>
              </w:rPr>
              <w:t>2</w:t>
            </w:r>
          </w:p>
        </w:tc>
        <w:tc>
          <w:tcPr>
            <w:tcW w:w="3060" w:type="dxa"/>
            <w:tcBorders>
              <w:top w:val="single" w:sz="4" w:space="0" w:color="000000"/>
              <w:start w:val="single" w:sz="4" w:space="0" w:color="000000"/>
              <w:bottom w:val="single" w:sz="4" w:space="0" w:color="000000"/>
              <w:end w:val="single" w:sz="4" w:space="0" w:color="000000"/>
            </w:tcBorders>
          </w:tcPr>
          <w:p>
            <w:pPr>
              <w:pStyle w:val="Normal"/>
              <w:spacing w:before="120" w:after="120"/>
              <w:rPr>
                <w:szCs w:val="22"/>
              </w:rPr>
            </w:pPr>
            <w:r>
              <w:rPr>
                <w:szCs w:val="22"/>
              </w:rPr>
              <w:t>2 hour</w:t>
            </w:r>
          </w:p>
        </w:tc>
        <w:tc>
          <w:tcPr>
            <w:tcW w:w="2520" w:type="dxa"/>
            <w:tcBorders>
              <w:top w:val="single" w:sz="4" w:space="0" w:color="000000"/>
              <w:start w:val="single" w:sz="4" w:space="0" w:color="000000"/>
              <w:bottom w:val="single" w:sz="4" w:space="0" w:color="000000"/>
              <w:end w:val="single" w:sz="4" w:space="0" w:color="000000"/>
            </w:tcBorders>
          </w:tcPr>
          <w:p>
            <w:pPr>
              <w:pStyle w:val="Normal"/>
              <w:spacing w:before="120" w:after="120"/>
              <w:rPr>
                <w:szCs w:val="22"/>
              </w:rPr>
            </w:pPr>
            <w:r>
              <w:rPr>
                <w:szCs w:val="22"/>
              </w:rPr>
              <w:t>8 hours</w:t>
            </w:r>
          </w:p>
        </w:tc>
      </w:tr>
      <w:tr>
        <w:trPr/>
        <w:tc>
          <w:tcPr>
            <w:tcW w:w="1368"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b/>
                <w:szCs w:val="22"/>
              </w:rPr>
            </w:pPr>
            <w:r>
              <w:rPr>
                <w:b/>
                <w:szCs w:val="22"/>
              </w:rPr>
              <w:t>3</w:t>
            </w:r>
          </w:p>
        </w:tc>
        <w:tc>
          <w:tcPr>
            <w:tcW w:w="3060" w:type="dxa"/>
            <w:tcBorders>
              <w:top w:val="single" w:sz="4" w:space="0" w:color="000000"/>
              <w:start w:val="single" w:sz="4" w:space="0" w:color="000000"/>
              <w:bottom w:val="single" w:sz="4" w:space="0" w:color="000000"/>
              <w:end w:val="single" w:sz="4" w:space="0" w:color="000000"/>
            </w:tcBorders>
          </w:tcPr>
          <w:p>
            <w:pPr>
              <w:pStyle w:val="Normal"/>
              <w:spacing w:before="120" w:after="120"/>
              <w:rPr>
                <w:szCs w:val="22"/>
              </w:rPr>
            </w:pPr>
            <w:r>
              <w:rPr>
                <w:szCs w:val="22"/>
              </w:rPr>
              <w:t>8 hours (1 working day)</w:t>
            </w:r>
          </w:p>
        </w:tc>
        <w:tc>
          <w:tcPr>
            <w:tcW w:w="2520" w:type="dxa"/>
            <w:tcBorders>
              <w:top w:val="single" w:sz="4" w:space="0" w:color="000000"/>
              <w:start w:val="single" w:sz="4" w:space="0" w:color="000000"/>
              <w:bottom w:val="single" w:sz="4" w:space="0" w:color="000000"/>
              <w:end w:val="single" w:sz="4" w:space="0" w:color="000000"/>
            </w:tcBorders>
          </w:tcPr>
          <w:p>
            <w:pPr>
              <w:pStyle w:val="Normal"/>
              <w:spacing w:before="120" w:after="120"/>
              <w:rPr>
                <w:szCs w:val="22"/>
              </w:rPr>
            </w:pPr>
            <w:r>
              <w:rPr>
                <w:szCs w:val="22"/>
              </w:rPr>
              <w:t>24 hours (3 working days)</w:t>
            </w:r>
          </w:p>
        </w:tc>
      </w:tr>
      <w:tr>
        <w:trPr/>
        <w:tc>
          <w:tcPr>
            <w:tcW w:w="1368" w:type="dxa"/>
            <w:tcBorders>
              <w:top w:val="single" w:sz="4" w:space="0" w:color="000000"/>
              <w:start w:val="single" w:sz="4" w:space="0" w:color="000000"/>
              <w:bottom w:val="single" w:sz="4" w:space="0" w:color="000000"/>
              <w:end w:val="single" w:sz="4" w:space="0" w:color="000000"/>
            </w:tcBorders>
          </w:tcPr>
          <w:p>
            <w:pPr>
              <w:pStyle w:val="Normal"/>
              <w:spacing w:before="120" w:after="120"/>
              <w:jc w:val="center"/>
              <w:rPr>
                <w:b/>
                <w:szCs w:val="22"/>
              </w:rPr>
            </w:pPr>
            <w:r>
              <w:rPr>
                <w:b/>
                <w:szCs w:val="22"/>
              </w:rPr>
              <w:t>4</w:t>
            </w:r>
          </w:p>
        </w:tc>
        <w:tc>
          <w:tcPr>
            <w:tcW w:w="3060" w:type="dxa"/>
            <w:tcBorders>
              <w:top w:val="single" w:sz="4" w:space="0" w:color="000000"/>
              <w:start w:val="single" w:sz="4" w:space="0" w:color="000000"/>
              <w:bottom w:val="single" w:sz="4" w:space="0" w:color="000000"/>
              <w:end w:val="single" w:sz="4" w:space="0" w:color="000000"/>
            </w:tcBorders>
          </w:tcPr>
          <w:p>
            <w:pPr>
              <w:pStyle w:val="Normal"/>
              <w:spacing w:before="120" w:after="120"/>
              <w:rPr>
                <w:szCs w:val="22"/>
              </w:rPr>
            </w:pPr>
            <w:r>
              <w:rPr>
                <w:szCs w:val="22"/>
              </w:rPr>
              <w:t>24 hours (3 working days)</w:t>
            </w:r>
          </w:p>
        </w:tc>
        <w:tc>
          <w:tcPr>
            <w:tcW w:w="2520" w:type="dxa"/>
            <w:tcBorders>
              <w:top w:val="single" w:sz="4" w:space="0" w:color="000000"/>
              <w:start w:val="single" w:sz="4" w:space="0" w:color="000000"/>
              <w:bottom w:val="single" w:sz="4" w:space="0" w:color="000000"/>
              <w:end w:val="single" w:sz="4" w:space="0" w:color="000000"/>
            </w:tcBorders>
          </w:tcPr>
          <w:p>
            <w:pPr>
              <w:pStyle w:val="Normal"/>
              <w:spacing w:before="120" w:after="120"/>
              <w:rPr>
                <w:szCs w:val="22"/>
              </w:rPr>
            </w:pPr>
            <w:r>
              <w:rPr>
                <w:szCs w:val="22"/>
              </w:rPr>
              <w:t>10 working days</w:t>
            </w:r>
          </w:p>
        </w:tc>
      </w:tr>
    </w:tbl>
    <w:p>
      <w:pPr>
        <w:pStyle w:val="Normal"/>
        <w:autoSpaceDE w:val="false"/>
        <w:spacing w:before="0" w:after="0"/>
        <w:rPr>
          <w:szCs w:val="22"/>
        </w:rPr>
      </w:pPr>
      <w:r>
        <w:rPr>
          <w:szCs w:val="22"/>
        </w:rPr>
      </w:r>
    </w:p>
    <w:p>
      <w:pPr>
        <w:pStyle w:val="Heading1Numbered"/>
        <w:numPr>
          <w:ilvl w:val="0"/>
          <w:numId w:val="3"/>
        </w:numPr>
        <w:rPr>
          <w:rFonts w:ascii="Times New Roman" w:hAnsi="Times New Roman" w:cs="Times New Roman"/>
          <w:sz w:val="22"/>
          <w:szCs w:val="22"/>
        </w:rPr>
      </w:pPr>
      <w:bookmarkStart w:id="7" w:name="__RefHeading___Toc148152982"/>
      <w:bookmarkEnd w:id="7"/>
      <w:r>
        <w:rPr>
          <w:rFonts w:cs="Times New Roman" w:ascii="Times New Roman" w:hAnsi="Times New Roman"/>
          <w:sz w:val="22"/>
          <w:szCs w:val="22"/>
        </w:rPr>
        <w:t>Escalation procedures</w:t>
      </w:r>
    </w:p>
    <w:p>
      <w:pPr>
        <w:pStyle w:val="Heading2Numbered"/>
        <w:numPr>
          <w:ilvl w:val="1"/>
          <w:numId w:val="3"/>
        </w:numPr>
        <w:jc w:val="both"/>
        <w:rPr>
          <w:rFonts w:ascii="Times New Roman" w:hAnsi="Times New Roman" w:cs="Times New Roman"/>
          <w:sz w:val="22"/>
          <w:szCs w:val="22"/>
          <w:lang w:val="en-GB"/>
        </w:rPr>
      </w:pPr>
      <w:bookmarkStart w:id="8" w:name="__RefHeading___Toc148152983"/>
      <w:bookmarkEnd w:id="8"/>
      <w:r>
        <w:rPr>
          <w:rFonts w:cs="Times New Roman" w:ascii="Times New Roman" w:hAnsi="Times New Roman"/>
          <w:sz w:val="22"/>
          <w:szCs w:val="22"/>
          <w:lang w:val="en-GB"/>
        </w:rPr>
        <w:t>Description of Escalation Procedures</w:t>
      </w:r>
    </w:p>
    <w:p>
      <w:pPr>
        <w:pStyle w:val="Text1"/>
        <w:ind w:start="360" w:end="0"/>
        <w:rPr/>
      </w:pPr>
      <w:r>
        <w:rPr>
          <w:sz w:val="22"/>
          <w:szCs w:val="22"/>
        </w:rPr>
        <w:t>Within two (2) months after the Commencement Date, the PST Supplier will document and present to EuroBank for approval, the detailed escalation procedures to be used to manage the Services in line with the following principles:</w:t>
      </w:r>
    </w:p>
    <w:p>
      <w:pPr>
        <w:pStyle w:val="Heading51"/>
        <w:numPr>
          <w:ilvl w:val="2"/>
          <w:numId w:val="3"/>
        </w:numPr>
        <w:tabs>
          <w:tab w:val="clear" w:pos="992"/>
          <w:tab w:val="left" w:pos="1620" w:leader="none"/>
        </w:tabs>
        <w:ind w:hanging="900" w:start="1620" w:end="0"/>
        <w:rPr>
          <w:sz w:val="22"/>
          <w:szCs w:val="22"/>
        </w:rPr>
      </w:pPr>
      <w:r>
        <w:rPr>
          <w:sz w:val="22"/>
          <w:szCs w:val="22"/>
        </w:rPr>
        <w:t>The PST Supplier will take primary accountability for the management and implementation of the escalation procedures;</w:t>
      </w:r>
    </w:p>
    <w:p>
      <w:pPr>
        <w:pStyle w:val="Heading51"/>
        <w:numPr>
          <w:ilvl w:val="2"/>
          <w:numId w:val="3"/>
        </w:numPr>
        <w:tabs>
          <w:tab w:val="clear" w:pos="992"/>
          <w:tab w:val="left" w:pos="1620" w:leader="none"/>
        </w:tabs>
        <w:ind w:hanging="900" w:start="1620" w:end="0"/>
        <w:rPr>
          <w:sz w:val="22"/>
          <w:szCs w:val="22"/>
        </w:rPr>
      </w:pPr>
      <w:r>
        <w:rPr>
          <w:sz w:val="22"/>
          <w:szCs w:val="22"/>
        </w:rPr>
        <w:t xml:space="preserve">The PST Supplier will be responsible for ensuring initial capture and ongoing maintenance of the appropriate escalation points-of-contact.  </w:t>
      </w:r>
    </w:p>
    <w:p>
      <w:pPr>
        <w:pStyle w:val="Heading51"/>
        <w:numPr>
          <w:ilvl w:val="2"/>
          <w:numId w:val="3"/>
        </w:numPr>
        <w:tabs>
          <w:tab w:val="clear" w:pos="992"/>
          <w:tab w:val="left" w:pos="1620" w:leader="none"/>
        </w:tabs>
        <w:ind w:hanging="900" w:start="1620" w:end="0"/>
        <w:rPr>
          <w:sz w:val="22"/>
          <w:szCs w:val="22"/>
        </w:rPr>
      </w:pPr>
      <w:r>
        <w:rPr>
          <w:sz w:val="22"/>
          <w:szCs w:val="22"/>
        </w:rPr>
        <w:t xml:space="preserve">The escalation procedures will have multiple steps to handle various levels of Priority and will be flexible enough to handle EuroBank's specific requirements, and aligned with EuroBank priority settings as stated in this Exhibit. </w:t>
      </w:r>
    </w:p>
    <w:p>
      <w:pPr>
        <w:pStyle w:val="Heading51"/>
        <w:numPr>
          <w:ilvl w:val="2"/>
          <w:numId w:val="3"/>
        </w:numPr>
        <w:tabs>
          <w:tab w:val="left" w:pos="992" w:leader="none"/>
          <w:tab w:val="left" w:pos="1620" w:leader="none"/>
        </w:tabs>
        <w:ind w:hanging="900" w:start="1620" w:end="0"/>
        <w:rPr>
          <w:sz w:val="22"/>
          <w:szCs w:val="22"/>
        </w:rPr>
      </w:pPr>
      <w:r>
        <w:rPr>
          <w:sz w:val="22"/>
          <w:szCs w:val="22"/>
        </w:rPr>
        <w:t>The procedures will address two different types of escalation: time-based and event-based.</w:t>
      </w:r>
    </w:p>
    <w:p>
      <w:pPr>
        <w:pStyle w:val="Heading51"/>
        <w:numPr>
          <w:ilvl w:val="2"/>
          <w:numId w:val="3"/>
        </w:numPr>
        <w:tabs>
          <w:tab w:val="clear" w:pos="992"/>
          <w:tab w:val="left" w:pos="1620" w:leader="none"/>
        </w:tabs>
        <w:ind w:hanging="900" w:start="1620" w:end="0"/>
        <w:rPr>
          <w:sz w:val="22"/>
          <w:szCs w:val="22"/>
        </w:rPr>
      </w:pPr>
      <w:r>
        <w:rPr>
          <w:sz w:val="22"/>
          <w:szCs w:val="22"/>
        </w:rPr>
        <w:t>The triggering events for initiating the Incident escalation process include:</w:t>
      </w:r>
    </w:p>
    <w:p>
      <w:pPr>
        <w:pStyle w:val="Heading61"/>
        <w:numPr>
          <w:ilvl w:val="3"/>
          <w:numId w:val="3"/>
        </w:numPr>
        <w:tabs>
          <w:tab w:val="clear" w:pos="2268"/>
          <w:tab w:val="left" w:pos="2340" w:leader="none"/>
          <w:tab w:val="left" w:pos="2520" w:leader="none"/>
        </w:tabs>
        <w:ind w:hanging="900" w:start="2340" w:end="0"/>
        <w:rPr>
          <w:sz w:val="22"/>
          <w:szCs w:val="22"/>
        </w:rPr>
      </w:pPr>
      <w:r>
        <w:rPr>
          <w:sz w:val="22"/>
          <w:szCs w:val="22"/>
        </w:rPr>
        <w:t xml:space="preserve">the priority description requiring an escalation; and </w:t>
      </w:r>
    </w:p>
    <w:p>
      <w:pPr>
        <w:pStyle w:val="Heading61"/>
        <w:numPr>
          <w:ilvl w:val="3"/>
          <w:numId w:val="3"/>
        </w:numPr>
        <w:tabs>
          <w:tab w:val="clear" w:pos="2268"/>
          <w:tab w:val="left" w:pos="2340" w:leader="none"/>
          <w:tab w:val="left" w:pos="2520" w:leader="none"/>
        </w:tabs>
        <w:ind w:hanging="900" w:start="2340" w:end="0"/>
        <w:rPr>
          <w:sz w:val="22"/>
          <w:szCs w:val="22"/>
        </w:rPr>
      </w:pPr>
      <w:r>
        <w:rPr>
          <w:sz w:val="22"/>
          <w:szCs w:val="22"/>
        </w:rPr>
        <w:t>escalated Incidents.</w:t>
      </w:r>
    </w:p>
    <w:p>
      <w:pPr>
        <w:pStyle w:val="Heading51"/>
        <w:numPr>
          <w:ilvl w:val="2"/>
          <w:numId w:val="3"/>
        </w:numPr>
        <w:tabs>
          <w:tab w:val="left" w:pos="992" w:leader="none"/>
          <w:tab w:val="left" w:pos="1620" w:leader="none"/>
        </w:tabs>
        <w:ind w:hanging="900" w:start="1620" w:end="0"/>
        <w:rPr>
          <w:sz w:val="22"/>
          <w:szCs w:val="22"/>
        </w:rPr>
      </w:pPr>
      <w:r>
        <w:rPr>
          <w:sz w:val="22"/>
          <w:szCs w:val="22"/>
        </w:rPr>
        <w:t xml:space="preserve">Time driven escalation are based on the concept that the assigned Incident priority dictates escalation at specific, pre-defined time intervals. The actual time frames used for EuroBank will be developed in line with the requirements specified by the Governance team.  </w:t>
      </w:r>
    </w:p>
    <w:p>
      <w:pPr>
        <w:pStyle w:val="Heading51"/>
        <w:numPr>
          <w:ilvl w:val="2"/>
          <w:numId w:val="3"/>
        </w:numPr>
        <w:tabs>
          <w:tab w:val="left" w:pos="992" w:leader="none"/>
          <w:tab w:val="left" w:pos="1620" w:leader="none"/>
        </w:tabs>
        <w:ind w:hanging="900" w:start="1620" w:end="0"/>
        <w:rPr>
          <w:sz w:val="22"/>
          <w:szCs w:val="22"/>
        </w:rPr>
      </w:pPr>
      <w:r>
        <w:rPr>
          <w:sz w:val="22"/>
          <w:szCs w:val="22"/>
        </w:rPr>
        <w:t>Implementation of a process to ensure that the PST Supplier assigns and makes known to the EuroBank members of the Governance team a person to coordinate rapid resolution and document the situation.</w:t>
      </w:r>
    </w:p>
    <w:p>
      <w:pPr>
        <w:pStyle w:val="Heading51"/>
        <w:numPr>
          <w:ilvl w:val="2"/>
          <w:numId w:val="3"/>
        </w:numPr>
        <w:tabs>
          <w:tab w:val="left" w:pos="992" w:leader="none"/>
          <w:tab w:val="left" w:pos="1620" w:leader="none"/>
        </w:tabs>
        <w:ind w:hanging="900" w:start="1620" w:end="0"/>
        <w:rPr>
          <w:sz w:val="22"/>
          <w:szCs w:val="22"/>
        </w:rPr>
      </w:pPr>
      <w:r>
        <w:rPr>
          <w:sz w:val="22"/>
          <w:szCs w:val="22"/>
        </w:rPr>
        <w:t>Implementation of a process by which the PST Supplier will be able to access appropriate technical resources and management attention to achieve rapid resolution of the Incident.</w:t>
      </w:r>
    </w:p>
    <w:p>
      <w:pPr>
        <w:pStyle w:val="Heading51"/>
        <w:numPr>
          <w:ilvl w:val="2"/>
          <w:numId w:val="3"/>
        </w:numPr>
        <w:tabs>
          <w:tab w:val="left" w:pos="992" w:leader="none"/>
          <w:tab w:val="left" w:pos="1620" w:leader="none"/>
        </w:tabs>
        <w:ind w:hanging="900" w:start="1620" w:end="0"/>
        <w:rPr>
          <w:sz w:val="22"/>
          <w:szCs w:val="22"/>
        </w:rPr>
      </w:pPr>
      <w:r>
        <w:rPr>
          <w:sz w:val="22"/>
          <w:szCs w:val="22"/>
        </w:rPr>
        <w:t>Implementation of procedures for gaining access to Sites outside normal working hours for the resolution of Incidents.</w:t>
      </w:r>
    </w:p>
    <w:p>
      <w:pPr>
        <w:pStyle w:val="Heading2Numbered"/>
        <w:numPr>
          <w:ilvl w:val="1"/>
          <w:numId w:val="3"/>
        </w:numPr>
        <w:jc w:val="both"/>
        <w:rPr>
          <w:rFonts w:ascii="Times New Roman" w:hAnsi="Times New Roman" w:cs="Times New Roman"/>
          <w:sz w:val="22"/>
          <w:szCs w:val="22"/>
        </w:rPr>
      </w:pPr>
      <w:r>
        <w:rPr>
          <w:rFonts w:cs="Times New Roman" w:ascii="Times New Roman" w:hAnsi="Times New Roman"/>
          <w:sz w:val="22"/>
          <w:szCs w:val="22"/>
        </w:rPr>
        <w:t xml:space="preserve"> </w:t>
      </w:r>
      <w:bookmarkStart w:id="9" w:name="__RefHeading___Toc148152984"/>
      <w:r>
        <w:rPr>
          <w:rFonts w:cs="Times New Roman" w:ascii="Times New Roman" w:hAnsi="Times New Roman"/>
          <w:sz w:val="22"/>
          <w:szCs w:val="22"/>
          <w:lang w:val="en-GB"/>
        </w:rPr>
        <w:t>Current escalation timelines</w:t>
      </w:r>
      <w:bookmarkEnd w:id="9"/>
    </w:p>
    <w:p>
      <w:pPr>
        <w:pStyle w:val="Heading51"/>
        <w:numPr>
          <w:ilvl w:val="2"/>
          <w:numId w:val="3"/>
        </w:numPr>
        <w:tabs>
          <w:tab w:val="left" w:pos="992" w:leader="none"/>
          <w:tab w:val="left" w:pos="1620" w:leader="none"/>
        </w:tabs>
        <w:ind w:hanging="900" w:start="1620" w:end="0"/>
        <w:rPr>
          <w:sz w:val="22"/>
          <w:szCs w:val="22"/>
        </w:rPr>
      </w:pPr>
      <w:bookmarkStart w:id="10" w:name="_Ref67199788"/>
      <w:bookmarkStart w:id="11" w:name="_Ref67199797"/>
      <w:r>
        <w:rPr>
          <w:b/>
          <w:sz w:val="22"/>
          <w:szCs w:val="22"/>
          <w:u w:val="single"/>
        </w:rPr>
        <w:t>Priority 1 escalation procedures: promptly (within one (1) hour) inform the relevant EuroBank manager of any Priority 1 Incidents. Execute Emergency Ordering Process in accordance with the Policies and Procedures Manual.</w:t>
      </w:r>
      <w:r>
        <w:rPr>
          <w:sz w:val="22"/>
          <w:szCs w:val="22"/>
          <w:u w:val="single"/>
        </w:rPr>
      </w:r>
      <w:r>
        <w:rPr>
          <w:sz w:val="22"/>
          <w:szCs w:val="22"/>
        </w:rPr>
      </w:r>
      <w:bookmarkEnd w:id="10"/>
    </w:p>
    <w:p>
      <w:pPr>
        <w:pStyle w:val="Heading51"/>
        <w:numPr>
          <w:ilvl w:val="2"/>
          <w:numId w:val="3"/>
        </w:numPr>
        <w:tabs>
          <w:tab w:val="left" w:pos="992" w:leader="none"/>
          <w:tab w:val="left" w:pos="1620" w:leader="none"/>
        </w:tabs>
        <w:ind w:hanging="900" w:start="1620" w:end="0"/>
        <w:rPr>
          <w:sz w:val="22"/>
          <w:szCs w:val="22"/>
        </w:rPr>
      </w:pPr>
      <w:r>
        <w:rPr>
          <w:b/>
          <w:sz w:val="22"/>
          <w:szCs w:val="22"/>
          <w:u w:val="single"/>
        </w:rPr>
        <w:t>Priority 2 escalation procedures: Check Priority every one (1) business hours; in the event any Priority 2 Incident is not resolved within one (1) day, promptly notify EuroBank of such Incident the second day before 9:00 AM (local time) and, if requested by EuroBank, raise the Priority to Priority Level 1 after two(2) days.</w:t>
      </w:r>
      <w:r>
        <w:rPr>
          <w:sz w:val="22"/>
          <w:szCs w:val="22"/>
          <w:u w:val="single"/>
        </w:rPr>
      </w:r>
      <w:r>
        <w:rPr>
          <w:sz w:val="22"/>
          <w:szCs w:val="22"/>
        </w:rPr>
      </w:r>
      <w:bookmarkEnd w:id="11"/>
    </w:p>
    <w:p>
      <w:pPr>
        <w:pStyle w:val="Heading51"/>
        <w:numPr>
          <w:ilvl w:val="2"/>
          <w:numId w:val="3"/>
        </w:numPr>
        <w:tabs>
          <w:tab w:val="left" w:pos="992" w:leader="none"/>
          <w:tab w:val="left" w:pos="1620" w:leader="none"/>
        </w:tabs>
        <w:ind w:hanging="900" w:start="1620" w:end="0"/>
        <w:rPr>
          <w:sz w:val="22"/>
          <w:szCs w:val="22"/>
        </w:rPr>
      </w:pPr>
      <w:r>
        <w:rPr>
          <w:b/>
          <w:sz w:val="22"/>
          <w:szCs w:val="22"/>
          <w:u w:val="single"/>
        </w:rPr>
        <w:t>Priority 3 escalation procedures: Check Priority every two (2) business hours; in the event any Priority 2 Incident is not resolved within one (1) day, promptly notify EuroBank of such Incident the second day before 9:00 AM (local time) and, if requested by EuroBank, raise the Priority to Priority Level 2 after three (3) days.</w:t>
      </w:r>
      <w:r>
        <w:rPr>
          <w:sz w:val="22"/>
          <w:szCs w:val="22"/>
          <w:u w:val="single"/>
        </w:rPr>
      </w:r>
      <w:r>
        <w:rPr>
          <w:sz w:val="22"/>
          <w:szCs w:val="22"/>
        </w:rPr>
      </w:r>
    </w:p>
    <w:p>
      <w:pPr>
        <w:pStyle w:val="Heading51"/>
        <w:numPr>
          <w:ilvl w:val="2"/>
          <w:numId w:val="3"/>
        </w:numPr>
        <w:tabs>
          <w:tab w:val="left" w:pos="992" w:leader="none"/>
          <w:tab w:val="left" w:pos="1620" w:leader="none"/>
        </w:tabs>
        <w:ind w:hanging="900" w:start="1620" w:end="0"/>
        <w:rPr>
          <w:sz w:val="22"/>
          <w:szCs w:val="22"/>
        </w:rPr>
      </w:pPr>
      <w:r>
        <w:rPr>
          <w:b/>
          <w:sz w:val="22"/>
          <w:szCs w:val="22"/>
          <w:u w:val="single"/>
        </w:rPr>
        <w:t>Priority 4 escalation procedures: Check Priority every four (4) business  hours; in the event any Priority 4 Incident is not resolved within 10 days, promptly notify EuroBank immediately on the following business day of such Incident and, if requested by EuroBank, raise the Priority to Priority Level 3</w:t>
      </w:r>
      <w:r>
        <w:rPr>
          <w:sz w:val="22"/>
          <w:szCs w:val="22"/>
          <w:u w:val="single"/>
        </w:rPr>
      </w:r>
      <w:r>
        <w:rPr>
          <w:sz w:val="22"/>
          <w:szCs w:val="22"/>
        </w:rPr>
      </w:r>
    </w:p>
    <w:p>
      <w:pPr>
        <w:pStyle w:val="Heading51"/>
        <w:numPr>
          <w:ilvl w:val="0"/>
          <w:numId w:val="0"/>
        </w:numPr>
        <w:spacing w:before="240" w:after="240"/>
        <w:ind w:hanging="0" w:start="720" w:end="0"/>
        <w:rPr>
          <w:sz w:val="22"/>
          <w:szCs w:val="22"/>
        </w:rPr>
      </w:pPr>
      <w:r>
        <w:rPr>
          <w:sz w:val="22"/>
          <w:szCs w:val="22"/>
        </w:rPr>
      </w:r>
    </w:p>
    <w:sectPr>
      <w:headerReference w:type="default" r:id="rId8"/>
      <w:headerReference w:type="first" r:id="rId9"/>
      <w:footerReference w:type="default" r:id="rId10"/>
      <w:footerReference w:type="first" r:id="rId11"/>
      <w:type w:val="nextPage"/>
      <w:pgSz w:w="11906" w:h="16838"/>
      <w:pgMar w:left="1440" w:right="1440" w:gutter="0" w:header="720" w:top="1728" w:footer="737" w:bottom="172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Times New Roman Gras">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right" w:pos="8820" w:leader="none"/>
      </w:tabs>
      <w:spacing w:before="120" w:after="120"/>
      <w:ind w:end="36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right" w:pos="8820" w:leader="none"/>
      </w:tabs>
      <w:spacing w:before="120" w:after="120"/>
      <w:ind w:end="36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4</w:t>
    </w:r>
    <w:r>
      <w:rPr>
        <w:sz w:val="16"/>
        <w:szCs w:val="16"/>
      </w:rPr>
      <w:fldChar w:fldCharType="end"/>
    </w:r>
    <w:r>
      <w:rPr>
        <w:sz w:val="16"/>
        <w:szCs w:val="16"/>
      </w:rPr>
      <w:t xml:space="preserve"> -</w:t>
      <w:tab/>
      <w:t>30/11/06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9000" w:leader="none"/>
      </w:tabs>
      <w:spacing w:before="120" w:after="120"/>
      <w:rPr/>
    </w:pPr>
    <w:r>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3-E (Priority Levels) Final v1.3.doc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9000" w:leader="none"/>
      </w:tabs>
      <w:spacing w:before="120" w:after="120"/>
      <w:jc w:val="end"/>
      <w:rPr>
        <w:sz w:val="16"/>
        <w:szCs w:val="16"/>
      </w:rPr>
    </w:pPr>
    <w:r>
      <w:rPr>
        <w:sz w:val="16"/>
        <w:szCs w:val="16"/>
      </w:rPr>
      <w:drawing>
        <wp:anchor behindDoc="1" distT="0" distB="0" distL="114935" distR="114935" simplePos="0" locked="0" layoutInCell="0" allowOverlap="1" relativeHeight="3">
          <wp:simplePos x="0" y="0"/>
          <wp:positionH relativeFrom="column">
            <wp:posOffset>0</wp:posOffset>
          </wp:positionH>
          <wp:positionV relativeFrom="paragraph">
            <wp:posOffset>-38100</wp:posOffset>
          </wp:positionV>
          <wp:extent cx="962025" cy="285750"/>
          <wp:effectExtent l="0" t="0" r="0" b="0"/>
          <wp:wrapTight wrapText="bothSides">
            <wp:wrapPolygon edited="0">
              <wp:start x="-162" y="0"/>
              <wp:lineTo x="-162" y="20338"/>
              <wp:lineTo x="21600" y="20338"/>
              <wp:lineTo x="21600" y="0"/>
              <wp:lineTo x="-162" y="0"/>
            </wp:wrapPolygon>
          </wp:wrapTigh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2025" cy="285750"/>
                  </a:xfrm>
                  <a:prstGeom prst="rect">
                    <a:avLst/>
                  </a:prstGeom>
                  <a:noFill/>
                </pic:spPr>
              </pic:pic>
            </a:graphicData>
          </a:graphic>
        </wp:anchor>
      </w:drawing>
      <w:fldChar w:fldCharType="begin"/>
    </w:r>
    <w:r>
      <w:rPr>
        <w:sz w:val="16"/>
        <w:szCs w:val="16"/>
      </w:rPr>
      <w:instrText xml:space="preserve"> FILENAME </w:instrText>
    </w:r>
    <w:r>
      <w:rPr>
        <w:sz w:val="16"/>
        <w:szCs w:val="16"/>
      </w:rPr>
      <w:fldChar w:fldCharType="separate"/>
    </w:r>
    <w:r>
      <w:rPr>
        <w:sz w:val="16"/>
        <w:szCs w:val="16"/>
      </w:rPr>
      <w:t>Attachment 3-E (Priority Levels) Final v1.3.doc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9000" w:leader="none"/>
      </w:tabs>
      <w:spacing w:before="120" w:after="120"/>
      <w:jc w:val="end"/>
      <w:rPr>
        <w:sz w:val="16"/>
        <w:szCs w:val="16"/>
      </w:rPr>
    </w:pPr>
    <w:r>
      <w:rPr>
        <w:sz w:val="16"/>
        <w:szCs w:val="16"/>
      </w:rPr>
      <w:drawing>
        <wp:anchor behindDoc="1" distT="0" distB="0" distL="114935" distR="114935" simplePos="0" locked="0" layoutInCell="0" allowOverlap="1" relativeHeight="7">
          <wp:simplePos x="0" y="0"/>
          <wp:positionH relativeFrom="column">
            <wp:posOffset>0</wp:posOffset>
          </wp:positionH>
          <wp:positionV relativeFrom="paragraph">
            <wp:posOffset>-38100</wp:posOffset>
          </wp:positionV>
          <wp:extent cx="962025" cy="285750"/>
          <wp:effectExtent l="0" t="0" r="0" b="0"/>
          <wp:wrapTight wrapText="bothSides">
            <wp:wrapPolygon edited="0">
              <wp:start x="-162" y="0"/>
              <wp:lineTo x="-162" y="20338"/>
              <wp:lineTo x="21600" y="20338"/>
              <wp:lineTo x="21600" y="0"/>
              <wp:lineTo x="-162" y="0"/>
            </wp:wrapPolygon>
          </wp:wrapTight>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28" t="-97" r="-28" b="-97"/>
                  <a:stretch>
                    <a:fillRect/>
                  </a:stretch>
                </pic:blipFill>
                <pic:spPr bwMode="auto">
                  <a:xfrm>
                    <a:off x="0" y="0"/>
                    <a:ext cx="962025" cy="285750"/>
                  </a:xfrm>
                  <a:prstGeom prst="rect">
                    <a:avLst/>
                  </a:prstGeom>
                  <a:noFill/>
                </pic:spPr>
              </pic:pic>
            </a:graphicData>
          </a:graphic>
        </wp:anchor>
      </w:drawing>
      <w:fldChar w:fldCharType="begin"/>
    </w:r>
    <w:r>
      <w:rPr>
        <w:sz w:val="16"/>
        <w:szCs w:val="16"/>
      </w:rPr>
      <w:instrText xml:space="preserve"> FILENAME </w:instrText>
    </w:r>
    <w:r>
      <w:rPr>
        <w:sz w:val="16"/>
        <w:szCs w:val="16"/>
      </w:rPr>
      <w:fldChar w:fldCharType="separate"/>
    </w:r>
    <w:r>
      <w:rPr>
        <w:sz w:val="16"/>
        <w:szCs w:val="16"/>
      </w:rPr>
      <w:t>Attachment 3-E (Priority Levels) Final v1.3.doc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709"/>
      </w:pPr>
      <w:rPr>
        <w:sz w:val="24"/>
        <w:i w:val="false"/>
        <w:u w:val="none"/>
        <w:b w:val="false"/>
        <w:szCs w:val="24"/>
        <w:rFonts w:ascii="Times New Roman" w:hAnsi="Times New Roman" w:cs="Times New Roman"/>
      </w:rPr>
    </w:lvl>
    <w:lvl w:ilvl="1">
      <w:start w:val="1"/>
      <w:numFmt w:val="decimal"/>
      <w:lvlText w:val="%1.%2"/>
      <w:lvlJc w:val="start"/>
      <w:pPr>
        <w:tabs>
          <w:tab w:val="num" w:pos="709"/>
        </w:tabs>
        <w:ind w:start="709" w:hanging="709"/>
      </w:pPr>
      <w:rPr>
        <w:sz w:val="24"/>
        <w:i w:val="false"/>
        <w:u w:val="none"/>
        <w:b w:val="false"/>
        <w:szCs w:val="24"/>
        <w:rFonts w:ascii="Times New Roman" w:hAnsi="Times New Roman" w:cs="Times New Roman"/>
      </w:rPr>
    </w:lvl>
    <w:lvl w:ilvl="2">
      <w:start w:val="1"/>
      <w:numFmt w:val="decimal"/>
      <w:lvlText w:val="%1.%2.%3"/>
      <w:lvlJc w:val="start"/>
      <w:pPr>
        <w:tabs>
          <w:tab w:val="num" w:pos="1701"/>
        </w:tabs>
        <w:ind w:start="1701" w:hanging="992"/>
      </w:pPr>
      <w:rPr/>
    </w:lvl>
    <w:lvl w:ilvl="3">
      <w:start w:val="1"/>
      <w:numFmt w:val="decimal"/>
      <w:lvlText w:val="%1.%2.%3.%4"/>
      <w:lvlJc w:val="start"/>
      <w:pPr>
        <w:tabs>
          <w:tab w:val="num" w:pos="1701"/>
        </w:tabs>
        <w:ind w:start="1701" w:hanging="992"/>
      </w:pPr>
      <w:rPr/>
    </w:lvl>
    <w:lvl w:ilvl="4">
      <w:start w:val="1"/>
      <w:numFmt w:val="lowerLetter"/>
      <w:lvlText w:val="(%5)"/>
      <w:lvlJc w:val="start"/>
      <w:pPr>
        <w:tabs>
          <w:tab w:val="num" w:pos="1701"/>
        </w:tabs>
        <w:ind w:start="1701" w:hanging="992"/>
      </w:pPr>
      <w:rPr>
        <w:sz w:val="24"/>
        <w:i w:val="false"/>
        <w:u w:val="none"/>
        <w:b w:val="false"/>
        <w:szCs w:val="24"/>
        <w:rFonts w:ascii="Times New Roman" w:hAnsi="Times New Roman" w:cs="Times New Roman"/>
      </w:rPr>
    </w:lvl>
    <w:lvl w:ilvl="5">
      <w:start w:val="1"/>
      <w:numFmt w:val="decimal"/>
      <w:lvlText w:val="(%6)"/>
      <w:lvlJc w:val="start"/>
      <w:pPr>
        <w:tabs>
          <w:tab w:val="num" w:pos="1701"/>
        </w:tabs>
        <w:ind w:start="1701" w:hanging="992"/>
      </w:pPr>
      <w:rPr>
        <w:sz w:val="24"/>
        <w:i w:val="false"/>
        <w:b w:val="false"/>
        <w:szCs w:val="24"/>
        <w:rFonts w:ascii="Times New Roman" w:hAnsi="Times New Roman" w:cs="Times New Roman"/>
      </w:rPr>
    </w:lvl>
    <w:lvl w:ilvl="6">
      <w:start w:val="1"/>
      <w:numFmt w:val="lowerRoman"/>
      <w:lvlText w:val="%7"/>
      <w:lvlJc w:val="start"/>
      <w:pPr>
        <w:tabs>
          <w:tab w:val="num" w:pos="1701"/>
        </w:tabs>
        <w:ind w:start="1701" w:hanging="992"/>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3">
    <w:lvl w:ilvl="0">
      <w:start w:val="1"/>
      <w:numFmt w:val="decimal"/>
      <w:lvlText w:val="%1."/>
      <w:lvlJc w:val="start"/>
      <w:pPr>
        <w:tabs>
          <w:tab w:val="num" w:pos="360"/>
        </w:tabs>
        <w:ind w:start="360" w:hanging="360"/>
      </w:pPr>
    </w:lvl>
    <w:lvl w:ilvl="1">
      <w:start w:val="1"/>
      <w:numFmt w:val="decimal"/>
      <w:lvlText w:val="%1.%2."/>
      <w:lvlJc w:val="start"/>
      <w:pPr>
        <w:tabs>
          <w:tab w:val="num" w:pos="792"/>
        </w:tabs>
        <w:ind w:start="792" w:hanging="432"/>
      </w:pPr>
    </w:lvl>
    <w:lvl w:ilvl="2">
      <w:start w:val="1"/>
      <w:numFmt w:val="decimal"/>
      <w:lvlText w:val="%1.%2.%3."/>
      <w:lvlJc w:val="start"/>
      <w:pPr>
        <w:tabs>
          <w:tab w:val="num" w:pos="1224"/>
        </w:tabs>
        <w:ind w:start="1224" w:hanging="504"/>
      </w:pPr>
    </w:lvl>
    <w:lvl w:ilvl="3">
      <w:start w:val="1"/>
      <w:numFmt w:val="decimal"/>
      <w:lvlText w:val="%1.%2.%3.%4."/>
      <w:lvlJc w:val="start"/>
      <w:pPr>
        <w:tabs>
          <w:tab w:val="num" w:pos="1800"/>
        </w:tabs>
        <w:ind w:start="1728" w:hanging="648"/>
      </w:pPr>
    </w:lvl>
    <w:lvl w:ilvl="4">
      <w:start w:val="1"/>
      <w:numFmt w:val="decimal"/>
      <w:lvlText w:val="%1.%2.%3.%4.%5."/>
      <w:lvlJc w:val="start"/>
      <w:pPr>
        <w:tabs>
          <w:tab w:val="num" w:pos="2520"/>
        </w:tabs>
        <w:ind w:start="2232" w:hanging="792"/>
      </w:pPr>
    </w:lvl>
    <w:lvl w:ilvl="5">
      <w:start w:val="1"/>
      <w:numFmt w:val="decimal"/>
      <w:lvlText w:val="%1.%2.%3.%4.%5.%6."/>
      <w:lvlJc w:val="start"/>
      <w:pPr>
        <w:tabs>
          <w:tab w:val="num" w:pos="2880"/>
        </w:tabs>
        <w:ind w:start="2736" w:hanging="936"/>
      </w:pPr>
    </w:lvl>
    <w:lvl w:ilvl="6">
      <w:start w:val="1"/>
      <w:numFmt w:val="decimal"/>
      <w:lvlText w:val="%1.%2.%3.%4.%5.%6.%7."/>
      <w:lvlJc w:val="start"/>
      <w:pPr>
        <w:tabs>
          <w:tab w:val="num" w:pos="3600"/>
        </w:tabs>
        <w:ind w:start="3240" w:hanging="1080"/>
      </w:pPr>
    </w:lvl>
    <w:lvl w:ilvl="7">
      <w:start w:val="1"/>
      <w:numFmt w:val="decimal"/>
      <w:lvlText w:val="%1.%2.%3.%4.%5.%6.%7.%8."/>
      <w:lvlJc w:val="start"/>
      <w:pPr>
        <w:tabs>
          <w:tab w:val="num" w:pos="3960"/>
        </w:tabs>
        <w:ind w:start="3744" w:hanging="1224"/>
      </w:pPr>
    </w:lvl>
    <w:lvl w:ilvl="8">
      <w:start w:val="1"/>
      <w:numFmt w:val="decimal"/>
      <w:lvlText w:val="%1.%2.%3.%4.%5.%6.%7.%8.%9."/>
      <w:lvlJc w:val="start"/>
      <w:pPr>
        <w:tabs>
          <w:tab w:val="num" w:pos="4680"/>
        </w:tabs>
        <w:ind w:start="4320" w:hanging="1440"/>
      </w:pPr>
    </w:lvl>
  </w:abstractNum>
  <w:abstractNum w:abstractNumId="4">
    <w:lvl w:ilvl="0">
      <w:start w:val="1"/>
      <w:numFmt w:val="bullet"/>
      <w:lvlText w:val=""/>
      <w:lvlJc w:val="start"/>
      <w:pPr>
        <w:tabs>
          <w:tab w:val="num" w:pos="1080"/>
        </w:tabs>
        <w:ind w:start="1080" w:hanging="360"/>
      </w:pPr>
      <w:rPr>
        <w:rFonts w:ascii="Symbol" w:hAnsi="Symbol" w:cs="Symbol" w:hint="default"/>
      </w:rPr>
    </w:lvl>
  </w:abstractNum>
  <w:abstractNum w:abstractNumId="5">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character" w:styleId="WW8Num1z0">
    <w:name w:val="WW8Num1z0"/>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rFonts w:ascii="Symbol" w:hAnsi="Symbol" w:eastAsia="Times New Roman"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rFonts w:ascii="Symbol" w:hAnsi="Symbol" w:eastAsia="Times New Roman"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eastAsia="Times New Roman"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style>
  <w:style w:type="character" w:styleId="WW8Num15z2">
    <w:name w:val="WW8Num15z2"/>
    <w:qFormat/>
    <w:rPr>
      <w:rFonts w:ascii="Symbol" w:hAnsi="Symbol" w:cs="Symbol"/>
    </w:rPr>
  </w:style>
  <w:style w:type="character" w:styleId="WW8Num16z0">
    <w:name w:val="WW8Num16z0"/>
    <w:qFormat/>
    <w:rPr>
      <w:rFonts w:ascii="Symbol" w:hAnsi="Symbol" w:eastAsia="Times New Roman"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8z0">
    <w:name w:val="WW8Num18z0"/>
    <w:qFormat/>
    <w:rPr>
      <w:rFonts w:ascii="Times New Roman" w:hAnsi="Times New Roman" w:cs="Times New Roman"/>
      <w:b w:val="false"/>
      <w:i w:val="false"/>
      <w:sz w:val="24"/>
      <w:szCs w:val="24"/>
      <w:u w:val="none"/>
    </w:rPr>
  </w:style>
  <w:style w:type="character" w:styleId="WW8Num18z2">
    <w:name w:val="WW8Num18z2"/>
    <w:qFormat/>
    <w:rPr/>
  </w:style>
  <w:style w:type="character" w:styleId="WW8Num18z5">
    <w:name w:val="WW8Num18z5"/>
    <w:qFormat/>
    <w:rPr>
      <w:rFonts w:ascii="Times New Roman" w:hAnsi="Times New Roman" w:cs="Times New Roman"/>
      <w:b w:val="false"/>
      <w:i w:val="false"/>
      <w:sz w:val="24"/>
      <w:szCs w:val="24"/>
    </w:rPr>
  </w:style>
  <w:style w:type="character" w:styleId="WW8Num20z0">
    <w:name w:val="WW8Num20z0"/>
    <w:qFormat/>
    <w:rPr/>
  </w:style>
  <w:style w:type="character" w:styleId="WW8Num21z0">
    <w:name w:val="WW8Num21z0"/>
    <w:qFormat/>
    <w:rPr>
      <w:rFonts w:ascii="Symbol" w:hAnsi="Symbol" w:eastAsia="Times New Roman"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Symbol" w:hAnsi="Symbol" w:eastAsia="Times New Roman"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Times New Roman" w:hAnsi="Times New Roman" w:cs="Times New Roman"/>
      <w:b w:val="false"/>
      <w:i w:val="false"/>
      <w:color w:val="000000"/>
      <w:sz w:val="22"/>
    </w:rPr>
  </w:style>
  <w:style w:type="character" w:styleId="WW8Num24z1">
    <w:name w:val="WW8Num24z1"/>
    <w:qFormat/>
    <w:rPr>
      <w:rFonts w:ascii="Times New Roman" w:hAnsi="Times New Roman" w:cs="Times New Roman"/>
      <w:b w:val="false"/>
      <w:i w:val="false"/>
      <w:sz w:val="22"/>
    </w:rPr>
  </w:style>
  <w:style w:type="character" w:styleId="WW8Num24z4">
    <w:name w:val="WW8Num24z4"/>
    <w:qFormat/>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Times New Roman" w:hAnsi="Times New Roman" w:cs="Times New Roman"/>
      <w:b w:val="false"/>
      <w:i w:val="false"/>
      <w:color w:val="000000"/>
      <w:sz w:val="22"/>
    </w:rPr>
  </w:style>
  <w:style w:type="character" w:styleId="WW8Num27z1">
    <w:name w:val="WW8Num27z1"/>
    <w:qFormat/>
    <w:rPr>
      <w:rFonts w:ascii="Times New Roman" w:hAnsi="Times New Roman" w:cs="Times New Roman"/>
      <w:b w:val="false"/>
      <w:i w:val="false"/>
      <w:sz w:val="22"/>
    </w:rPr>
  </w:style>
  <w:style w:type="character" w:styleId="WW8Num27z4">
    <w:name w:val="WW8Num27z4"/>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basedOn w:val="DefaultParagraphFont"/>
    <w:rPr>
      <w:color w:val="0000FF"/>
      <w:u w:val="single"/>
    </w:rPr>
  </w:style>
  <w:style w:type="character" w:styleId="Heading51Char">
    <w:name w:val="Heading 51 Char"/>
    <w:basedOn w:val="DefaultParagraphFont"/>
    <w:qFormat/>
    <w:rPr>
      <w:sz w:val="24"/>
      <w:szCs w:val="24"/>
      <w:lang w:val="en-CA"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spacing w:before="360" w:after="0"/>
    </w:pPr>
    <w:rPr>
      <w:rFonts w:ascii="Arial" w:hAnsi="Arial" w:cs="Arial"/>
      <w:b/>
      <w:bCs/>
      <w:caps/>
      <w:sz w:val="24"/>
    </w:rPr>
  </w:style>
  <w:style w:type="paragraph" w:styleId="TOC2">
    <w:name w:val="toc 2"/>
    <w:basedOn w:val="Normal"/>
    <w:next w:val="Normal"/>
    <w:pPr>
      <w:spacing w:before="240" w:after="0"/>
    </w:pPr>
    <w:rPr>
      <w:b/>
      <w:bCs/>
      <w:sz w:val="20"/>
      <w:szCs w:val="20"/>
    </w:rPr>
  </w:style>
  <w:style w:type="paragraph" w:styleId="TOC3">
    <w:name w:val="toc 3"/>
    <w:basedOn w:val="Normal"/>
    <w:next w:val="Normal"/>
    <w:pPr>
      <w:spacing w:before="0" w:after="0"/>
      <w:ind w:hanging="0" w:start="220" w:end="0"/>
    </w:pPr>
    <w:rPr>
      <w:sz w:val="20"/>
      <w:szCs w:val="20"/>
    </w:rPr>
  </w:style>
  <w:style w:type="paragraph" w:styleId="Bullet1Level1">
    <w:name w:val="Bullet 1 Level 1"/>
    <w:basedOn w:val="Normal"/>
    <w:qFormat/>
    <w:pPr>
      <w:tabs>
        <w:tab w:val="clear" w:pos="720"/>
        <w:tab w:val="left" w:pos="1080" w:leader="none"/>
      </w:tabs>
      <w:ind w:hanging="360" w:start="108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4">
    <w:name w:val="toc 4"/>
    <w:basedOn w:val="Normal"/>
    <w:next w:val="Normal"/>
    <w:pPr>
      <w:spacing w:before="0" w:after="0"/>
      <w:ind w:hanging="0" w:start="440" w:end="0"/>
    </w:pPr>
    <w:rPr>
      <w:sz w:val="20"/>
      <w:szCs w:val="20"/>
    </w:rPr>
  </w:style>
  <w:style w:type="paragraph" w:styleId="TOC5">
    <w:name w:val="toc 5"/>
    <w:basedOn w:val="Normal"/>
    <w:next w:val="Normal"/>
    <w:pPr>
      <w:spacing w:before="0" w:after="0"/>
      <w:ind w:hanging="0" w:start="660" w:end="0"/>
    </w:pPr>
    <w:rPr>
      <w:sz w:val="20"/>
      <w:szCs w:val="20"/>
    </w:rPr>
  </w:style>
  <w:style w:type="paragraph" w:styleId="TOC6">
    <w:name w:val="toc 6"/>
    <w:basedOn w:val="Normal"/>
    <w:next w:val="Normal"/>
    <w:pPr>
      <w:spacing w:before="0" w:after="0"/>
      <w:ind w:hanging="0" w:start="880" w:end="0"/>
    </w:pPr>
    <w:rPr>
      <w:sz w:val="20"/>
      <w:szCs w:val="20"/>
    </w:rPr>
  </w:style>
  <w:style w:type="paragraph" w:styleId="TOC7">
    <w:name w:val="toc 7"/>
    <w:basedOn w:val="Normal"/>
    <w:next w:val="Normal"/>
    <w:pPr>
      <w:spacing w:before="0" w:after="0"/>
      <w:ind w:hanging="0" w:start="1100" w:end="0"/>
    </w:pPr>
    <w:rPr>
      <w:sz w:val="20"/>
      <w:szCs w:val="20"/>
    </w:rPr>
  </w:style>
  <w:style w:type="paragraph" w:styleId="TOC8">
    <w:name w:val="toc 8"/>
    <w:basedOn w:val="Normal"/>
    <w:next w:val="Normal"/>
    <w:pPr>
      <w:spacing w:before="0" w:after="0"/>
      <w:ind w:hanging="0" w:start="1320" w:end="0"/>
    </w:pPr>
    <w:rPr>
      <w:sz w:val="20"/>
      <w:szCs w:val="20"/>
    </w:rPr>
  </w:style>
  <w:style w:type="paragraph" w:styleId="TOC9">
    <w:name w:val="toc 9"/>
    <w:basedOn w:val="Normal"/>
    <w:next w:val="Normal"/>
    <w:pPr>
      <w:spacing w:before="0" w:after="0"/>
      <w:ind w:hanging="0" w:start="1540" w:end="0"/>
    </w:pPr>
    <w:rPr>
      <w:sz w:val="20"/>
      <w:szCs w:val="20"/>
    </w:rPr>
  </w:style>
  <w:style w:type="paragraph" w:styleId="Bullet1BodyText">
    <w:name w:val="Bullet 1 Body Text"/>
    <w:basedOn w:val="Normal"/>
    <w:qFormat/>
    <w:pPr>
      <w:tabs>
        <w:tab w:val="clear" w:pos="720"/>
        <w:tab w:val="left" w:pos="1800" w:leader="none"/>
      </w:tabs>
      <w:spacing w:before="240" w:after="240"/>
      <w:ind w:hanging="360" w:start="1800" w:end="0"/>
    </w:pPr>
    <w:rPr/>
  </w:style>
  <w:style w:type="paragraph" w:styleId="Bullet1Table">
    <w:name w:val="Bullet 1 Table"/>
    <w:basedOn w:val="Normal"/>
    <w:qFormat/>
    <w:pPr>
      <w:tabs>
        <w:tab w:val="clear" w:pos="720"/>
        <w:tab w:val="left" w:pos="360" w:leader="none"/>
      </w:tabs>
      <w:ind w:hanging="360" w:start="360" w:end="0"/>
    </w:pPr>
    <w:rPr/>
  </w:style>
  <w:style w:type="paragraph" w:styleId="Heading1Numbered">
    <w:name w:val="Heading 1 Numbered"/>
    <w:basedOn w:val="Normal"/>
    <w:qFormat/>
    <w:pPr>
      <w:tabs>
        <w:tab w:val="left" w:pos="720" w:leader="none"/>
      </w:tabs>
      <w:spacing w:before="240" w:after="240"/>
      <w:ind w:hanging="720" w:start="720" w:end="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tabs>
        <w:tab w:val="left" w:pos="720" w:leader="none"/>
      </w:tabs>
      <w:spacing w:before="240" w:after="240"/>
      <w:ind w:hanging="720" w:start="720" w:end="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tabs>
        <w:tab w:val="left" w:pos="720" w:leader="none"/>
      </w:tabs>
      <w:spacing w:before="240" w:after="240"/>
      <w:ind w:hanging="720" w:start="720" w:end="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tabs>
        <w:tab w:val="left" w:pos="720" w:leader="none"/>
      </w:tabs>
      <w:spacing w:before="240" w:after="240"/>
      <w:ind w:hanging="720" w:start="720" w:end="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tabs>
        <w:tab w:val="left" w:pos="720" w:leader="none"/>
      </w:tabs>
      <w:ind w:hanging="360" w:start="720" w:end="0"/>
    </w:pPr>
    <w:rPr>
      <w:bCs/>
    </w:rPr>
  </w:style>
  <w:style w:type="paragraph" w:styleId="TableLevel2Numbered">
    <w:name w:val="Table Level 2 Numbered"/>
    <w:basedOn w:val="Normal"/>
    <w:qFormat/>
    <w:pPr>
      <w:tabs>
        <w:tab w:val="clear" w:pos="720"/>
        <w:tab w:val="left" w:pos="1008" w:leader="none"/>
      </w:tabs>
      <w:ind w:hanging="619" w:start="1008" w:end="0"/>
    </w:pPr>
    <w:rPr>
      <w:bCs/>
    </w:rPr>
  </w:style>
  <w:style w:type="paragraph" w:styleId="TableLevel3Numbered">
    <w:name w:val="Table Level 3 Numbered"/>
    <w:basedOn w:val="Normal"/>
    <w:qFormat/>
    <w:pPr>
      <w:tabs>
        <w:tab w:val="clear" w:pos="720"/>
        <w:tab w:val="left" w:pos="1296" w:leader="none"/>
      </w:tabs>
      <w:ind w:hanging="878" w:start="1296" w:end="0"/>
    </w:pPr>
    <w:rPr/>
  </w:style>
  <w:style w:type="paragraph" w:styleId="TableLevel4Numbered">
    <w:name w:val="Table Level 4 Numbered"/>
    <w:basedOn w:val="Normal"/>
    <w:qFormat/>
    <w:pPr>
      <w:tabs>
        <w:tab w:val="clear" w:pos="720"/>
        <w:tab w:val="left" w:pos="1440" w:leader="none"/>
      </w:tabs>
      <w:ind w:hanging="994" w:start="1440" w:end="0"/>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tabs>
        <w:tab w:val="clear" w:pos="720"/>
        <w:tab w:val="left" w:pos="1440" w:leader="none"/>
      </w:tabs>
      <w:spacing w:before="240" w:after="240"/>
      <w:ind w:hanging="360" w:start="1440" w:end="0"/>
    </w:pPr>
    <w:rPr/>
  </w:style>
  <w:style w:type="paragraph" w:styleId="BodyLevel2Numbered">
    <w:name w:val="Body Level 2 Numbered"/>
    <w:basedOn w:val="Normal"/>
    <w:qFormat/>
    <w:pPr>
      <w:tabs>
        <w:tab w:val="clear" w:pos="720"/>
        <w:tab w:val="left" w:pos="1728" w:leader="none"/>
      </w:tabs>
      <w:spacing w:before="240" w:after="240"/>
      <w:ind w:hanging="619" w:start="1728" w:end="0"/>
    </w:pPr>
    <w:rPr/>
  </w:style>
  <w:style w:type="paragraph" w:styleId="BodyLevel3Numbered">
    <w:name w:val="Body Level 3 Numbered"/>
    <w:basedOn w:val="Normal"/>
    <w:qFormat/>
    <w:pPr>
      <w:tabs>
        <w:tab w:val="clear" w:pos="720"/>
        <w:tab w:val="left" w:pos="2016" w:leader="none"/>
      </w:tabs>
      <w:spacing w:before="240" w:after="240"/>
      <w:ind w:hanging="878" w:start="2016" w:end="0"/>
    </w:pPr>
    <w:rPr/>
  </w:style>
  <w:style w:type="paragraph" w:styleId="BodyLevel4Numbered">
    <w:name w:val="Body Level 4 Numbered"/>
    <w:basedOn w:val="Normal"/>
    <w:qFormat/>
    <w:pPr>
      <w:tabs>
        <w:tab w:val="clear" w:pos="720"/>
        <w:tab w:val="left" w:pos="2304" w:leader="none"/>
      </w:tabs>
      <w:spacing w:before="240" w:after="240"/>
      <w:ind w:hanging="1138" w:start="2304" w:end="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alloonText">
    <w:name w:val="Balloon Text"/>
    <w:basedOn w:val="Normal"/>
    <w:qFormat/>
    <w:pPr/>
    <w:rPr>
      <w:rFonts w:ascii="Tahoma" w:hAnsi="Tahoma" w:cs="Tahoma"/>
      <w:sz w:val="16"/>
      <w:szCs w:val="16"/>
    </w:rPr>
  </w:style>
  <w:style w:type="paragraph" w:styleId="Heading51">
    <w:name w:val="Heading 51"/>
    <w:basedOn w:val="Normal"/>
    <w:qFormat/>
    <w:pPr>
      <w:numPr>
        <w:ilvl w:val="0"/>
        <w:numId w:val="2"/>
      </w:numPr>
      <w:tabs>
        <w:tab w:val="clear" w:pos="720"/>
        <w:tab w:val="left" w:pos="992" w:leader="none"/>
      </w:tabs>
      <w:spacing w:before="240" w:after="240"/>
      <w:jc w:val="both"/>
    </w:pPr>
    <w:rPr>
      <w:sz w:val="24"/>
      <w:lang w:val="en-CA"/>
    </w:rPr>
  </w:style>
  <w:style w:type="paragraph" w:styleId="Heading11">
    <w:name w:val="Heading 11"/>
    <w:basedOn w:val="Normal"/>
    <w:next w:val="Normal"/>
    <w:qFormat/>
    <w:pPr>
      <w:keepNext w:val="true"/>
      <w:numPr>
        <w:ilvl w:val="0"/>
        <w:numId w:val="2"/>
      </w:numPr>
      <w:spacing w:before="240" w:after="240"/>
      <w:jc w:val="both"/>
    </w:pPr>
    <w:rPr>
      <w:rFonts w:ascii="Times New Roman Gras;Times New Roman" w:hAnsi="Times New Roman Gras;Times New Roman" w:cs="Times New Roman Gras;Times New Roman"/>
      <w:b/>
      <w:caps/>
      <w:sz w:val="24"/>
      <w:u w:val="single"/>
      <w:lang w:val="en-CA"/>
    </w:rPr>
  </w:style>
  <w:style w:type="paragraph" w:styleId="Heading31">
    <w:name w:val="Heading 31"/>
    <w:basedOn w:val="Normal"/>
    <w:qFormat/>
    <w:pPr>
      <w:numPr>
        <w:ilvl w:val="0"/>
        <w:numId w:val="2"/>
      </w:numPr>
      <w:spacing w:before="240" w:after="240"/>
      <w:jc w:val="both"/>
    </w:pPr>
    <w:rPr>
      <w:sz w:val="24"/>
      <w:lang w:val="en-CA"/>
    </w:rPr>
  </w:style>
  <w:style w:type="paragraph" w:styleId="Heading21">
    <w:name w:val="Heading 21"/>
    <w:basedOn w:val="Normal"/>
    <w:next w:val="Normal"/>
    <w:qFormat/>
    <w:pPr>
      <w:numPr>
        <w:ilvl w:val="0"/>
        <w:numId w:val="2"/>
      </w:numPr>
      <w:spacing w:before="240" w:after="240"/>
      <w:jc w:val="both"/>
    </w:pPr>
    <w:rPr>
      <w:rFonts w:ascii="Times New Roman Gras;Times New Roman" w:hAnsi="Times New Roman Gras;Times New Roman" w:cs="Times New Roman Gras;Times New Roman"/>
      <w:sz w:val="24"/>
      <w:u w:val="single"/>
      <w:lang w:val="en-CA"/>
    </w:rPr>
  </w:style>
  <w:style w:type="paragraph" w:styleId="Heading41">
    <w:name w:val="Heading 41"/>
    <w:basedOn w:val="Normal"/>
    <w:qFormat/>
    <w:pPr>
      <w:numPr>
        <w:ilvl w:val="0"/>
        <w:numId w:val="2"/>
      </w:numPr>
      <w:spacing w:before="240" w:after="240"/>
      <w:jc w:val="both"/>
    </w:pPr>
    <w:rPr>
      <w:sz w:val="24"/>
      <w:lang w:val="en-CA"/>
    </w:rPr>
  </w:style>
  <w:style w:type="paragraph" w:styleId="Heading61">
    <w:name w:val="Heading 61"/>
    <w:basedOn w:val="Normal"/>
    <w:qFormat/>
    <w:pPr>
      <w:numPr>
        <w:ilvl w:val="0"/>
        <w:numId w:val="2"/>
      </w:numPr>
      <w:tabs>
        <w:tab w:val="clear" w:pos="720"/>
        <w:tab w:val="left" w:pos="2268" w:leader="none"/>
      </w:tabs>
      <w:spacing w:before="240" w:after="240"/>
      <w:ind w:hanging="567" w:start="2268" w:end="0"/>
      <w:jc w:val="both"/>
    </w:pPr>
    <w:rPr>
      <w:sz w:val="24"/>
      <w:lang w:val="en-CA"/>
    </w:rPr>
  </w:style>
  <w:style w:type="paragraph" w:styleId="Heading71">
    <w:name w:val="Heading 71"/>
    <w:basedOn w:val="Normal"/>
    <w:qFormat/>
    <w:pPr>
      <w:numPr>
        <w:ilvl w:val="0"/>
        <w:numId w:val="2"/>
      </w:numPr>
      <w:spacing w:before="240" w:after="240"/>
      <w:jc w:val="both"/>
    </w:pPr>
    <w:rPr>
      <w:sz w:val="24"/>
      <w:lang w:val="en-CA"/>
    </w:rPr>
  </w:style>
  <w:style w:type="paragraph" w:styleId="CommentText">
    <w:name w:val="Comment Text"/>
    <w:basedOn w:val="Normal"/>
    <w:qFormat/>
    <w:pPr>
      <w:tabs>
        <w:tab w:val="left" w:pos="-2560" w:leader="none"/>
        <w:tab w:val="left" w:pos="0" w:leader="none"/>
        <w:tab w:val="left" w:pos="240" w:leader="none"/>
        <w:tab w:val="left" w:pos="480" w:leader="none"/>
        <w:tab w:val="left" w:pos="720" w:leader="none"/>
        <w:tab w:val="right" w:pos="4320" w:leader="none"/>
      </w:tabs>
      <w:spacing w:lineRule="exact" w:line="240" w:before="0" w:after="0"/>
    </w:pPr>
    <w:rPr>
      <w:sz w:val="20"/>
      <w:szCs w:val="20"/>
      <w:lang w:val="en-US"/>
    </w:rPr>
  </w:style>
  <w:style w:type="paragraph" w:styleId="Text1">
    <w:name w:val="Text 1"/>
    <w:basedOn w:val="Normal"/>
    <w:qFormat/>
    <w:pPr>
      <w:spacing w:before="240" w:after="240"/>
      <w:jc w:val="both"/>
    </w:pPr>
    <w:rPr>
      <w:sz w:val="24"/>
      <w:lang w:val="en-C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2006-11-30T18:48:00Z</dcterms:created>
  <dc:creator>Stuart Johnson</dc:creator>
  <dc:description/>
  <cp:keywords/>
  <dc:language>en-US</dc:language>
  <cp:lastModifiedBy>Stuart Johnson</cp:lastModifiedBy>
  <cp:lastPrinted>2005-07-04T17:36:00Z</cp:lastPrinted>
  <dcterms:modified xsi:type="dcterms:W3CDTF">2006-11-30T18:51:00Z</dcterms:modified>
  <cp:revision>5</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62397890</vt:r8>
  </property>
  <property fmtid="{D5CDD505-2E9C-101B-9397-08002B2CF9AE}" pid="3" name="_AuthorEmail">
    <vt:lpwstr>Albert.Jans@mail.ing.nl</vt:lpwstr>
  </property>
  <property fmtid="{D5CDD505-2E9C-101B-9397-08002B2CF9AE}" pid="4" name="_AuthorEmailDisplayName">
    <vt:lpwstr>Jans, A.H.A. (Albert)</vt:lpwstr>
  </property>
  <property fmtid="{D5CDD505-2E9C-101B-9397-08002B2CF9AE}" pid="5" name="_EmailSubject">
    <vt:lpwstr>Attachment 3-E (Priority Levels) AJ v1.2 Content checked</vt:lpwstr>
  </property>
  <property fmtid="{D5CDD505-2E9C-101B-9397-08002B2CF9AE}" pid="6" name="_ReviewingToolsShownOnce">
    <vt:lpwstr/>
  </property>
</Properties>
</file>