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3-F</w:t>
      </w:r>
    </w:p>
    <w:p>
      <w:pPr>
        <w:pStyle w:val="Title"/>
        <w:rPr>
          <w:lang w:val="en-GB"/>
        </w:rPr>
      </w:pPr>
      <w:r>
        <w:rPr>
          <w:lang w:val="en-GB"/>
        </w:rPr>
      </w:r>
    </w:p>
    <w:p>
      <w:pPr>
        <w:pStyle w:val="Title"/>
        <w:rPr>
          <w:lang w:val="en-GB"/>
        </w:rPr>
      </w:pPr>
      <w:r>
        <w:rPr>
          <w:lang w:val="en-GB"/>
        </w:rPr>
        <w:t>Pain-Share Mechanism</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\o "2-2" \t "Heading 1 Numbered,1,Heading 2 Numbered,2,Heading 3 Numbered,3"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Mechanism for Critical Service Level Credit Management</w:t>
          </w:r>
          <w:r>
            <w:rPr>
              <w:sz w:val="18"/>
              <w:szCs w:val="18"/>
              <w:lang w:val="en-US" w:eastAsia="en-US"/>
            </w:rPr>
            <w:tab/>
          </w:r>
          <w:hyperlink w:anchor="__RefHeading___Toc152659925">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Applicability</w:t>
          </w:r>
          <w:r>
            <w:rPr>
              <w:sz w:val="18"/>
              <w:szCs w:val="18"/>
              <w:lang w:val="en-US" w:eastAsia="en-US"/>
            </w:rPr>
            <w:tab/>
          </w:r>
          <w:hyperlink w:anchor="__RefHeading___Toc152659926">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Process Initiation</w:t>
          </w:r>
          <w:r>
            <w:rPr>
              <w:sz w:val="18"/>
              <w:szCs w:val="18"/>
              <w:lang w:val="en-US" w:eastAsia="en-US"/>
            </w:rPr>
            <w:tab/>
          </w:r>
          <w:hyperlink w:anchor="__RefHeading___Toc152659927">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Step 1 – 2IM Initial Assessment</w:t>
          </w:r>
          <w:r>
            <w:rPr>
              <w:sz w:val="18"/>
              <w:szCs w:val="18"/>
              <w:lang w:val="en-US" w:eastAsia="en-US"/>
            </w:rPr>
            <w:tab/>
          </w:r>
          <w:hyperlink w:anchor="__RefHeading___Toc152659928">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Step 2 – Final Evaluation</w:t>
          </w:r>
          <w:r>
            <w:rPr>
              <w:sz w:val="18"/>
              <w:szCs w:val="18"/>
              <w:lang w:val="en-US" w:eastAsia="en-US"/>
            </w:rPr>
            <w:tab/>
          </w:r>
          <w:hyperlink w:anchor="__RefHeading___Toc152659929">
            <w:r>
              <w:rPr>
                <w:rStyle w:val="IndexLink"/>
                <w:sz w:val="18"/>
                <w:szCs w:val="18"/>
                <w:lang w:val="en-US" w:eastAsia="en-US"/>
              </w:rPr>
              <w:t>3</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6.</w:t>
          </w:r>
          <w:r>
            <w:rPr>
              <w:b w:val="false"/>
              <w:sz w:val="18"/>
              <w:szCs w:val="18"/>
              <w:lang w:val="en-US" w:eastAsia="en-US"/>
            </w:rPr>
            <w:tab/>
          </w:r>
          <w:r>
            <w:rPr>
              <w:bCs/>
              <w:sz w:val="18"/>
              <w:szCs w:val="18"/>
              <w:lang w:val="en-GB" w:eastAsia="en-US"/>
            </w:rPr>
            <w:t>Step 3 – Optional External Arbitration</w:t>
          </w:r>
          <w:r>
            <w:rPr>
              <w:sz w:val="18"/>
              <w:szCs w:val="18"/>
              <w:lang w:val="en-US" w:eastAsia="en-US"/>
            </w:rPr>
            <w:tab/>
          </w:r>
          <w:hyperlink w:anchor="__RefHeading___Toc152659930">
            <w:r>
              <w:rPr>
                <w:rStyle w:val="IndexLink"/>
                <w:sz w:val="18"/>
                <w:szCs w:val="18"/>
                <w:lang w:val="en-US" w:eastAsia="en-US"/>
              </w:rPr>
              <w:t>3</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7.</w:t>
          </w:r>
          <w:r>
            <w:rPr>
              <w:b w:val="false"/>
              <w:sz w:val="18"/>
              <w:szCs w:val="18"/>
              <w:lang w:val="en-US" w:eastAsia="en-US"/>
            </w:rPr>
            <w:tab/>
          </w:r>
          <w:r>
            <w:rPr>
              <w:bCs/>
              <w:sz w:val="18"/>
              <w:szCs w:val="18"/>
              <w:lang w:val="en-GB" w:eastAsia="en-US"/>
            </w:rPr>
            <w:t>Service Credits Based on Blame Percentages</w:t>
          </w:r>
          <w:r>
            <w:rPr>
              <w:sz w:val="18"/>
              <w:szCs w:val="18"/>
              <w:lang w:val="en-US" w:eastAsia="en-US"/>
            </w:rPr>
            <w:tab/>
          </w:r>
          <w:hyperlink w:anchor="__RefHeading___Toc152659931">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8.</w:t>
          </w:r>
          <w:r>
            <w:rPr>
              <w:b w:val="false"/>
              <w:sz w:val="18"/>
              <w:szCs w:val="18"/>
              <w:lang w:val="en-US" w:eastAsia="en-US"/>
            </w:rPr>
            <w:tab/>
          </w:r>
          <w:r>
            <w:rPr>
              <w:bCs/>
              <w:sz w:val="18"/>
              <w:szCs w:val="18"/>
              <w:lang w:val="en-GB" w:eastAsia="en-US"/>
            </w:rPr>
            <w:t>“3-Strikes Principle”</w:t>
          </w:r>
          <w:r>
            <w:rPr>
              <w:sz w:val="18"/>
              <w:szCs w:val="18"/>
              <w:lang w:val="en-US" w:eastAsia="en-US"/>
            </w:rPr>
            <w:tab/>
          </w:r>
          <w:hyperlink w:anchor="__RefHeading___Toc152659932">
            <w:r>
              <w:rPr>
                <w:rStyle w:val="IndexLink"/>
                <w:sz w:val="18"/>
                <w:szCs w:val="18"/>
                <w:lang w:val="en-US" w:eastAsia="en-US"/>
              </w:rPr>
              <w:t>5</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9.</w:t>
          </w:r>
          <w:r>
            <w:rPr>
              <w:b w:val="false"/>
              <w:sz w:val="18"/>
              <w:szCs w:val="18"/>
              <w:lang w:val="en-US" w:eastAsia="en-US"/>
            </w:rPr>
            <w:tab/>
          </w:r>
          <w:r>
            <w:rPr>
              <w:bCs/>
              <w:sz w:val="18"/>
              <w:szCs w:val="18"/>
              <w:lang w:val="en-GB" w:eastAsia="en-US"/>
            </w:rPr>
            <w:t>Miscellaneous</w:t>
          </w:r>
          <w:r>
            <w:rPr>
              <w:sz w:val="18"/>
              <w:szCs w:val="18"/>
              <w:lang w:val="en-US" w:eastAsia="en-US"/>
            </w:rPr>
            <w:tab/>
          </w:r>
          <w:hyperlink w:anchor="__RefHeading___Toc152659933">
            <w:r>
              <w:rPr>
                <w:rStyle w:val="IndexLink"/>
                <w:sz w:val="18"/>
                <w:szCs w:val="18"/>
                <w:lang w:val="en-US" w:eastAsia="en-US"/>
              </w:rPr>
              <w:t>5</w:t>
            </w:r>
          </w:hyperlink>
        </w:p>
        <w:p>
          <w:pPr>
            <w:pStyle w:val="TOC2"/>
            <w:tabs>
              <w:tab w:val="clear" w:pos="720"/>
              <w:tab w:val="right" w:pos="8441" w:leader="dot"/>
            </w:tabs>
            <w:rPr>
              <w:sz w:val="18"/>
              <w:szCs w:val="18"/>
              <w:lang w:val="en-US" w:eastAsia="en-US"/>
            </w:rPr>
          </w:pPr>
          <w:r>
            <w:rPr>
              <w:b w:val="false"/>
              <w:sz w:val="18"/>
              <w:szCs w:val="18"/>
              <w:lang w:val="en-GB" w:eastAsia="en-US"/>
            </w:rPr>
            <w:t>Principles and Examples of Blame Percentage Allocations</w:t>
          </w:r>
          <w:r>
            <w:rPr>
              <w:b w:val="false"/>
              <w:sz w:val="18"/>
              <w:szCs w:val="18"/>
              <w:lang w:val="en-US" w:eastAsia="en-US"/>
            </w:rPr>
            <w:tab/>
          </w:r>
          <w:hyperlink w:anchor="__RefHeading___Toc152659934">
            <w:r>
              <w:rPr>
                <w:rStyle w:val="IndexLink"/>
                <w:b w:val="false"/>
                <w:sz w:val="18"/>
                <w:szCs w:val="18"/>
                <w:lang w:val="en-US" w:eastAsia="en-US"/>
              </w:rPr>
              <w:t>6</w:t>
            </w:r>
          </w:hyperlink>
          <w:r>
            <w:rPr>
              <w:rStyle w:val="IndexLink"/>
              <w:sz w:val="18"/>
              <w:b w:val="false"/>
              <w:szCs w:val="18"/>
              <w:lang w:val="en-US" w:eastAsia="en-US"/>
            </w:rPr>
            <w:fldChar w:fldCharType="end"/>
          </w:r>
        </w:p>
      </w:sdtContent>
    </w:sdt>
    <w:p>
      <w:pPr>
        <w:pStyle w:val="Normal"/>
        <w:rPr>
          <w:b/>
          <w:sz w:val="18"/>
          <w:szCs w:val="18"/>
          <w:lang w:val="en-GB" w:eastAsia="en-US"/>
        </w:rPr>
      </w:pPr>
      <w:r>
        <w:rPr>
          <w:b/>
          <w:sz w:val="18"/>
          <w:szCs w:val="18"/>
          <w:lang w:val="en-GB" w:eastAsia="en-US"/>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sz w:val="18"/>
          <w:szCs w:val="18"/>
          <w:lang w:val="en-GB"/>
        </w:rPr>
      </w:pPr>
      <w:r>
        <w:rPr>
          <w:sz w:val="18"/>
          <w:szCs w:val="18"/>
          <w:lang w:val="en-GB"/>
        </w:rPr>
      </w:r>
    </w:p>
    <w:p>
      <w:pPr>
        <w:pStyle w:val="Normal"/>
        <w:spacing w:before="0" w:after="0"/>
        <w:rPr>
          <w:lang w:val="en-GB"/>
        </w:rPr>
      </w:pPr>
      <w:r>
        <w:rPr>
          <w:lang w:val="en-GB"/>
        </w:rPr>
      </w:r>
    </w:p>
    <w:p>
      <w:pPr>
        <w:pStyle w:val="Heading1Numbered"/>
        <w:numPr>
          <w:ilvl w:val="0"/>
          <w:numId w:val="2"/>
        </w:numPr>
        <w:ind w:hanging="0" w:start="0"/>
        <w:rPr>
          <w:sz w:val="22"/>
          <w:szCs w:val="22"/>
          <w:lang w:val="en-GB"/>
        </w:rPr>
      </w:pPr>
      <w:bookmarkStart w:id="0" w:name="__RefHeading___Toc152659925"/>
      <w:bookmarkEnd w:id="0"/>
      <w:r>
        <w:rPr>
          <w:sz w:val="22"/>
          <w:szCs w:val="22"/>
          <w:lang w:val="en-GB"/>
        </w:rPr>
        <w:t>Mechanism for Critical Service Level Credit Management</w:t>
      </w:r>
    </w:p>
    <w:p>
      <w:pPr>
        <w:pStyle w:val="Normal"/>
        <w:spacing w:before="0" w:after="0"/>
        <w:ind w:hanging="720" w:start="720" w:end="0"/>
        <w:jc w:val="both"/>
        <w:rPr/>
      </w:pPr>
      <w:r>
        <w:rPr>
          <w:szCs w:val="22"/>
          <w:lang w:val="en-GB"/>
        </w:rPr>
        <w:t>1.1</w:t>
        <w:tab/>
        <w:t xml:space="preserve">This procedure set out in this Attachment 3-F (Pain-Share Mechanism) (the “Pain Share Mechanism” or “Mechanism”) applies to identify the party and/or parties responsible for a Critical Service Level breach in case of disagreement on this subject between the parties involved and to ensure that EuroBank receives the appropriate credits from the correct party/parties on the basis of a final Root Cause Analysis ("RCA") performed by the 2IM. </w:t>
      </w:r>
      <w:r>
        <w:rPr>
          <w:i/>
          <w:szCs w:val="22"/>
          <w:lang w:val="en-GB"/>
        </w:rPr>
      </w:r>
      <w:r>
        <w:rPr>
          <w:szCs w:val="22"/>
          <w:lang w:val="en-GB"/>
        </w:rPr>
      </w:r>
      <w:r>
        <w:rPr>
          <w:b/>
          <w:i/>
          <w:szCs w:val="22"/>
          <w:lang w:val="en-GB"/>
        </w:rPr>
      </w:r>
      <w:r>
        <w:rPr>
          <w:szCs w:val="22"/>
          <w:lang w:val="en-GB"/>
        </w:rPr>
      </w:r>
      <w:r>
        <w:rPr>
          <w:b/>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1.2</w:t>
        <w:tab/>
        <w:t>The application of the Mechanism is managed by the 2IM to ensure that each party credits its appropriate and proportionate share of the credit to EuroBank. EuroBank will automatically be credited the appropriate Service Credits for every Critical Service Level breach in the month following the notification and reporting of the breach by the 2IM. Should EuroBank and/or another party be at fault as discovered during the RCA, the appropriate adjustments to the credited Service Credits will be reflected in the invoices of the relevant parties in the month following the Final Evaluation or if relevant the date the Initial Evaluation becomes incontestable as per clause 3.3 below of this Attachment 3-F (Pain-Share Mechanism).</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1.3</w:t>
        <w:tab/>
        <w:t xml:space="preserve">The PST Supplier acknowledges that a key element for EuroBank in the Mechanism is that the final version of the Final Evaluation of the 2IM will have a full and binding effect on the PST Supplier, as well as EuroBank should she also be determined to be at fault, for the allocation of Service Credits for Critical Service Levels. The PST Supplier shall not be able to contest the final version of the Final Evaluation for the application of the Service Credits on the basis of any alleged non compliance by the 2IM to the terms and procedures of the Pain Share Mechanism.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1.4</w:t>
        <w:tab/>
        <w:t>The PST Supplier, the Other PST Suppliers, the 2IM and EuroBank commit to comply with and execute their role and obligations under the Mechanism in accordance with the rules set out below and in accordance with good faith irrespective of who issued the Relief Claim.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1.5</w:t>
        <w:tab/>
        <w:t xml:space="preserve">The parties (being the PST Supplier, the Other PST Suppliers, EuroBank and the 2IM) will from time to time evaluate the application of the Mechanism to asses whether it is effectively and fairly stimulating the PST Suppliers, the Other PST Suppliers and the 2IM into providing the necessary assistance to each other to enable each party to meet its Critical Service Levels. Any agreed change to the Mechanism will be implemented in the MSA of each of the PST Suppliers and that of the 2IM in the same way.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 w:name="__RefHeading___Toc152659926"/>
      <w:bookmarkEnd w:id="1"/>
      <w:r>
        <w:rPr>
          <w:bCs/>
          <w:sz w:val="22"/>
          <w:lang w:val="en-GB"/>
        </w:rPr>
        <w:t>Applicability</w:t>
      </w:r>
    </w:p>
    <w:p>
      <w:pPr>
        <w:pStyle w:val="Normal"/>
        <w:spacing w:before="0" w:after="0"/>
        <w:ind w:hanging="720" w:start="720" w:end="0"/>
        <w:jc w:val="both"/>
        <w:rPr/>
      </w:pPr>
      <w:r>
        <w:rPr>
          <w:szCs w:val="22"/>
          <w:lang w:val="en-GB"/>
        </w:rPr>
        <w:t>2.1</w:t>
        <w:tab/>
        <w:t>If a Critical Service Level is breached by the PST Supplier and the PST Supplier for any reason claims relief from the obligation to pay the associated Service Credit (a “</w:t>
      </w:r>
      <w:r>
        <w:rPr>
          <w:b/>
          <w:i/>
          <w:szCs w:val="22"/>
          <w:lang w:val="en-GB"/>
        </w:rPr>
        <w:t>Relief Claim</w:t>
      </w:r>
      <w:r>
        <w:rPr>
          <w:szCs w:val="22"/>
          <w:lang w:val="en-GB"/>
        </w:rPr>
        <w:t xml:space="preserve">”), then the Mechanism will be applied to resolve the Relief Claim.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 w:name="__RefHeading___Toc152659927"/>
      <w:bookmarkEnd w:id="2"/>
      <w:r>
        <w:rPr>
          <w:bCs/>
          <w:sz w:val="22"/>
          <w:lang w:val="en-GB"/>
        </w:rPr>
        <w:t>Process Initiation</w:t>
      </w:r>
    </w:p>
    <w:p>
      <w:pPr>
        <w:pStyle w:val="Normal"/>
        <w:spacing w:before="0" w:after="0"/>
        <w:ind w:hanging="720" w:start="720" w:end="0"/>
        <w:jc w:val="both"/>
        <w:rPr>
          <w:szCs w:val="22"/>
          <w:lang w:val="en-GB"/>
        </w:rPr>
      </w:pPr>
      <w:r>
        <w:rPr>
          <w:szCs w:val="22"/>
          <w:lang w:val="en-GB"/>
        </w:rPr>
        <w:t>3.1</w:t>
        <w:tab/>
        <w:t>The PST Supplier must notify any Relief Claims to the 2IM as part of its monthly performance report to EuroBank (through the 2IM) to which the Relief Claim relates. The announcement of the Relief Claim must contain a summary description of the grounds for the Relief Claim.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3.2</w:t>
        <w:tab/>
        <w:t>The PST Supplier must provide to the 2IM all argumentation and documentation available to it (including all relevant log files, incident reports and if relevant witness statements) supporting the Relief Claim either together with or ultimately within 5 Business Days working days after the announcement of the Relief Claim per clause 3.1 above of this Attachment 3-F (</w:t>
      </w:r>
      <w:r>
        <w:rPr>
          <w:i/>
          <w:szCs w:val="22"/>
          <w:lang w:val="en-GB"/>
        </w:rPr>
        <w:t>Pain-Share Mechanism</w:t>
      </w:r>
      <w:r>
        <w:rPr>
          <w:szCs w:val="22"/>
          <w:lang w:val="en-GB"/>
        </w:rPr>
        <w: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3.3</w:t>
        <w:tab/>
        <w:t>If the PST Supplier does not issue a Relief Claim for a Critical Service Level breach in accordance with clauses 3.1 and 3.2 of this Attachment 3-F (</w:t>
      </w:r>
      <w:r>
        <w:rPr>
          <w:i/>
          <w:szCs w:val="22"/>
          <w:lang w:val="en-GB"/>
        </w:rPr>
        <w:t>Pain-Share Mechanism</w:t>
      </w:r>
      <w:r>
        <w:rPr>
          <w:szCs w:val="22"/>
          <w:lang w:val="en-GB"/>
        </w:rPr>
        <w:t>), its obligation to pay the relevant Service Credit will become incontestable unless the PST Supplier can prove that its failure to properly and timely announce the Relief Claim was caused directly by Force Majeure, excused in accordance with clause 19.4 of the MSA.</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 w:name="__RefHeading___Toc152659928"/>
      <w:bookmarkEnd w:id="3"/>
      <w:r>
        <w:rPr>
          <w:bCs/>
          <w:sz w:val="22"/>
          <w:lang w:val="en-GB"/>
        </w:rPr>
        <w:t>Step 1 – 2IM Initial Assessment</w:t>
      </w:r>
    </w:p>
    <w:p>
      <w:pPr>
        <w:pStyle w:val="Normal"/>
        <w:spacing w:before="0" w:after="0"/>
        <w:ind w:hanging="720" w:start="720" w:end="0"/>
        <w:jc w:val="both"/>
        <w:rPr>
          <w:szCs w:val="22"/>
          <w:lang w:val="en-GB"/>
        </w:rPr>
      </w:pPr>
      <w:r>
        <w:rPr>
          <w:szCs w:val="22"/>
          <w:lang w:val="en-GB"/>
        </w:rPr>
        <w:t>4.1</w:t>
        <w:tab/>
        <w:t>The 2IM will upon receipt of a Relief Claim perform an initial investigation of the Critical Service Level breach and the merits of the Relief Claim.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4.2</w:t>
        <w:tab/>
        <w:t>If the Relief Claim implicates that the root cause of the breach was in part or in whole attributable to one or more of the other PST Suppliers or to EuroBank, then the 2IM will contact the relevant parties to allow them to give their initial views.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4.3</w:t>
        <w:tab/>
        <w:t xml:space="preserve">The PST Supplier making the Relief Claim, as well as EuroBank and any PST Other Suppliers implicated in the Relief Claim will provide the 2IM with the results of their own internal Root Cause Analyses associated with the performance of its own obligations under its MSA. Further each of the parties listed in the previous sentence will provide the 2IM with full co-operation in the 2IM’s investigation of the Critical Service Level breach and the Relief Claim and for this purpose will allow access to all relevant systems, documents, data (including but not limited to log files and internal incident reports of the PST Supplier) and relevant PST Supplier employees and contractors and in particular to persons who have provided the relevant witness statements if applicable. The confidentiality obligations of the MSA shall apply to any such access of PST Sites.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4.4</w:t>
        <w:tab/>
        <w:t>The 2IM will conclude this initial investigation within 15 Business Days after receiving the Relief Claim by making its initial findings related to the Relief Claim known in writing to EuroBank, to the PST Supplier making the Relief Claim and, if relevant, to the PST Other Suppliers implicated in the Relief Claim (the “Initial Evaluation”).</w:t>
      </w:r>
      <w:r>
        <w:rPr>
          <w:b/>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4.5</w:t>
        <w:tab/>
        <w:t xml:space="preserve">As part of the Initial Evaluation the 2IM will make an initial, good faith assessment as much as possible objectively motivated of each involved party’s (including EuroBank’s and if relevant the 2IM’s) proportional responsibility for the root cause of the Critical Service Level breach.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4.6</w:t>
        <w:tab/>
        <w:t>The 2IM shall express each party’s proportional responsibility for the Critical Service Level breach as a percentage (the “</w:t>
      </w:r>
      <w:r>
        <w:rPr>
          <w:b/>
          <w:i/>
          <w:szCs w:val="22"/>
          <w:lang w:val="en-GB"/>
        </w:rPr>
        <w:t>Blame Percentage</w:t>
      </w:r>
      <w:r>
        <w:rPr>
          <w:szCs w:val="22"/>
          <w:lang w:val="en-GB"/>
        </w:rPr>
        <w:t>”). The total of all Blame Percentages apportioned by the 2IM must be 100%.</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4.7</w:t>
        <w:tab/>
        <w:t>If the root cause of the Critical Service Level breach is in part or in whole established by the 2IM to be due to Force Majeure or due to one of the exceptions or exclusions in Sections 18 and 19 of Exhibit 3 (</w:t>
      </w:r>
      <w:r>
        <w:rPr>
          <w:i/>
          <w:szCs w:val="22"/>
          <w:lang w:val="en-GB"/>
        </w:rPr>
        <w:t>Service Levels</w:t>
      </w:r>
      <w:r>
        <w:rPr>
          <w:szCs w:val="22"/>
          <w:lang w:val="en-GB"/>
        </w:rPr>
        <w:t xml:space="preserve">) then the 2IM will either adjust the reported performance of the Service Level or, if this is not practicably possible, apportion an appropriate Blame Percentage to force majeure or to the applicable exception or exclusion.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4.8</w:t>
        <w:tab/>
        <w:t>A few examples of the establishment of Blame Percentages are provided at the end of this Attachment 3-F (</w:t>
      </w:r>
      <w:r>
        <w:rPr>
          <w:i/>
          <w:szCs w:val="22"/>
          <w:lang w:val="en-GB"/>
        </w:rPr>
        <w:t>Pain-Share Mechanism</w:t>
      </w:r>
      <w:r>
        <w:rPr>
          <w:szCs w:val="22"/>
          <w:lang w:val="en-GB"/>
        </w:rPr>
        <w:t>) under the heading “</w:t>
      </w:r>
      <w:r>
        <w:rPr>
          <w:i/>
          <w:szCs w:val="22"/>
          <w:lang w:val="en-GB"/>
        </w:rPr>
        <w:t>Principles and Examples of Blame Percentage Allocations</w:t>
      </w:r>
      <w:r>
        <w:rPr>
          <w:szCs w:val="22"/>
          <w:lang w:val="en-GB"/>
        </w:rPr>
        <w:t xml:space="preserve">” - it also sets out some basic principles the 2IM is to follow when setting the Blame Percentages.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4" w:name="__RefHeading___Toc152659929"/>
      <w:r>
        <w:rPr>
          <w:bCs/>
          <w:sz w:val="22"/>
          <w:lang w:val="en-GB"/>
        </w:rPr>
        <w:t>Step 2 – Final Evaluation</w:t>
      </w:r>
      <w:bookmarkEnd w:id="4"/>
      <w:r>
        <w:rPr>
          <w:bCs/>
          <w:sz w:val="22"/>
          <w:lang w:val="en-GB"/>
        </w:rPr>
        <w:t xml:space="preserve"> </w:t>
      </w:r>
    </w:p>
    <w:p>
      <w:pPr>
        <w:pStyle w:val="Normal"/>
        <w:spacing w:before="0" w:after="0"/>
        <w:ind w:hanging="720" w:start="720" w:end="0"/>
        <w:jc w:val="both"/>
        <w:rPr>
          <w:szCs w:val="22"/>
          <w:lang w:val="en-GB"/>
        </w:rPr>
      </w:pPr>
      <w:r>
        <w:rPr>
          <w:szCs w:val="22"/>
          <w:lang w:val="en-GB"/>
        </w:rPr>
        <w:t>5.1</w:t>
        <w:tab/>
        <w:t xml:space="preserve">The Initial Evaluation of the 2IM may be challenged by any of the parties involved, or by EuroBank, within 5 Business Days after it is issued by the 2IM. If no challenge is issued by any of the parties involved within this timeframe, the Initial Evaluation will become incontestable. Following the receipt of a challenge, the 2IM will invite all involved parties to make their objections and views on the Initial Evaluation known. In this process, managed by the 2IM in its reasonable discretion, the 2IM will allow all parties a reasonable opportunity to react to each others comments and views and no later than 10 Business Days from notice of the challenge.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5.2</w:t>
        <w:tab/>
        <w:t>The 2IM will upon request of EuroBank or on its own initiative perform such further investigations into the root cause of the Critical Service Level failure as it sees fit, to which investigation clause 4.3 of this Attachment 3-F (Pain-Share Mechanism) will apply again.</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5.3</w:t>
        <w:tab/>
        <w:t>Prior to making its final assessment of the issue, the 2IM will arrange the issue to be discussed in a meeting as appropriate within the governance model as discussed in Exhibit 6 (</w:t>
      </w:r>
      <w:r>
        <w:rPr>
          <w:i/>
          <w:szCs w:val="22"/>
          <w:lang w:val="en-GB"/>
        </w:rPr>
        <w:t>Governance</w:t>
      </w:r>
      <w:r>
        <w:rPr>
          <w:szCs w:val="22"/>
          <w:lang w:val="en-GB"/>
        </w:rPr>
        <w:t xml:space="preserve">). The parties involved will in that meeting strive in good faith to reach an equitable and final allocation of the applicable Blame Percentage(s).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5.4</w:t>
        <w:tab/>
        <w:t>If no consensus can be reached in such meeting on the allocation of the Blame Percentages, the 2IM will make a final, good faith assessment as much as possible objectively motivated of the Blame Percentages it finds to be appropriate (the “</w:t>
      </w:r>
      <w:r>
        <w:rPr>
          <w:b/>
          <w:i/>
          <w:szCs w:val="22"/>
          <w:lang w:val="en-GB"/>
        </w:rPr>
        <w:t>Final Evaluation</w:t>
      </w:r>
      <w:r>
        <w:rPr>
          <w:szCs w:val="22"/>
          <w:lang w:val="en-GB"/>
        </w:rPr>
        <w:t xml:space="preserve">”). The 2IM will detail its assessment in writing and support it with the findings of its Root Cause Analysis investigation which will be part of the report holding the Final Evaluation.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5" w:name="__RefHeading___Toc152659930"/>
      <w:r>
        <w:rPr>
          <w:bCs/>
          <w:sz w:val="22"/>
          <w:lang w:val="en-GB"/>
        </w:rPr>
        <w:t>Step 3 – Optional External Arbitration</w:t>
      </w:r>
      <w:bookmarkEnd w:id="5"/>
      <w:r>
        <w:rPr>
          <w:bCs/>
          <w:sz w:val="22"/>
          <w:lang w:val="en-GB"/>
        </w:rPr>
        <w:t xml:space="preserve"> </w:t>
      </w:r>
    </w:p>
    <w:p>
      <w:pPr>
        <w:pStyle w:val="Normal"/>
        <w:spacing w:before="0" w:after="0"/>
        <w:ind w:hanging="720" w:start="720" w:end="0"/>
        <w:jc w:val="both"/>
        <w:rPr>
          <w:szCs w:val="22"/>
          <w:lang w:val="en-GB"/>
        </w:rPr>
      </w:pPr>
      <w:r>
        <w:rPr>
          <w:szCs w:val="22"/>
          <w:lang w:val="en-GB"/>
        </w:rPr>
        <w:t>6.1</w:t>
        <w:tab/>
        <w:t xml:space="preserve">The Blame Percentages set by the 2IM in the Final Evaluation shall be final for the purpose of determining Service Credit responsibility under this MSA except, if relevant, with respect to the potential responsibility of the 2IM for the Critical Service Level breach.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6.2</w:t>
        <w:tab/>
        <w:t>If in the procedure leading up to the Final Evaluation the 2IM was claimed by any of the parties involved to be a contributor to the root cause of the Critical Service Level breach, then any of the parties involved (including, in all situations EuroBank) may challenge this aspect of the Final Evaluation. In such case any of the parties involved and EuroBank may submit the Blame Percentage set by the 2IM for itself in its Final Evaluation for an external review and final decision (“bindend advies”) by an independent IT expert arbiter (the Arbiter) in accordance with the rules for binding advice of the Dutch Foundation for the Settlement of Automation Disputes (the “SGOA”).</w:t>
      </w:r>
      <w:r>
        <w:rPr>
          <w:b/>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6.3</w:t>
        <w:tab/>
        <w:t>The Arbiter will either be jointly nominated by the parties or, failing agreement between the parties, be nominated in accordance with the rules of the SGOA.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6.4</w:t>
        <w:tab/>
        <w:t>The instruction to the Arbiter will not be to redo the entire investigation of the root cause of the relevant Critical Service Level breach and the Relief Claim, but only to check whether the 2IM could in all reasonableness have set its own Blame Percentage on the level it did in the Final Evaluation. If the Arbiter finds this it not to be the case, it will be instructed to set the Blame Percentage for the 2IM on the level its sees fit in its subjective, good faith opinion and proportionally reset the other Blame Percentages contained in the Final Evaluation such that the total of all Blame Percentages remains at 100%.</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6.5</w:t>
        <w:tab/>
        <w:t xml:space="preserve">The Arbiter can only adjust the Blame Percentage of the 2IM upwards, not downwards.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6.6</w:t>
        <w:tab/>
        <w:t xml:space="preserve">The costs of the Arbiter will be born by the party requesting its involvement in the matter or by the 2IM in case the Arbiter finds it necessary to adjust the Blame Percentage of the 2IM.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6" w:name="__RefHeading___Toc152659931"/>
      <w:bookmarkEnd w:id="6"/>
      <w:r>
        <w:rPr>
          <w:bCs/>
          <w:sz w:val="22"/>
          <w:lang w:val="en-GB"/>
        </w:rPr>
        <w:t>Service Credits Based on Blame Percentages</w:t>
      </w:r>
    </w:p>
    <w:p>
      <w:pPr>
        <w:pStyle w:val="Normal"/>
        <w:spacing w:before="0" w:after="0"/>
        <w:ind w:hanging="720" w:start="720" w:end="0"/>
        <w:jc w:val="both"/>
        <w:rPr>
          <w:szCs w:val="22"/>
          <w:lang w:val="en-GB"/>
        </w:rPr>
      </w:pPr>
      <w:r>
        <w:rPr>
          <w:szCs w:val="22"/>
          <w:lang w:val="en-GB"/>
        </w:rPr>
        <w:t>7.1</w:t>
        <w:tab/>
        <w:t xml:space="preserve">Basis for the calculation of the Service Credits payable under the Pain Share Mechanism is the Service Credit set by EuroBank for the Critical Service Level which was breached (referred to as "X" in this clause).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7.2</w:t>
        <w:tab/>
        <w:t xml:space="preserve">Each party to which a Blame Percentage was apportioned by the 2IM for the breach of that Critical Service Level is due to credit that percentage of X.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7.3</w:t>
        <w:tab/>
        <w:t>For example if PST Supplier A and PST Supplier B are each apportioned a Blame Percentage of 50% by the 2IM, then PST Supplier A must credit 50% of X to EuroBank and PST Supplier B must also credit 50% of X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7.4</w:t>
        <w:tab/>
        <w:t>For the avoidance of doubt, if a Blame Percentage is allocated to EuroBank or to force majeure, then no Service Credit is paid on the basis of that percentage.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7.5</w:t>
        <w:tab/>
        <w:t>PST Supplier shall not be held to credit more then 1/3 of its At Risk Amount per month to EuroBank under the Mechanism. However once per twelve months, EuroBank can elect to set this cap at 2/3 of the At Risk Amount. Crediting of Service Credits under the Mechanism counts towards the overall At Risk Amount cap in Section 5 (Service Credits) of Exhibit 3 (Service Levels). In case this cap is reached, the party issuing the Relief Claim can no longer rely on it.</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7.6</w:t>
        <w:tab/>
        <w:t xml:space="preserve">If Root Cause Analysis of the 2IM shows that the root cause of the Critical Service Level failure for which a Relief Claim is issued, is a failure of a Service Level of another PST Member, then EuroBank can only claim the Service Credit apportioned to that Service Level from the responsible PST Member. In such case no Service Credit is due for the Critical Service Level for which the Relief Claim was issued.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7.7</w:t>
        <w:tab/>
        <w:t xml:space="preserve">The previous sub clause may only be invoked if the Service Level which the other PST Member failed to perform correctly was described in sufficient detail, including the relevant KPI's, in either the Statement of Work of such PST Member or in the relevant OLA to which it is a party, allowing EuroBank the opportunity to attach a Service Credit to such Service Level, turning it into a Critical Service Level.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7.8</w:t>
        <w:tab/>
        <w:t xml:space="preserve">The previous sub clause may only be invoked if the Service which the other PST Supplier failed to perform correctly was described in sufficient detail, including the relevant KPI's, in either the Statement of Work of such PST Supplier or in the relevant OLA to which it is a party, allowing EuroBank the opportunity to attach a Service Credit to such Service, turning it into a Critical Service Level.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7.9</w:t>
        <w:tab/>
        <w:t xml:space="preserve">In case of a dispute on the application of the previous two sub clauses, the 2IM will, on the basis of a good faith assessment as much as possible objectively motivated, decide on the issue in writing as part of the Initial Evaluation and the Final Evaluation.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7" w:name="__RefHeading___Toc152659932"/>
      <w:bookmarkEnd w:id="7"/>
      <w:r>
        <w:rPr>
          <w:bCs/>
          <w:sz w:val="22"/>
          <w:lang w:val="en-GB"/>
        </w:rPr>
        <w:t>“</w:t>
      </w:r>
      <w:r>
        <w:rPr>
          <w:bCs/>
          <w:sz w:val="22"/>
          <w:lang w:val="en-GB"/>
        </w:rPr>
        <w:t>3-Strikes Principle”</w:t>
      </w:r>
    </w:p>
    <w:p>
      <w:pPr>
        <w:pStyle w:val="Normal"/>
        <w:spacing w:before="0" w:after="0"/>
        <w:ind w:hanging="720" w:start="720" w:end="0"/>
        <w:jc w:val="both"/>
        <w:rPr>
          <w:szCs w:val="22"/>
          <w:u w:val="single"/>
          <w:lang w:val="en-GB"/>
        </w:rPr>
      </w:pPr>
      <w:r>
        <w:rPr>
          <w:szCs w:val="22"/>
          <w:u w:val="single"/>
          <w:lang w:val="en-GB"/>
        </w:rPr>
        <w:t>8.1</w:t>
        <w:tab/>
        <w:t xml:space="preserve">3-Strikes Principle: </w:t>
      </w:r>
    </w:p>
    <w:p>
      <w:pPr>
        <w:pStyle w:val="Normal"/>
        <w:spacing w:before="0" w:after="0"/>
        <w:ind w:hanging="720" w:start="720" w:end="0"/>
        <w:jc w:val="both"/>
        <w:rPr>
          <w:szCs w:val="22"/>
          <w:u w:val="single"/>
          <w:lang w:val="en-GB"/>
        </w:rPr>
      </w:pPr>
      <w:r>
        <w:rPr>
          <w:szCs w:val="22"/>
          <w:u w:val="single"/>
          <w:lang w:val="en-GB"/>
        </w:rPr>
      </w:r>
    </w:p>
    <w:p>
      <w:pPr>
        <w:pStyle w:val="Normal"/>
        <w:spacing w:before="0" w:after="0"/>
        <w:ind w:start="720" w:end="0"/>
        <w:jc w:val="both"/>
        <w:rPr/>
      </w:pPr>
      <w:r>
        <w:rPr>
          <w:szCs w:val="22"/>
          <w:lang w:val="en-GB"/>
        </w:rPr>
        <w:t xml:space="preserve">The basis for the Mechanism is to ensure that the “guilty party pays”. However in order to make all PST Members feel responsibility to help prevent repeated failures by other PST Members, the PST Members accept having to pay Service Credits to EuroBank where a repeated failure ("three strikes") by another PST member causes them to repeatedly miss one of their Critical Service Levels, subject to the terms of this clause. This is intended to stimulate the PST Members to help each other and to exert commercial pressure on each other to prevent such repeated failures. </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u w:val="single"/>
          <w:lang w:val="en-GB"/>
        </w:rPr>
      </w:pPr>
      <w:r>
        <w:rPr>
          <w:szCs w:val="22"/>
          <w:u w:val="single"/>
          <w:lang w:val="en-GB"/>
        </w:rPr>
        <w:t>8.2</w:t>
        <w:tab/>
        <w:t>When Applied</w:t>
      </w:r>
    </w:p>
    <w:p>
      <w:pPr>
        <w:pStyle w:val="Normal"/>
        <w:spacing w:before="0" w:after="0"/>
        <w:ind w:hanging="720" w:start="720" w:end="0"/>
        <w:jc w:val="both"/>
        <w:rPr>
          <w:szCs w:val="22"/>
          <w:u w:val="single"/>
          <w:lang w:val="en-GB"/>
        </w:rPr>
      </w:pPr>
      <w:r>
        <w:rPr>
          <w:szCs w:val="22"/>
          <w:u w:val="single"/>
          <w:lang w:val="en-GB"/>
        </w:rPr>
      </w:r>
    </w:p>
    <w:p>
      <w:pPr>
        <w:pStyle w:val="Normal"/>
        <w:spacing w:before="0" w:after="0"/>
        <w:ind w:start="720" w:end="0"/>
        <w:jc w:val="both"/>
        <w:rPr/>
      </w:pPr>
      <w:r>
        <w:rPr>
          <w:szCs w:val="22"/>
          <w:lang w:val="en-GB"/>
        </w:rPr>
        <w:t>If (i) for the third time in any 12 month period a PST Member issues a Relief Claim for it’s obligation to pay a Service Credit for Critical Service Level breach for a similar Service, pointing out that the root cause of its breach is the mal performance by another PST Member, and (ii) the root cause of the mal performance of the other PST Supplier is in all these instances the same or substantially similar, then the PST member shall not be allowed to invoke the Relief Claim for the third instance and shall be liable to pay the Service Credit set for its own Critical Service Level breach as if it was itself responsible for the root cause.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u w:val="single"/>
          <w:lang w:val="en-GB"/>
        </w:rPr>
      </w:pPr>
      <w:r>
        <w:rPr>
          <w:szCs w:val="22"/>
          <w:u w:val="single"/>
          <w:lang w:val="en-GB"/>
        </w:rPr>
        <w:t>8.3</w:t>
        <w:tab/>
        <w:t>15% of At Risk Amount</w:t>
      </w:r>
    </w:p>
    <w:p>
      <w:pPr>
        <w:pStyle w:val="Normal"/>
        <w:spacing w:before="0" w:after="0"/>
        <w:ind w:hanging="720" w:start="720" w:end="0"/>
        <w:jc w:val="both"/>
        <w:rPr>
          <w:szCs w:val="22"/>
          <w:u w:val="single"/>
          <w:lang w:val="en-GB"/>
        </w:rPr>
      </w:pPr>
      <w:r>
        <w:rPr>
          <w:szCs w:val="22"/>
          <w:u w:val="single"/>
          <w:lang w:val="en-GB"/>
        </w:rPr>
      </w:r>
    </w:p>
    <w:p>
      <w:pPr>
        <w:pStyle w:val="Normal"/>
        <w:spacing w:before="0" w:after="0"/>
        <w:ind w:hanging="720" w:start="720" w:end="0"/>
        <w:jc w:val="both"/>
        <w:rPr/>
      </w:pPr>
      <w:r>
        <w:rPr>
          <w:szCs w:val="22"/>
          <w:lang w:val="en-GB"/>
        </w:rPr>
        <w:tab/>
        <w:t>Each PST Member accepts exposure for 15% of its At Risk Amount per month for application of the 3-Strikes Principle. Payment of Service Credits under the 3-Strikes Principle shall count towards the overall At Risk Amount cap of each PST Member.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u w:val="single"/>
          <w:lang w:val="en-GB"/>
        </w:rPr>
      </w:pPr>
      <w:r>
        <w:rPr>
          <w:szCs w:val="22"/>
          <w:u w:val="single"/>
          <w:lang w:val="en-GB"/>
        </w:rPr>
        <w:t>8.4</w:t>
        <w:tab/>
        <w:t>Exclusion for Regulated Services:</w:t>
      </w:r>
    </w:p>
    <w:p>
      <w:pPr>
        <w:pStyle w:val="Normal"/>
        <w:spacing w:before="0" w:after="0"/>
        <w:ind w:hanging="720" w:start="720" w:end="0"/>
        <w:jc w:val="both"/>
        <w:rPr>
          <w:szCs w:val="22"/>
          <w:u w:val="single"/>
          <w:lang w:val="en-GB"/>
        </w:rPr>
      </w:pPr>
      <w:r>
        <w:rPr>
          <w:szCs w:val="22"/>
          <w:u w:val="single"/>
          <w:lang w:val="en-GB"/>
        </w:rPr>
      </w:r>
    </w:p>
    <w:p>
      <w:pPr>
        <w:pStyle w:val="Normal"/>
        <w:spacing w:before="0" w:after="0"/>
        <w:ind w:start="720" w:end="0"/>
        <w:jc w:val="both"/>
        <w:rPr/>
      </w:pPr>
      <w:r>
        <w:rPr>
          <w:szCs w:val="22"/>
          <w:lang w:val="en-GB"/>
        </w:rPr>
        <w:t xml:space="preserve">The 3-Strikes Principle shall not be applied to Services for which minimum prices are set by a Regulator, as this may be seen as an illegal price discount for such Services.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u w:val="single"/>
          <w:lang w:val="en-GB"/>
        </w:rPr>
      </w:pPr>
      <w:r>
        <w:rPr>
          <w:szCs w:val="22"/>
          <w:u w:val="single"/>
          <w:lang w:val="en-GB"/>
        </w:rPr>
        <w:t>8.5</w:t>
        <w:tab/>
        <w:t>Disputes Settled by the 2IM:</w:t>
      </w:r>
    </w:p>
    <w:p>
      <w:pPr>
        <w:pStyle w:val="Normal"/>
        <w:spacing w:before="0" w:after="0"/>
        <w:ind w:start="720" w:end="0"/>
        <w:jc w:val="both"/>
        <w:rPr>
          <w:szCs w:val="22"/>
          <w:u w:val="single"/>
          <w:lang w:val="en-GB"/>
        </w:rPr>
      </w:pPr>
      <w:r>
        <w:rPr>
          <w:szCs w:val="22"/>
          <w:u w:val="single"/>
          <w:lang w:val="en-GB"/>
        </w:rPr>
      </w:r>
    </w:p>
    <w:p>
      <w:pPr>
        <w:pStyle w:val="Normal"/>
        <w:spacing w:before="0" w:after="0"/>
        <w:ind w:start="720" w:end="0"/>
        <w:jc w:val="both"/>
        <w:rPr/>
      </w:pPr>
      <w:r>
        <w:rPr>
          <w:szCs w:val="22"/>
          <w:lang w:val="en-GB"/>
        </w:rPr>
        <w:t>In case of a dispute on the application of the 3-Strikes Principle, the 2IM will, on the basis of a good faith assessment as much as possible objectively motivated, decide on the issue in writing as part of the Initial Evaluation and the Final Evaluation.</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8" w:name="__RefHeading___Toc152659933"/>
      <w:bookmarkEnd w:id="8"/>
      <w:r>
        <w:rPr>
          <w:bCs/>
          <w:sz w:val="22"/>
          <w:lang w:val="en-GB"/>
        </w:rPr>
        <w:t>Miscellaneous</w:t>
      </w:r>
    </w:p>
    <w:p>
      <w:pPr>
        <w:pStyle w:val="Normal"/>
        <w:spacing w:before="0" w:after="0"/>
        <w:ind w:hanging="720" w:start="720" w:end="0"/>
        <w:jc w:val="both"/>
        <w:rPr/>
      </w:pPr>
      <w:r>
        <w:rPr>
          <w:szCs w:val="22"/>
          <w:lang w:val="en-GB"/>
        </w:rPr>
        <w:t>9.1</w:t>
        <w:tab/>
        <w:t>The Root Cause Analysis reports prepared by the 2IM under this Pain Share Mechanism may be used by EuroBank against the PST Supplier, any Other PST Supplier or the 2IM as evidence in any court case or arbitration in which it claims damages from the PST Supplier, any Other PST Supplier or the 2IM related to the Critical Service Level breach. However the Blame Percentages set by the 2IM shall in such proceedings not have a binding effect between the parties as they are only intended to allocate Service Credits and not to allocate liability between the parties. All parties acknowledge that the liability of the 2IM for the Initial Evaluation and the Final Evaluation is excluded except in case of intent or gross negligence of the 2IM.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
        <w:ind w:hanging="0" w:start="1440" w:end="0"/>
        <w:rPr>
          <w:sz w:val="22"/>
          <w:szCs w:val="22"/>
          <w:lang w:val="en-GB"/>
        </w:rPr>
      </w:pPr>
      <w:bookmarkStart w:id="9" w:name="__RefHeading___Toc152659934"/>
      <w:bookmarkEnd w:id="9"/>
      <w:r>
        <w:rPr>
          <w:sz w:val="22"/>
          <w:szCs w:val="22"/>
          <w:lang w:val="en-GB"/>
        </w:rPr>
        <w:t>Principles and Examples of Blame Percentage Allocations</w:t>
      </w:r>
    </w:p>
    <w:p>
      <w:pPr>
        <w:pStyle w:val="Normal"/>
        <w:spacing w:before="0" w:after="0"/>
        <w:ind w:start="1440" w:end="0"/>
        <w:jc w:val="both"/>
        <w:rPr>
          <w:sz w:val="22"/>
          <w:szCs w:val="22"/>
          <w:lang w:val="en-GB"/>
        </w:rPr>
      </w:pPr>
      <w:r>
        <w:rPr>
          <w:sz w:val="22"/>
          <w:szCs w:val="22"/>
          <w:lang w:val="en-GB"/>
        </w:rPr>
      </w:r>
    </w:p>
    <w:p>
      <w:pPr>
        <w:pStyle w:val="Normal"/>
        <w:spacing w:before="0" w:after="0"/>
        <w:ind w:start="1440" w:end="0"/>
        <w:jc w:val="both"/>
        <w:rPr>
          <w:szCs w:val="22"/>
          <w:u w:val="single"/>
          <w:lang w:val="en-GB"/>
        </w:rPr>
      </w:pPr>
      <w:r>
        <w:rPr>
          <w:szCs w:val="22"/>
          <w:u w:val="single"/>
          <w:lang w:val="en-GB"/>
        </w:rPr>
        <w:t>Introduction</w:t>
      </w:r>
    </w:p>
    <w:p>
      <w:pPr>
        <w:pStyle w:val="Normal"/>
        <w:spacing w:before="0" w:after="0"/>
        <w:ind w:start="1440" w:end="0"/>
        <w:jc w:val="both"/>
        <w:rPr>
          <w:szCs w:val="22"/>
          <w:u w:val="single"/>
          <w:lang w:val="en-GB"/>
        </w:rPr>
      </w:pPr>
      <w:r>
        <w:rPr>
          <w:szCs w:val="22"/>
          <w:u w:val="single"/>
          <w:lang w:val="en-GB"/>
        </w:rPr>
      </w:r>
    </w:p>
    <w:p>
      <w:pPr>
        <w:pStyle w:val="Normal"/>
        <w:spacing w:before="0" w:after="0"/>
        <w:ind w:start="1440" w:end="0"/>
        <w:jc w:val="both"/>
        <w:rPr>
          <w:szCs w:val="22"/>
          <w:lang w:val="en-GB"/>
        </w:rPr>
      </w:pPr>
      <w:r>
        <w:rPr>
          <w:szCs w:val="22"/>
          <w:lang w:val="en-GB"/>
        </w:rPr>
        <w:t>This attachment provides some examples of Blame Percentage allocations and sets out the basic principles the 2IM will follow when allocating Blame Percentages.</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u w:val="single"/>
          <w:lang w:val="en-GB"/>
        </w:rPr>
      </w:pPr>
      <w:r>
        <w:rPr>
          <w:szCs w:val="22"/>
          <w:u w:val="single"/>
          <w:lang w:val="en-GB"/>
        </w:rPr>
        <w:t>Principles:</w:t>
      </w:r>
    </w:p>
    <w:p>
      <w:pPr>
        <w:pStyle w:val="Normal"/>
        <w:spacing w:before="0" w:after="0"/>
        <w:ind w:start="1440" w:end="0"/>
        <w:jc w:val="both"/>
        <w:rPr>
          <w:szCs w:val="22"/>
          <w:u w:val="single"/>
          <w:lang w:val="en-GB"/>
        </w:rPr>
      </w:pPr>
      <w:r>
        <w:rPr>
          <w:szCs w:val="22"/>
          <w:u w:val="single"/>
          <w:lang w:val="en-GB"/>
        </w:rPr>
      </w:r>
    </w:p>
    <w:p>
      <w:pPr>
        <w:pStyle w:val="Normal"/>
        <w:spacing w:before="0" w:after="0"/>
        <w:ind w:start="1440" w:end="0"/>
        <w:jc w:val="both"/>
        <w:rPr>
          <w:szCs w:val="22"/>
          <w:lang w:val="en-GB"/>
        </w:rPr>
      </w:pPr>
      <w:r>
        <w:rPr>
          <w:szCs w:val="22"/>
          <w:lang w:val="en-GB"/>
        </w:rPr>
        <w:t xml:space="preserve">When apportioning the Blame Percentages, the 2IM will take the following principles into account: </w:t>
      </w:r>
    </w:p>
    <w:p>
      <w:pPr>
        <w:pStyle w:val="Normal"/>
        <w:spacing w:before="0" w:after="0"/>
        <w:ind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1.</w:t>
        <w:tab/>
        <w:t xml:space="preserve">The Blame Percentages are set by the 2IM to reflect as straight forward as possible the relevant parties' contributions to the total time the relevant Service was affected or, if relevant the total delay in the performance of the Service.  </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2.</w:t>
        <w:tab/>
        <w:t xml:space="preserve">The purpose of distributing the Blame Percentages is to make the Service Credits in the end being apportioned in such a way as to stimulate the relevant parties into better behaviour by making parties who are the root cause of a Critical Service Level breach feel the pain EuroBank is suffering as a result via the Service Credit contribution they have to pay via the Pains Share Mechanism.  </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3.</w:t>
        <w:tab/>
        <w:t>In case a PST Supplier is dependant on the co-operation or input of another PST Supplier, it is the task of the PST Supplier who has the dependency to ensure the related tasks of the other PST Supplier are sufficiently documented in the OLA between it and the other PST Supplier. In case the absence of documentation of the task in the OLA makes it impossible for the 2IM to ascertain who of the two was to blame for the co-operation that was not provided or the co-operation that was not provided correctly, then in setting the Blame Percentage, the 2IM will hold the dependant PST Supplier accountable for the task not being properly documented in the relevant OLA. If the existence and content of a task to co-operate under an OLA is self evident, then the 2IM can decide in its good fait assessment not to apply this rule.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4.</w:t>
        <w:tab/>
        <w:t>If it is clear that the root cause is in a service domain in between two PST members for which the responsible PST Supplier cannot be pointed out due to missing or to little detailed domain demarcations in the relevant OLA, then the 2IM can decide to equally apportion the Blame Percentage between these two PST Suppliers.</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u w:val="single"/>
          <w:lang w:val="en-GB"/>
        </w:rPr>
      </w:pPr>
      <w:r>
        <w:rPr>
          <w:szCs w:val="22"/>
          <w:u w:val="single"/>
          <w:lang w:val="en-GB"/>
        </w:rPr>
        <w:t>Example calculations</w:t>
      </w:r>
    </w:p>
    <w:p>
      <w:pPr>
        <w:pStyle w:val="Normal"/>
        <w:spacing w:before="0" w:after="0"/>
        <w:ind w:start="1440" w:end="0"/>
        <w:jc w:val="both"/>
        <w:rPr>
          <w:szCs w:val="22"/>
          <w:u w:val="single"/>
          <w:lang w:val="en-GB"/>
        </w:rPr>
      </w:pPr>
      <w:r>
        <w:rPr>
          <w:szCs w:val="22"/>
          <w:u w:val="single"/>
          <w:lang w:val="en-GB"/>
        </w:rPr>
      </w:r>
    </w:p>
    <w:p>
      <w:pPr>
        <w:pStyle w:val="Normal"/>
        <w:spacing w:before="0" w:after="0"/>
        <w:ind w:start="2160" w:end="0"/>
        <w:jc w:val="both"/>
        <w:rPr>
          <w:i/>
          <w:i/>
          <w:szCs w:val="22"/>
          <w:lang w:val="en-GB"/>
        </w:rPr>
      </w:pPr>
      <w:r>
        <w:rPr>
          <w:i/>
          <w:szCs w:val="22"/>
          <w:lang w:val="en-GB"/>
        </w:rPr>
        <w:t>Example 1</w:t>
      </w:r>
    </w:p>
    <w:p>
      <w:pPr>
        <w:pStyle w:val="Normal"/>
        <w:spacing w:before="0" w:after="0"/>
        <w:ind w:start="2160" w:end="0"/>
        <w:jc w:val="both"/>
        <w:rPr>
          <w:i/>
          <w:i/>
          <w:szCs w:val="22"/>
          <w:lang w:val="en-GB"/>
        </w:rPr>
      </w:pPr>
      <w:r>
        <w:rPr>
          <w:i/>
          <w:szCs w:val="22"/>
          <w:lang w:val="en-GB"/>
        </w:rPr>
      </w:r>
    </w:p>
    <w:p>
      <w:pPr>
        <w:pStyle w:val="Normal"/>
        <w:spacing w:before="0" w:after="0"/>
        <w:ind w:start="2160" w:end="0"/>
        <w:jc w:val="both"/>
        <w:rPr>
          <w:szCs w:val="22"/>
          <w:lang w:val="en-GB"/>
        </w:rPr>
      </w:pPr>
      <w:r>
        <w:rPr>
          <w:szCs w:val="22"/>
          <w:lang w:val="en-GB"/>
        </w:rPr>
        <w:t>The PST Supplier ("A") who breached its Critical Service Level (availability was 99 % in stead of 99,5% which amounts to 3 hours too much downtime and a total downtime of 6 hours) claims the following as Relief Claim:</w:t>
      </w:r>
    </w:p>
    <w:p>
      <w:pPr>
        <w:pStyle w:val="Normal"/>
        <w:spacing w:before="0" w:after="0"/>
        <w:ind w:start="2160" w:end="0"/>
        <w:jc w:val="both"/>
        <w:rPr>
          <w:szCs w:val="22"/>
          <w:lang w:val="en-GB"/>
        </w:rPr>
      </w:pPr>
      <w:r>
        <w:rPr>
          <w:szCs w:val="22"/>
          <w:lang w:val="en-GB"/>
        </w:rPr>
      </w:r>
    </w:p>
    <w:p>
      <w:pPr>
        <w:pStyle w:val="Normal"/>
        <w:spacing w:before="0" w:after="0"/>
        <w:ind w:hanging="720" w:start="2880" w:end="0"/>
        <w:jc w:val="both"/>
        <w:rPr>
          <w:szCs w:val="22"/>
          <w:lang w:val="en-GB"/>
        </w:rPr>
      </w:pPr>
      <w:r>
        <w:rPr>
          <w:szCs w:val="22"/>
          <w:lang w:val="en-GB"/>
        </w:rPr>
        <w:t>•</w:t>
        <w:tab/>
        <w:t>2 hours of downtime was caused by a force majeure event (accident at the entrance of EuroBank building blocking access for mechanic for two hours); and</w:t>
      </w:r>
      <w:r>
        <w:rPr>
          <w:szCs w:val="22"/>
          <w:lang w:val="en-GB"/>
        </w:rPr>
      </w:r>
    </w:p>
    <w:p>
      <w:pPr>
        <w:pStyle w:val="Normal"/>
        <w:spacing w:before="0" w:after="0"/>
        <w:ind w:hanging="720" w:start="2880" w:end="0"/>
        <w:jc w:val="both"/>
        <w:rPr>
          <w:szCs w:val="22"/>
          <w:lang w:val="en-GB"/>
        </w:rPr>
      </w:pPr>
      <w:r>
        <w:rPr>
          <w:szCs w:val="22"/>
          <w:lang w:val="en-GB"/>
        </w:rPr>
      </w:r>
    </w:p>
    <w:p>
      <w:pPr>
        <w:pStyle w:val="Normal"/>
        <w:spacing w:before="0" w:after="0"/>
        <w:ind w:hanging="720" w:start="2880" w:end="0"/>
        <w:jc w:val="both"/>
        <w:rPr/>
      </w:pPr>
      <w:r>
        <w:rPr>
          <w:szCs w:val="22"/>
          <w:lang w:val="en-GB"/>
        </w:rPr>
        <w:t>•</w:t>
      </w:r>
      <w:r>
        <w:rPr>
          <w:szCs w:val="22"/>
          <w:lang w:val="en-GB"/>
        </w:rPr>
        <w:tab/>
        <w:t xml:space="preserve">incorrect interface information provided by another PST Supplier ("B") which caused 2 hours of downtime (IP address provided was incorrect and PST Supplier providing the IP address could not be reached for two hours to give the correct information). </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szCs w:val="22"/>
          <w:lang w:val="en-GB"/>
        </w:rPr>
      </w:pPr>
      <w:r>
        <w:rPr>
          <w:szCs w:val="22"/>
          <w:lang w:val="en-GB"/>
        </w:rPr>
        <w:t xml:space="preserve">The 2IM verifies the claims and finds both arguments raised in the Relief Event valid and comes to the following adjustments and Blame Percentage allocations: </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szCs w:val="22"/>
          <w:lang w:val="en-GB"/>
        </w:rPr>
      </w:pPr>
      <w:r>
        <w:rPr>
          <w:szCs w:val="22"/>
          <w:lang w:val="en-GB"/>
        </w:rPr>
        <w:t xml:space="preserve">The down time caused by force majeure is taken out of the total down time measured for application of the Critical Service Level. Total measured downtime still results in availability below the 99,5% level so a Service Credit is still due. </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szCs w:val="22"/>
          <w:lang w:val="en-GB"/>
        </w:rPr>
      </w:pPr>
      <w:r>
        <w:rPr>
          <w:szCs w:val="22"/>
          <w:lang w:val="en-GB"/>
        </w:rPr>
        <w:t xml:space="preserve">The 2IM sets the Blame Percentages for this Critical Service Level Breach at 50% for PST Supplier A and at 50% for PST Supplier B as each was responsible for 50% of the total down time that lead to the Critical Service Level breach. </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i/>
          <w:i/>
          <w:szCs w:val="22"/>
          <w:lang w:val="en-GB"/>
        </w:rPr>
      </w:pPr>
      <w:r>
        <w:rPr>
          <w:i/>
          <w:szCs w:val="22"/>
          <w:lang w:val="en-GB"/>
        </w:rPr>
        <w:t>Example 2</w:t>
      </w:r>
    </w:p>
    <w:p>
      <w:pPr>
        <w:pStyle w:val="Normal"/>
        <w:spacing w:before="0" w:after="0"/>
        <w:ind w:start="2160" w:end="0"/>
        <w:jc w:val="both"/>
        <w:rPr>
          <w:i/>
          <w:i/>
          <w:szCs w:val="22"/>
          <w:lang w:val="en-GB"/>
        </w:rPr>
      </w:pPr>
      <w:r>
        <w:rPr>
          <w:i/>
          <w:szCs w:val="22"/>
          <w:lang w:val="en-GB"/>
        </w:rPr>
      </w:r>
    </w:p>
    <w:p>
      <w:pPr>
        <w:pStyle w:val="Normal"/>
        <w:spacing w:before="0" w:after="0"/>
        <w:ind w:start="2160" w:end="0"/>
        <w:jc w:val="both"/>
        <w:rPr>
          <w:szCs w:val="22"/>
          <w:lang w:val="en-GB"/>
        </w:rPr>
      </w:pPr>
      <w:r>
        <w:rPr>
          <w:szCs w:val="22"/>
          <w:lang w:val="en-GB"/>
        </w:rPr>
        <w:t>A Critical Service Level is breached and the PST Supplier claims this is due to the fact that EuroBank did not provide accurate information need to execute the related task in time.</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szCs w:val="22"/>
          <w:lang w:val="en-GB"/>
        </w:rPr>
      </w:pPr>
      <w:r>
        <w:rPr>
          <w:szCs w:val="22"/>
          <w:lang w:val="en-GB"/>
        </w:rPr>
        <w:t xml:space="preserve">The 2IM investigates the issue and finds the allegation to be correct. However EuroBank makes the counter argument that the PST Supplier could have acted more proactively in finding a work around more quickly and could have discovered the issue quicker then it did. </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szCs w:val="22"/>
          <w:lang w:val="en-GB"/>
        </w:rPr>
      </w:pPr>
      <w:r>
        <w:rPr>
          <w:szCs w:val="22"/>
          <w:lang w:val="en-GB"/>
        </w:rPr>
        <w:t xml:space="preserve">The 2IM finds for this reason that the root cause is EuroBank but that the PST Supplier bears part of the blame because it could have mitigated part of the delay caused by taking proper action. </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szCs w:val="22"/>
          <w:lang w:val="en-GB"/>
        </w:rPr>
      </w:pPr>
      <w:r>
        <w:rPr>
          <w:szCs w:val="22"/>
          <w:lang w:val="en-GB"/>
        </w:rPr>
        <w:t xml:space="preserve">On the basis of this analysis, the 2IM sets the Blame Percentage on the basis of its good faith assessment of each parties contribution to the root cause at 70 % for EuroBank and 30% for the PST Supplier. </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i/>
          <w:i/>
          <w:szCs w:val="22"/>
          <w:lang w:val="en-GB"/>
        </w:rPr>
      </w:pPr>
      <w:r>
        <w:rPr>
          <w:i/>
          <w:szCs w:val="22"/>
          <w:lang w:val="en-GB"/>
        </w:rPr>
        <w:t>Example 3</w:t>
      </w:r>
    </w:p>
    <w:p>
      <w:pPr>
        <w:pStyle w:val="Normal"/>
        <w:spacing w:before="0" w:after="0"/>
        <w:ind w:start="2160" w:end="0"/>
        <w:jc w:val="both"/>
        <w:rPr>
          <w:i/>
          <w:i/>
          <w:szCs w:val="22"/>
          <w:lang w:val="en-GB"/>
        </w:rPr>
      </w:pPr>
      <w:r>
        <w:rPr>
          <w:i/>
          <w:szCs w:val="22"/>
          <w:lang w:val="en-GB"/>
        </w:rPr>
      </w:r>
    </w:p>
    <w:p>
      <w:pPr>
        <w:pStyle w:val="Normal"/>
        <w:spacing w:before="0" w:after="0"/>
        <w:ind w:start="2160" w:end="0"/>
        <w:jc w:val="both"/>
        <w:rPr>
          <w:szCs w:val="22"/>
          <w:lang w:val="en-GB"/>
        </w:rPr>
      </w:pPr>
      <w:r>
        <w:rPr>
          <w:szCs w:val="22"/>
          <w:lang w:val="en-GB"/>
        </w:rPr>
        <w:t xml:space="preserve">A telecom line provided by one of the PST Suppliers under its MSA is down, causing the service of another PST Supplier to fail, resulting in a Critical Service Level breach for that Service. With respect to the availability of the telecom line a Key Measurement exists but EuroBank did not allocate Service Credits to this Key Measurement. </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szCs w:val="22"/>
          <w:lang w:val="en-GB"/>
        </w:rPr>
      </w:pPr>
      <w:r>
        <w:rPr>
          <w:szCs w:val="22"/>
          <w:lang w:val="en-GB"/>
        </w:rPr>
        <w:t xml:space="preserve">The PST Supplier responsible for the Critical Service Level that was breached issues a Relief Claim referring to the root cause of its failure being the failure of the telecom line for which the other PST Supplier is responsible. </w:t>
      </w:r>
    </w:p>
    <w:p>
      <w:pPr>
        <w:pStyle w:val="Normal"/>
        <w:spacing w:before="0" w:after="0"/>
        <w:ind w:start="2160" w:end="0"/>
        <w:jc w:val="both"/>
        <w:rPr>
          <w:szCs w:val="22"/>
          <w:lang w:val="en-GB"/>
        </w:rPr>
      </w:pPr>
      <w:r>
        <w:rPr>
          <w:szCs w:val="22"/>
          <w:lang w:val="en-GB"/>
        </w:rPr>
      </w:r>
    </w:p>
    <w:p>
      <w:pPr>
        <w:pStyle w:val="Normal"/>
        <w:spacing w:before="0" w:after="0"/>
        <w:ind w:start="2160" w:end="0"/>
        <w:jc w:val="both"/>
        <w:rPr/>
      </w:pPr>
      <w:r>
        <w:rPr>
          <w:szCs w:val="22"/>
          <w:lang w:val="en-GB"/>
        </w:rPr>
        <w:t>The 2IM investigates the Relief Claim and finds that the Root Cause Analysis is indeed the failure of the telecom line. As no Service Credits were attached to the availability of the telecom line, the 2IM finds, applying clause 7.6 of the Mechanism in this Attachment 3-F (</w:t>
      </w:r>
      <w:r>
        <w:rPr>
          <w:i/>
          <w:szCs w:val="22"/>
          <w:lang w:val="en-GB"/>
        </w:rPr>
        <w:t>Pain-Share Mechanism</w:t>
      </w:r>
      <w:r>
        <w:rPr>
          <w:szCs w:val="22"/>
          <w:lang w:val="en-GB"/>
        </w:rPr>
        <w:t>), that no Service Credit is due.</w:t>
      </w:r>
    </w:p>
    <w:p>
      <w:pPr>
        <w:pStyle w:val="Normal"/>
        <w:spacing w:before="0" w:after="0"/>
        <w:rPr>
          <w:szCs w:val="22"/>
          <w:lang w:val="en-GB"/>
        </w:rPr>
      </w:pPr>
      <w:r>
        <w:rPr>
          <w:szCs w:val="22"/>
          <w:lang w:val="en-GB"/>
        </w:rPr>
      </w:r>
    </w:p>
    <w:p>
      <w:pPr>
        <w:pStyle w:val="Normal"/>
        <w:spacing w:before="0" w:after="0"/>
        <w:rPr>
          <w:lang w:val="en-GB"/>
        </w:rPr>
      </w:pPr>
      <w:r>
        <w:rPr>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8</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3-F (Pain Share Mechanism) Final v1.2.doc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3-F (Pain Share Mechanism) Final v1.2.doc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3-F (Pain Share Mechanism) Final v1.2.doc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style>
  <w:style w:type="character" w:styleId="WW8Num1z1">
    <w:name w:val="WW8Num1z1"/>
    <w:qFormat/>
    <w:rPr>
      <w:i w:val="false"/>
    </w:rPr>
  </w:style>
  <w:style w:type="character" w:styleId="WW8Num1z3">
    <w:name w:val="WW8Num1z3"/>
    <w:qFormat/>
    <w:rPr>
      <w:sz w:val="22"/>
    </w:rPr>
  </w:style>
  <w:style w:type="character" w:styleId="WW8Num1z4">
    <w:name w:val="WW8Num1z4"/>
    <w:qFormat/>
    <w:rPr>
      <w:b w:val="false"/>
      <w:i w:val="false"/>
      <w:sz w:val="22"/>
    </w:rPr>
  </w:style>
  <w:style w:type="character" w:styleId="WW8Num2z0">
    <w:name w:val="WW8Num2z0"/>
    <w:qFormat/>
    <w:rPr>
      <w:rFonts w:ascii="Times New Roman Bold;Times New Roman" w:hAnsi="Times New Roman Bold;Times New Roman" w:cs="Times New Roman Bold;Times New Roman"/>
      <w:b/>
      <w:i w:val="false"/>
      <w:sz w:val="22"/>
      <w:szCs w:val="22"/>
    </w:rPr>
  </w:style>
  <w:style w:type="character" w:styleId="WW8Num2z1">
    <w:name w:val="WW8Num2z1"/>
    <w:qFormat/>
    <w:rPr>
      <w:rFonts w:ascii="Times New Roman Bold;Times New Roman" w:hAnsi="Times New Roman Bold;Times New Roman" w:cs="Times New Roman Bold;Times New Roman"/>
      <w:b/>
      <w:i w:val="false"/>
      <w:sz w:val="28"/>
    </w:rPr>
  </w:style>
  <w:style w:type="character" w:styleId="WW8Num2z2">
    <w:name w:val="WW8Num2z2"/>
    <w:qFormat/>
    <w:rPr>
      <w:rFonts w:ascii="Times New Roman" w:hAnsi="Times New Roman" w:cs="Times New Roman"/>
      <w:b/>
      <w:i w:val="false"/>
      <w:sz w:val="24"/>
    </w:rPr>
  </w:style>
  <w:style w:type="character" w:styleId="WW8Num2z4">
    <w:name w:val="WW8Num2z4"/>
    <w:qFormat/>
    <w:rPr>
      <w:rFonts w:ascii="Times New Roman" w:hAnsi="Times New Roman" w:cs="Times New Roman"/>
      <w:b w:val="false"/>
      <w:i w:val="false"/>
      <w:sz w:val="22"/>
    </w:rPr>
  </w:style>
  <w:style w:type="character" w:styleId="WW8Num2z8">
    <w:name w:val="WW8Num2z8"/>
    <w:qFormat/>
    <w:rPr/>
  </w:style>
  <w:style w:type="character" w:styleId="WW8Num3z0">
    <w:name w:val="WW8Num3z0"/>
    <w:qFormat/>
    <w:rPr/>
  </w:style>
  <w:style w:type="character" w:styleId="WW8Num4z0">
    <w:name w:val="WW8Num4z0"/>
    <w:qFormat/>
    <w:rPr>
      <w:rFonts w:ascii="Times New Roman Bold;Times New Roman" w:hAnsi="Times New Roman Bold;Times New Roman" w:cs="Times New Roman Bold;Times New Roman"/>
      <w:b/>
      <w:i w:val="false"/>
      <w:sz w:val="28"/>
      <w:szCs w:val="28"/>
    </w:rPr>
  </w:style>
  <w:style w:type="character" w:styleId="WW8Num4z1">
    <w:name w:val="WW8Num4z1"/>
    <w:qFormat/>
    <w:rPr>
      <w:rFonts w:ascii="Times New Roman Bold;Times New Roman" w:hAnsi="Times New Roman Bold;Times New Roman" w:cs="Times New Roman Bold;Times New Roman"/>
      <w:b/>
      <w:i w:val="false"/>
      <w:sz w:val="28"/>
    </w:rPr>
  </w:style>
  <w:style w:type="character" w:styleId="WW8Num4z2">
    <w:name w:val="WW8Num4z2"/>
    <w:qFormat/>
    <w:rPr>
      <w:rFonts w:ascii="Times New Roman" w:hAnsi="Times New Roman" w:cs="Times New Roman"/>
      <w:b/>
      <w:i w:val="false"/>
      <w:sz w:val="24"/>
    </w:rPr>
  </w:style>
  <w:style w:type="character" w:styleId="WW8Num4z4">
    <w:name w:val="WW8Num4z4"/>
    <w:qFormat/>
    <w:rPr>
      <w:rFonts w:ascii="Times New Roman" w:hAnsi="Times New Roman" w:cs="Times New Roman"/>
      <w:b w:val="false"/>
      <w:i w:val="false"/>
      <w:sz w:val="22"/>
    </w:rPr>
  </w:style>
  <w:style w:type="character" w:styleId="WW8Num4z8">
    <w:name w:val="WW8Num4z8"/>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3z0">
    <w:name w:val="WW8Num13z0"/>
    <w:qFormat/>
    <w:rPr>
      <w:b w:val="false"/>
      <w:i w:val="false"/>
      <w:color w:val="000000"/>
      <w:sz w:val="22"/>
    </w:rPr>
  </w:style>
  <w:style w:type="character" w:styleId="WW8Num13z2">
    <w:name w:val="WW8Num13z2"/>
    <w:qFormat/>
    <w:rPr>
      <w:b w:val="false"/>
      <w:i w:val="false"/>
      <w:sz w:val="22"/>
    </w:rPr>
  </w:style>
  <w:style w:type="character" w:styleId="WW8Num13z4">
    <w:name w:val="WW8Num13z4"/>
    <w:qFormat/>
    <w:rPr/>
  </w:style>
  <w:style w:type="character" w:styleId="WW8Num14z1">
    <w:name w:val="WW8Num14z1"/>
    <w:qFormat/>
    <w:rPr/>
  </w:style>
  <w:style w:type="character" w:styleId="WW8Num15z1">
    <w:name w:val="WW8Num15z1"/>
    <w:qFormat/>
    <w:rPr/>
  </w:style>
  <w:style w:type="character" w:styleId="WW8Num18z1">
    <w:name w:val="WW8Num18z1"/>
    <w:qFormat/>
    <w:rPr/>
  </w:style>
  <w:style w:type="character" w:styleId="WW8Num20z1">
    <w:name w:val="WW8Num20z1"/>
    <w:qFormat/>
    <w:rPr/>
  </w:style>
  <w:style w:type="character" w:styleId="WW8Num22z0">
    <w:name w:val="WW8Num22z0"/>
    <w:qFormat/>
    <w:rPr/>
  </w:style>
  <w:style w:type="character" w:styleId="WW8Num23z0">
    <w:name w:val="WW8Num23z0"/>
    <w:qFormat/>
    <w:rPr/>
  </w:style>
  <w:style w:type="character" w:styleId="WW8Num23z1">
    <w:name w:val="WW8Num23z1"/>
    <w:qFormat/>
    <w:rPr>
      <w:b w:val="false"/>
      <w:i w:val="false"/>
      <w:color w:val="000000"/>
    </w:rPr>
  </w:style>
  <w:style w:type="character" w:styleId="WW8Num24z0">
    <w:name w:val="WW8Num24z0"/>
    <w:qFormat/>
    <w:rPr>
      <w:rFonts w:ascii="Times New Roman Bold;Times New Roman" w:hAnsi="Times New Roman Bold;Times New Roman" w:cs="Times New Roman Bold;Times New Roman"/>
      <w:b/>
      <w:i w:val="false"/>
      <w:sz w:val="28"/>
    </w:rPr>
  </w:style>
  <w:style w:type="character" w:styleId="WW8Num24z2">
    <w:name w:val="WW8Num24z2"/>
    <w:qFormat/>
    <w:rPr>
      <w:rFonts w:ascii="Times New Roman" w:hAnsi="Times New Roman" w:cs="Times New Roman"/>
      <w:b/>
      <w:i w:val="false"/>
      <w:sz w:val="24"/>
    </w:rPr>
  </w:style>
  <w:style w:type="character" w:styleId="WW8Num24z4">
    <w:name w:val="WW8Num24z4"/>
    <w:qFormat/>
    <w:rPr>
      <w:rFonts w:ascii="Times New Roman" w:hAnsi="Times New Roman" w:cs="Times New Roman"/>
      <w:b w:val="false"/>
      <w:i w:val="false"/>
      <w:sz w:val="22"/>
    </w:rPr>
  </w:style>
  <w:style w:type="character" w:styleId="WW8Num24z8">
    <w:name w:val="WW8Num24z8"/>
    <w:qFormat/>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style>
  <w:style w:type="character" w:styleId="WW8Num26z1">
    <w:name w:val="WW8Num26z1"/>
    <w:qFormat/>
    <w:rPr>
      <w:i w:val="false"/>
    </w:rPr>
  </w:style>
  <w:style w:type="character" w:styleId="WW8Num26z3">
    <w:name w:val="WW8Num26z3"/>
    <w:qFormat/>
    <w:rPr>
      <w:sz w:val="22"/>
    </w:rPr>
  </w:style>
  <w:style w:type="character" w:styleId="WW8Num26z4">
    <w:name w:val="WW8Num26z4"/>
    <w:qFormat/>
    <w:rPr>
      <w:rFonts w:ascii="Times New Roman" w:hAnsi="Times New Roman" w:cs="Times New Roman"/>
      <w:b w:val="false"/>
      <w:i w:val="false"/>
      <w:sz w:val="22"/>
    </w:rPr>
  </w:style>
  <w:style w:type="character" w:styleId="WW8Num27z0">
    <w:name w:val="WW8Num27z0"/>
    <w:qFormat/>
    <w:rPr/>
  </w:style>
  <w:style w:type="character" w:styleId="WW8Num28z0">
    <w:name w:val="WW8Num28z0"/>
    <w:qFormat/>
    <w:rPr/>
  </w:style>
  <w:style w:type="character" w:styleId="WW8Num29z0">
    <w:name w:val="WW8Num29z0"/>
    <w:qFormat/>
    <w:rPr>
      <w:rFonts w:ascii="Times New Roman" w:hAnsi="Times New Roman" w:cs="Times New Roman"/>
      <w:b w:val="false"/>
      <w:i w:val="false"/>
      <w:color w:val="000000"/>
      <w:sz w:val="22"/>
    </w:rPr>
  </w:style>
  <w:style w:type="character" w:styleId="WW8Num29z1">
    <w:name w:val="WW8Num29z1"/>
    <w:qFormat/>
    <w:rPr>
      <w:rFonts w:ascii="Times New Roman" w:hAnsi="Times New Roman" w:cs="Times New Roman"/>
      <w:b w:val="false"/>
      <w:i w:val="false"/>
      <w:sz w:val="22"/>
    </w:rPr>
  </w:style>
  <w:style w:type="character" w:styleId="WW8Num29z4">
    <w:name w:val="WW8Num29z4"/>
    <w:qFormat/>
    <w:rPr/>
  </w:style>
  <w:style w:type="character" w:styleId="WW8Num30z0">
    <w:name w:val="WW8Num30z0"/>
    <w:qFormat/>
    <w:rPr>
      <w:rFonts w:ascii="Times New Roman Bold;Times New Roman" w:hAnsi="Times New Roman Bold;Times New Roman" w:cs="Times New Roman Bold;Times New Roman"/>
      <w:b/>
      <w:i w:val="false"/>
      <w:sz w:val="28"/>
    </w:rPr>
  </w:style>
  <w:style w:type="character" w:styleId="WW8Num30z2">
    <w:name w:val="WW8Num30z2"/>
    <w:qFormat/>
    <w:rPr>
      <w:rFonts w:ascii="Times New Roman" w:hAnsi="Times New Roman" w:cs="Times New Roman"/>
      <w:b/>
      <w:i w:val="false"/>
      <w:sz w:val="24"/>
    </w:rPr>
  </w:style>
  <w:style w:type="character" w:styleId="WW8Num30z4">
    <w:name w:val="WW8Num30z4"/>
    <w:qFormat/>
    <w:rPr>
      <w:rFonts w:ascii="Times New Roman" w:hAnsi="Times New Roman" w:cs="Times New Roman"/>
      <w:b w:val="false"/>
      <w:i w:val="false"/>
      <w:sz w:val="22"/>
    </w:rPr>
  </w:style>
  <w:style w:type="character" w:styleId="WW8Num30z8">
    <w:name w:val="WW8Num30z8"/>
    <w:qFormat/>
    <w:rPr/>
  </w:style>
  <w:style w:type="character" w:styleId="WW8Num31z1">
    <w:name w:val="WW8Num31z1"/>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Times New Roman Bold;Times New Roman" w:hAnsi="Times New Roman Bold;Times New Roman" w:cs="Times New Roman Bold;Times New Roman"/>
      <w:b/>
      <w:i w:val="false"/>
      <w:sz w:val="28"/>
    </w:rPr>
  </w:style>
  <w:style w:type="character" w:styleId="WW8Num34z2">
    <w:name w:val="WW8Num34z2"/>
    <w:qFormat/>
    <w:rPr>
      <w:rFonts w:ascii="Times New Roman" w:hAnsi="Times New Roman" w:cs="Times New Roman"/>
      <w:b/>
      <w:i w:val="false"/>
      <w:sz w:val="24"/>
    </w:rPr>
  </w:style>
  <w:style w:type="character" w:styleId="WW8Num34z4">
    <w:name w:val="WW8Num34z4"/>
    <w:qFormat/>
    <w:rPr>
      <w:rFonts w:ascii="Times New Roman" w:hAnsi="Times New Roman" w:cs="Times New Roman"/>
      <w:b w:val="false"/>
      <w:i w:val="false"/>
      <w:sz w:val="22"/>
    </w:rPr>
  </w:style>
  <w:style w:type="character" w:styleId="WW8Num34z8">
    <w:name w:val="WW8Num34z8"/>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2006-11-30T18:51:00Z</dcterms:created>
  <dc:creator> </dc:creator>
  <dc:description/>
  <cp:keywords/>
  <dc:language>en-US</dc:language>
  <cp:lastModifiedBy>Stuart Johnson</cp:lastModifiedBy>
  <cp:lastPrinted>2005-07-04T16:19:00Z</cp:lastPrinted>
  <dcterms:modified xsi:type="dcterms:W3CDTF">2006-11-30T18:53:00Z</dcterms:modified>
  <cp:revision>4</cp:revision>
  <dc:subject/>
  <dc:title> </dc:title>
</cp:coreProperties>
</file>