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ind w:start="1440" w:end="0"/>
        <w:jc w:val="both"/>
        <w:rPr>
          <w:rFonts w:cs="Times New Roman"/>
          <w:lang w:val="en-GB"/>
        </w:rPr>
      </w:pPr>
      <w:r>
        <w:rPr>
          <w:rFonts w:cs="Times New Roman"/>
          <w:lang w:val="en-GB"/>
        </w:rPr>
      </w:r>
    </w:p>
    <w:p>
      <w:pPr>
        <w:pStyle w:val="Title"/>
        <w:rPr>
          <w:rFonts w:cs="Times New Roman"/>
          <w:lang w:val="en-GB"/>
        </w:rPr>
      </w:pPr>
      <w:r>
        <w:rPr>
          <w:rFonts w:cs="Times New Roman"/>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Attachment 30-C</w:t>
      </w:r>
    </w:p>
    <w:p>
      <w:pPr>
        <w:pStyle w:val="Title"/>
        <w:rPr>
          <w:lang w:val="en-GB"/>
        </w:rPr>
      </w:pPr>
      <w:r>
        <w:rPr>
          <w:lang w:val="en-GB"/>
        </w:rPr>
      </w:r>
    </w:p>
    <w:p>
      <w:pPr>
        <w:pStyle w:val="Title"/>
        <w:rPr>
          <w:lang w:val="en-GB"/>
        </w:rPr>
      </w:pPr>
      <w:r>
        <w:rPr>
          <w:lang w:val="en-GB"/>
        </w:rPr>
        <w:t>Roles &amp; Responsibilities Matrix</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ind w:start="1440" w:end="0"/>
        <w:jc w:val="both"/>
        <w:rPr>
          <w:szCs w:val="22"/>
          <w:lang w:val="en-GB"/>
        </w:rPr>
      </w:pPr>
      <w:r>
        <w:rPr>
          <w:szCs w:val="22"/>
          <w:lang w:val="en-GB"/>
        </w:rPr>
      </w:r>
    </w:p>
    <w:p>
      <w:pPr>
        <w:pStyle w:val="Title"/>
        <w:ind w:start="1440" w:end="0"/>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\t "Heading 1 Numbered,1,Heading 2 Numbered,2,Heading 3 Numbered,3"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INTRODUCTION</w:t>
          </w:r>
          <w:r>
            <w:rPr>
              <w:sz w:val="18"/>
              <w:szCs w:val="18"/>
              <w:lang w:val="en-US" w:eastAsia="en-US"/>
            </w:rPr>
            <w:tab/>
          </w:r>
          <w:hyperlink w:anchor="__RefHeading___Toc151286377">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2.</w:t>
          </w:r>
          <w:r>
            <w:rPr>
              <w:b w:val="false"/>
              <w:sz w:val="18"/>
              <w:szCs w:val="18"/>
              <w:lang w:val="en-US" w:eastAsia="en-US"/>
            </w:rPr>
            <w:tab/>
          </w:r>
          <w:r>
            <w:rPr>
              <w:bCs/>
              <w:sz w:val="18"/>
              <w:szCs w:val="18"/>
              <w:lang w:val="en-GB" w:eastAsia="en-US"/>
            </w:rPr>
            <w:t>PST ROLES AND RESPONSIBILITIES</w:t>
          </w:r>
          <w:r>
            <w:rPr>
              <w:sz w:val="18"/>
              <w:szCs w:val="18"/>
              <w:lang w:val="en-US" w:eastAsia="en-US"/>
            </w:rPr>
            <w:tab/>
          </w:r>
          <w:hyperlink w:anchor="__RefHeading___Toc151286378">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2.1</w:t>
          </w:r>
          <w:r>
            <w:rPr>
              <w:b w:val="false"/>
              <w:sz w:val="18"/>
              <w:szCs w:val="18"/>
              <w:lang w:val="en-US" w:eastAsia="en-US"/>
            </w:rPr>
            <w:tab/>
          </w:r>
          <w:r>
            <w:rPr>
              <w:sz w:val="18"/>
              <w:szCs w:val="18"/>
              <w:lang w:val="en-GB" w:eastAsia="en-US"/>
            </w:rPr>
            <w:t>TRANSITION AND TRANSFORMATION GOVERNANCE</w:t>
          </w:r>
          <w:r>
            <w:rPr>
              <w:sz w:val="18"/>
              <w:szCs w:val="18"/>
              <w:lang w:val="en-US" w:eastAsia="en-US"/>
            </w:rPr>
            <w:tab/>
          </w:r>
          <w:hyperlink w:anchor="__RefHeading___Toc151286379">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2.2</w:t>
          </w:r>
          <w:r>
            <w:rPr>
              <w:b w:val="false"/>
              <w:sz w:val="18"/>
              <w:szCs w:val="18"/>
              <w:lang w:val="en-US" w:eastAsia="en-US"/>
            </w:rPr>
            <w:tab/>
          </w:r>
          <w:r>
            <w:rPr>
              <w:sz w:val="18"/>
              <w:szCs w:val="18"/>
              <w:lang w:val="en-GB" w:eastAsia="en-US"/>
            </w:rPr>
            <w:t>TRANSITION AND TRANSFORMATION GOVERNANCE BODIES</w:t>
          </w:r>
          <w:r>
            <w:rPr>
              <w:sz w:val="18"/>
              <w:szCs w:val="18"/>
              <w:lang w:val="en-US" w:eastAsia="en-US"/>
            </w:rPr>
            <w:tab/>
          </w:r>
          <w:hyperlink w:anchor="__RefHeading___Toc151286380">
            <w:r>
              <w:rPr>
                <w:rStyle w:val="IndexLink"/>
                <w:sz w:val="18"/>
                <w:szCs w:val="18"/>
                <w:lang w:val="en-US" w:eastAsia="en-US"/>
              </w:rPr>
              <w:t>2</w:t>
            </w:r>
          </w:hyperlink>
        </w:p>
        <w:p>
          <w:pPr>
            <w:pStyle w:val="TOC2"/>
            <w:tabs>
              <w:tab w:val="clear" w:pos="720"/>
              <w:tab w:val="left" w:pos="880" w:leader="none"/>
              <w:tab w:val="right" w:pos="8441" w:leader="dot"/>
            </w:tabs>
            <w:rPr>
              <w:b w:val="false"/>
              <w:sz w:val="18"/>
              <w:szCs w:val="18"/>
              <w:lang w:val="de-DE" w:eastAsia="en-US"/>
            </w:rPr>
          </w:pPr>
          <w:r>
            <w:rPr>
              <w:sz w:val="18"/>
              <w:szCs w:val="18"/>
              <w:lang w:val="de-DE" w:eastAsia="en-US"/>
            </w:rPr>
            <w:t>2.3</w:t>
          </w:r>
          <w:r>
            <w:rPr>
              <w:b w:val="false"/>
              <w:sz w:val="18"/>
              <w:szCs w:val="18"/>
              <w:lang w:val="de-DE" w:eastAsia="en-US"/>
            </w:rPr>
            <w:tab/>
          </w:r>
          <w:r>
            <w:rPr>
              <w:sz w:val="18"/>
              <w:szCs w:val="18"/>
              <w:lang w:val="de-DE" w:eastAsia="en-US"/>
            </w:rPr>
            <w:t>PST TRANSITION AND TRANSFORMATION ROLES</w:t>
            <w:tab/>
          </w:r>
          <w:hyperlink w:anchor="__RefHeading___Toc151286381">
            <w:r>
              <w:rPr>
                <w:rStyle w:val="IndexLink"/>
                <w:sz w:val="18"/>
                <w:szCs w:val="18"/>
                <w:lang w:val="de-DE" w:eastAsia="en-US"/>
              </w:rPr>
              <w:t>2</w:t>
            </w:r>
          </w:hyperlink>
        </w:p>
        <w:p>
          <w:pPr>
            <w:pStyle w:val="TOC3"/>
            <w:tabs>
              <w:tab w:val="clear" w:pos="720"/>
              <w:tab w:val="left" w:pos="1320" w:leader="none"/>
              <w:tab w:val="right" w:pos="8441" w:leader="dot"/>
            </w:tabs>
            <w:rPr>
              <w:sz w:val="18"/>
              <w:szCs w:val="18"/>
              <w:lang w:val="de-DE" w:eastAsia="en-US"/>
            </w:rPr>
          </w:pPr>
          <w:r>
            <w:rPr>
              <w:sz w:val="18"/>
              <w:szCs w:val="18"/>
              <w:lang w:val="de-DE" w:eastAsia="en-US"/>
            </w:rPr>
            <w:t>2.3.1</w:t>
            <w:tab/>
            <w:t>Overall T &amp; T Manager</w:t>
            <w:tab/>
          </w:r>
          <w:hyperlink w:anchor="__RefHeading___Toc151286382">
            <w:r>
              <w:rPr>
                <w:rStyle w:val="IndexLink"/>
                <w:sz w:val="18"/>
                <w:szCs w:val="18"/>
                <w:lang w:val="de-DE" w:eastAsia="en-US"/>
              </w:rPr>
              <w:t>3</w:t>
            </w:r>
          </w:hyperlink>
        </w:p>
        <w:p>
          <w:pPr>
            <w:pStyle w:val="TOC3"/>
            <w:tabs>
              <w:tab w:val="clear" w:pos="720"/>
              <w:tab w:val="left" w:pos="1320" w:leader="none"/>
              <w:tab w:val="right" w:pos="8441" w:leader="dot"/>
            </w:tabs>
            <w:rPr>
              <w:sz w:val="18"/>
              <w:szCs w:val="18"/>
              <w:lang w:val="de-DE" w:eastAsia="en-US"/>
            </w:rPr>
          </w:pPr>
          <w:r>
            <w:rPr>
              <w:sz w:val="18"/>
              <w:szCs w:val="18"/>
              <w:lang w:val="de-DE" w:eastAsia="en-US"/>
            </w:rPr>
            <w:t>2.3.2</w:t>
            <w:tab/>
            <w:t>ING SWS Program Manager</w:t>
            <w:tab/>
          </w:r>
          <w:hyperlink w:anchor="__RefHeading___Toc151286383">
            <w:r>
              <w:rPr>
                <w:rStyle w:val="IndexLink"/>
                <w:sz w:val="18"/>
                <w:szCs w:val="18"/>
                <w:lang w:val="de-DE" w:eastAsia="en-US"/>
              </w:rPr>
              <w:t>3</w:t>
            </w:r>
          </w:hyperlink>
        </w:p>
        <w:p>
          <w:pPr>
            <w:pStyle w:val="TOC3"/>
            <w:tabs>
              <w:tab w:val="clear" w:pos="720"/>
              <w:tab w:val="left" w:pos="1320" w:leader="none"/>
              <w:tab w:val="right" w:pos="8441" w:leader="dot"/>
            </w:tabs>
            <w:rPr>
              <w:sz w:val="18"/>
              <w:szCs w:val="18"/>
              <w:lang w:val="de-DE" w:eastAsia="en-US"/>
            </w:rPr>
          </w:pPr>
          <w:r>
            <w:rPr>
              <w:sz w:val="18"/>
              <w:szCs w:val="18"/>
              <w:lang w:val="de-DE" w:eastAsia="en-US"/>
            </w:rPr>
            <w:t>2.3.3</w:t>
            <w:tab/>
            <w:t>2IM T &amp; T Manager</w:t>
            <w:tab/>
          </w:r>
          <w:hyperlink w:anchor="__RefHeading___Toc151286384">
            <w:r>
              <w:rPr>
                <w:rStyle w:val="IndexLink"/>
                <w:sz w:val="18"/>
                <w:szCs w:val="18"/>
                <w:lang w:val="de-DE" w:eastAsia="en-US"/>
              </w:rPr>
              <w:t>4</w:t>
            </w:r>
          </w:hyperlink>
        </w:p>
        <w:p>
          <w:pPr>
            <w:pStyle w:val="TOC3"/>
            <w:tabs>
              <w:tab w:val="clear" w:pos="720"/>
              <w:tab w:val="left" w:pos="1320" w:leader="none"/>
              <w:tab w:val="right" w:pos="8441" w:leader="dot"/>
            </w:tabs>
            <w:rPr>
              <w:sz w:val="18"/>
              <w:szCs w:val="18"/>
              <w:lang w:val="de-DE" w:eastAsia="en-US"/>
            </w:rPr>
          </w:pPr>
          <w:r>
            <w:rPr>
              <w:sz w:val="18"/>
              <w:szCs w:val="18"/>
              <w:lang w:val="de-DE" w:eastAsia="en-US"/>
            </w:rPr>
            <w:t>2.3.4</w:t>
            <w:tab/>
            <w:t>HR 2IM Stream Lead</w:t>
            <w:tab/>
          </w:r>
          <w:hyperlink w:anchor="__RefHeading___Toc151286385">
            <w:r>
              <w:rPr>
                <w:rStyle w:val="IndexLink"/>
                <w:sz w:val="18"/>
                <w:szCs w:val="18"/>
                <w:lang w:val="de-DE" w:eastAsia="en-US"/>
              </w:rPr>
              <w:t>4</w:t>
            </w:r>
          </w:hyperlink>
        </w:p>
        <w:p>
          <w:pPr>
            <w:pStyle w:val="TOC3"/>
            <w:tabs>
              <w:tab w:val="clear" w:pos="720"/>
              <w:tab w:val="left" w:pos="1320" w:leader="none"/>
              <w:tab w:val="right" w:pos="8441" w:leader="dot"/>
            </w:tabs>
            <w:rPr>
              <w:sz w:val="18"/>
              <w:szCs w:val="18"/>
              <w:lang w:val="fr-FR" w:eastAsia="en-US"/>
            </w:rPr>
          </w:pPr>
          <w:r>
            <w:rPr>
              <w:sz w:val="18"/>
              <w:szCs w:val="18"/>
              <w:lang w:val="fr-FR" w:eastAsia="en-US"/>
            </w:rPr>
            <w:t>2.3.5</w:t>
            <w:tab/>
            <w:t>2IM T &amp; T Service Mgt Implementation Manager</w:t>
            <w:tab/>
          </w:r>
          <w:hyperlink w:anchor="__RefHeading___Toc151286386">
            <w:r>
              <w:rPr>
                <w:rStyle w:val="IndexLink"/>
                <w:sz w:val="18"/>
                <w:szCs w:val="18"/>
                <w:lang w:val="fr-FR" w:eastAsia="en-US"/>
              </w:rPr>
              <w:t>4</w:t>
            </w:r>
          </w:hyperlink>
        </w:p>
        <w:p>
          <w:pPr>
            <w:pStyle w:val="TOC3"/>
            <w:tabs>
              <w:tab w:val="clear" w:pos="720"/>
              <w:tab w:val="left" w:pos="1320" w:leader="none"/>
              <w:tab w:val="right" w:pos="8441" w:leader="dot"/>
            </w:tabs>
            <w:rPr>
              <w:sz w:val="18"/>
              <w:szCs w:val="18"/>
              <w:lang w:val="fr-FR" w:eastAsia="en-US"/>
            </w:rPr>
          </w:pPr>
          <w:r>
            <w:rPr>
              <w:sz w:val="18"/>
              <w:szCs w:val="18"/>
              <w:lang w:val="fr-FR" w:eastAsia="en-US"/>
            </w:rPr>
            <w:t>2.3.6</w:t>
            <w:tab/>
            <w:t>2IM T &amp; T Unit Operations Implementation Manager</w:t>
            <w:tab/>
          </w:r>
          <w:hyperlink w:anchor="__RefHeading___Toc151286387">
            <w:r>
              <w:rPr>
                <w:rStyle w:val="IndexLink"/>
                <w:sz w:val="18"/>
                <w:szCs w:val="18"/>
                <w:lang w:val="fr-FR" w:eastAsia="en-US"/>
              </w:rPr>
              <w:t>5</w:t>
            </w:r>
          </w:hyperlink>
        </w:p>
        <w:p>
          <w:pPr>
            <w:pStyle w:val="TOC2"/>
            <w:tabs>
              <w:tab w:val="clear" w:pos="720"/>
              <w:tab w:val="left" w:pos="880" w:leader="none"/>
              <w:tab w:val="right" w:pos="8441" w:leader="dot"/>
            </w:tabs>
            <w:rPr>
              <w:b w:val="false"/>
              <w:sz w:val="18"/>
              <w:szCs w:val="18"/>
              <w:lang w:val="fr-FR" w:eastAsia="en-US"/>
            </w:rPr>
          </w:pPr>
          <w:r>
            <w:rPr>
              <w:sz w:val="18"/>
              <w:szCs w:val="18"/>
              <w:lang w:val="fr-FR" w:eastAsia="en-US"/>
            </w:rPr>
            <w:t>2.4</w:t>
          </w:r>
          <w:r>
            <w:rPr>
              <w:b w:val="false"/>
              <w:sz w:val="18"/>
              <w:szCs w:val="18"/>
              <w:lang w:val="fr-FR" w:eastAsia="en-US"/>
            </w:rPr>
            <w:tab/>
          </w:r>
          <w:r>
            <w:rPr>
              <w:sz w:val="18"/>
              <w:szCs w:val="18"/>
              <w:lang w:val="fr-FR" w:eastAsia="en-US"/>
            </w:rPr>
            <w:t>(PST SUPPLIER) TRANSITION AND TRANSFORMATION ROLES – GENERIC DEFINITIONS</w:t>
            <w:tab/>
          </w:r>
          <w:hyperlink w:anchor="__RefHeading___Toc151286388">
            <w:r>
              <w:rPr>
                <w:rStyle w:val="IndexLink"/>
                <w:sz w:val="18"/>
                <w:szCs w:val="18"/>
                <w:lang w:val="fr-FR" w:eastAsia="en-US"/>
              </w:rPr>
              <w:t>5</w:t>
            </w:r>
          </w:hyperlink>
        </w:p>
        <w:p>
          <w:pPr>
            <w:pStyle w:val="TOC3"/>
            <w:tabs>
              <w:tab w:val="clear" w:pos="720"/>
              <w:tab w:val="left" w:pos="1320" w:leader="none"/>
              <w:tab w:val="right" w:pos="8441" w:leader="dot"/>
            </w:tabs>
            <w:rPr>
              <w:sz w:val="18"/>
              <w:szCs w:val="18"/>
              <w:lang w:val="fr-FR" w:eastAsia="en-US"/>
            </w:rPr>
          </w:pPr>
          <w:r>
            <w:rPr>
              <w:sz w:val="18"/>
              <w:szCs w:val="18"/>
              <w:lang w:val="fr-FR" w:eastAsia="en-US"/>
            </w:rPr>
            <w:t>2.4.1</w:t>
            <w:tab/>
            <w:t>(PST) Supplier T &amp; T Manager</w:t>
            <w:tab/>
          </w:r>
          <w:hyperlink w:anchor="__RefHeading___Toc151286389">
            <w:r>
              <w:rPr>
                <w:rStyle w:val="IndexLink"/>
                <w:sz w:val="18"/>
                <w:szCs w:val="18"/>
                <w:lang w:val="fr-FR" w:eastAsia="en-US"/>
              </w:rPr>
              <w:t>5</w:t>
            </w:r>
          </w:hyperlink>
        </w:p>
        <w:p>
          <w:pPr>
            <w:pStyle w:val="TOC3"/>
            <w:tabs>
              <w:tab w:val="clear" w:pos="720"/>
              <w:tab w:val="left" w:pos="1320" w:leader="none"/>
              <w:tab w:val="right" w:pos="8441" w:leader="dot"/>
            </w:tabs>
            <w:rPr>
              <w:sz w:val="18"/>
              <w:szCs w:val="18"/>
              <w:lang w:val="fr-FR" w:eastAsia="en-US"/>
            </w:rPr>
          </w:pPr>
          <w:r>
            <w:rPr>
              <w:sz w:val="18"/>
              <w:szCs w:val="18"/>
              <w:lang w:val="fr-FR" w:eastAsia="en-US"/>
            </w:rPr>
            <w:t>2.4.2</w:t>
            <w:tab/>
            <w:t>PST Supplier HR Transition Manager</w:t>
            <w:tab/>
          </w:r>
          <w:hyperlink w:anchor="__RefHeading___Toc151286390">
            <w:r>
              <w:rPr>
                <w:rStyle w:val="IndexLink"/>
                <w:sz w:val="18"/>
                <w:szCs w:val="18"/>
                <w:lang w:val="fr-FR" w:eastAsia="en-US"/>
              </w:rPr>
              <w:t>5</w:t>
            </w:r>
          </w:hyperlink>
        </w:p>
        <w:p>
          <w:pPr>
            <w:pStyle w:val="TOC3"/>
            <w:tabs>
              <w:tab w:val="clear" w:pos="720"/>
              <w:tab w:val="left" w:pos="1320" w:leader="none"/>
              <w:tab w:val="right" w:pos="8441" w:leader="dot"/>
            </w:tabs>
            <w:rPr>
              <w:sz w:val="18"/>
              <w:szCs w:val="18"/>
              <w:lang w:val="fr-FR" w:eastAsia="en-US"/>
            </w:rPr>
          </w:pPr>
          <w:r>
            <w:rPr>
              <w:sz w:val="18"/>
              <w:szCs w:val="18"/>
              <w:lang w:val="fr-FR" w:eastAsia="en-US"/>
            </w:rPr>
            <w:t>2.4.3</w:t>
            <w:tab/>
            <w:t>Bundle T &amp; T Manager</w:t>
            <w:tab/>
          </w:r>
          <w:hyperlink w:anchor="__RefHeading___Toc151286391">
            <w:r>
              <w:rPr>
                <w:rStyle w:val="IndexLink"/>
                <w:sz w:val="18"/>
                <w:szCs w:val="18"/>
                <w:lang w:val="fr-FR" w:eastAsia="en-US"/>
              </w:rPr>
              <w:t>6</w:t>
            </w:r>
          </w:hyperlink>
        </w:p>
        <w:p>
          <w:pPr>
            <w:pStyle w:val="TOC3"/>
            <w:tabs>
              <w:tab w:val="clear" w:pos="720"/>
              <w:tab w:val="left" w:pos="1320" w:leader="none"/>
              <w:tab w:val="right" w:pos="8441" w:leader="dot"/>
            </w:tabs>
            <w:rPr>
              <w:sz w:val="18"/>
              <w:szCs w:val="18"/>
              <w:lang w:val="fr-FR" w:eastAsia="en-US"/>
            </w:rPr>
          </w:pPr>
          <w:r>
            <w:rPr>
              <w:sz w:val="18"/>
              <w:szCs w:val="18"/>
              <w:lang w:val="fr-FR" w:eastAsia="en-US"/>
            </w:rPr>
            <w:t>2.4.4</w:t>
            <w:tab/>
            <w:t>T &amp; T Support Office Coordinator</w:t>
            <w:tab/>
          </w:r>
          <w:hyperlink w:anchor="__RefHeading___Toc151286392">
            <w:r>
              <w:rPr>
                <w:rStyle w:val="IndexLink"/>
                <w:sz w:val="18"/>
                <w:szCs w:val="18"/>
                <w:lang w:val="fr-FR" w:eastAsia="en-US"/>
              </w:rPr>
              <w:t>6</w:t>
            </w:r>
          </w:hyperlink>
        </w:p>
        <w:p>
          <w:pPr>
            <w:pStyle w:val="TOC3"/>
            <w:tabs>
              <w:tab w:val="clear" w:pos="720"/>
              <w:tab w:val="left" w:pos="1320" w:leader="none"/>
              <w:tab w:val="right" w:pos="8441" w:leader="dot"/>
            </w:tabs>
            <w:rPr>
              <w:sz w:val="18"/>
              <w:szCs w:val="18"/>
              <w:lang w:val="fr-FR" w:eastAsia="en-US"/>
            </w:rPr>
          </w:pPr>
          <w:r>
            <w:rPr>
              <w:sz w:val="18"/>
              <w:szCs w:val="18"/>
              <w:lang w:val="fr-FR" w:eastAsia="en-US"/>
            </w:rPr>
            <w:t>2.4.5</w:t>
            <w:tab/>
            <w:t>Finance &amp; Contract manager</w:t>
            <w:tab/>
          </w:r>
          <w:hyperlink w:anchor="__RefHeading___Toc151286393">
            <w:r>
              <w:rPr>
                <w:rStyle w:val="IndexLink"/>
                <w:sz w:val="18"/>
                <w:szCs w:val="18"/>
                <w:lang w:val="fr-FR" w:eastAsia="en-US"/>
              </w:rPr>
              <w:t>6</w:t>
            </w:r>
          </w:hyperlink>
        </w:p>
        <w:p>
          <w:pPr>
            <w:pStyle w:val="TOC2"/>
            <w:tabs>
              <w:tab w:val="clear" w:pos="720"/>
              <w:tab w:val="left" w:pos="880" w:leader="none"/>
              <w:tab w:val="right" w:pos="8441" w:leader="dot"/>
            </w:tabs>
            <w:rPr>
              <w:b w:val="false"/>
              <w:sz w:val="18"/>
              <w:szCs w:val="18"/>
              <w:lang w:val="fr-FR" w:eastAsia="en-US"/>
            </w:rPr>
          </w:pPr>
          <w:r>
            <w:rPr>
              <w:sz w:val="18"/>
              <w:szCs w:val="18"/>
              <w:lang w:val="fr-FR" w:eastAsia="en-US"/>
            </w:rPr>
            <w:t>2.5</w:t>
          </w:r>
          <w:r>
            <w:rPr>
              <w:b w:val="false"/>
              <w:sz w:val="18"/>
              <w:szCs w:val="18"/>
              <w:lang w:val="fr-FR" w:eastAsia="en-US"/>
            </w:rPr>
            <w:tab/>
          </w:r>
          <w:r>
            <w:rPr>
              <w:sz w:val="18"/>
              <w:szCs w:val="18"/>
              <w:lang w:val="fr-FR" w:eastAsia="en-US"/>
            </w:rPr>
            <w:t>TRANSITION AND TRANSFORMATION ROLES - ATOS ORIGIN</w:t>
            <w:tab/>
          </w:r>
          <w:hyperlink w:anchor="__RefHeading___Toc151286394">
            <w:r>
              <w:rPr>
                <w:rStyle w:val="IndexLink"/>
                <w:sz w:val="18"/>
                <w:szCs w:val="18"/>
                <w:lang w:val="fr-FR" w:eastAsia="en-US"/>
              </w:rPr>
              <w:t>7</w:t>
            </w:r>
          </w:hyperlink>
        </w:p>
        <w:p>
          <w:pPr>
            <w:pStyle w:val="TOC2"/>
            <w:tabs>
              <w:tab w:val="clear" w:pos="720"/>
              <w:tab w:val="left" w:pos="880" w:leader="none"/>
              <w:tab w:val="right" w:pos="8441" w:leader="dot"/>
            </w:tabs>
            <w:rPr>
              <w:b w:val="false"/>
              <w:sz w:val="18"/>
              <w:szCs w:val="18"/>
              <w:lang w:val="fr-FR" w:eastAsia="en-US"/>
            </w:rPr>
          </w:pPr>
          <w:r>
            <w:rPr>
              <w:sz w:val="18"/>
              <w:szCs w:val="18"/>
              <w:lang w:val="fr-FR" w:eastAsia="en-US"/>
            </w:rPr>
            <w:t>2.6</w:t>
          </w:r>
          <w:r>
            <w:rPr>
              <w:b w:val="false"/>
              <w:sz w:val="18"/>
              <w:szCs w:val="18"/>
              <w:lang w:val="fr-FR" w:eastAsia="en-US"/>
            </w:rPr>
            <w:tab/>
          </w:r>
          <w:r>
            <w:rPr>
              <w:sz w:val="18"/>
              <w:szCs w:val="18"/>
              <w:lang w:val="fr-FR" w:eastAsia="en-US"/>
            </w:rPr>
            <w:t>TRANSITION AND TRANSFORMATION ROLES – KPN</w:t>
            <w:tab/>
          </w:r>
          <w:hyperlink w:anchor="__RefHeading___Toc151286395">
            <w:r>
              <w:rPr>
                <w:rStyle w:val="IndexLink"/>
                <w:sz w:val="18"/>
                <w:szCs w:val="18"/>
                <w:lang w:val="fr-FR" w:eastAsia="en-US"/>
              </w:rPr>
              <w:t>7</w:t>
            </w:r>
          </w:hyperlink>
        </w:p>
        <w:p>
          <w:pPr>
            <w:pStyle w:val="TOC2"/>
            <w:tabs>
              <w:tab w:val="clear" w:pos="720"/>
              <w:tab w:val="left" w:pos="880" w:leader="none"/>
              <w:tab w:val="right" w:pos="8441" w:leader="dot"/>
            </w:tabs>
            <w:rPr>
              <w:b w:val="false"/>
              <w:sz w:val="18"/>
              <w:szCs w:val="18"/>
              <w:lang w:val="fr-FR" w:eastAsia="en-US"/>
            </w:rPr>
          </w:pPr>
          <w:r>
            <w:rPr>
              <w:sz w:val="18"/>
              <w:szCs w:val="18"/>
              <w:lang w:val="fr-FR" w:eastAsia="en-US"/>
            </w:rPr>
            <w:t>2.7</w:t>
          </w:r>
          <w:r>
            <w:rPr>
              <w:b w:val="false"/>
              <w:sz w:val="18"/>
              <w:szCs w:val="18"/>
              <w:lang w:val="fr-FR" w:eastAsia="en-US"/>
            </w:rPr>
            <w:tab/>
          </w:r>
          <w:r>
            <w:rPr>
              <w:sz w:val="18"/>
              <w:szCs w:val="18"/>
              <w:lang w:val="fr-FR" w:eastAsia="en-US"/>
            </w:rPr>
            <w:t>TRANSITION AND TRANSFORMATION ROLES – GETRONICS</w:t>
            <w:tab/>
          </w:r>
          <w:hyperlink w:anchor="__RefHeading___Toc151286396">
            <w:r>
              <w:rPr>
                <w:rStyle w:val="IndexLink"/>
                <w:sz w:val="18"/>
                <w:szCs w:val="18"/>
                <w:lang w:val="fr-FR" w:eastAsia="en-US"/>
              </w:rPr>
              <w:t>8</w:t>
            </w:r>
          </w:hyperlink>
        </w:p>
        <w:p>
          <w:pPr>
            <w:pStyle w:val="TOC1"/>
            <w:tabs>
              <w:tab w:val="clear" w:pos="720"/>
              <w:tab w:val="left" w:pos="440" w:leader="none"/>
              <w:tab w:val="right" w:pos="8441" w:leader="dot"/>
            </w:tabs>
            <w:rPr>
              <w:b w:val="false"/>
              <w:sz w:val="18"/>
              <w:szCs w:val="18"/>
              <w:lang w:val="fr-FR" w:eastAsia="en-US"/>
            </w:rPr>
          </w:pPr>
          <w:r>
            <w:rPr>
              <w:bCs/>
              <w:sz w:val="18"/>
              <w:szCs w:val="18"/>
              <w:lang w:val="fr-FR" w:eastAsia="en-US"/>
            </w:rPr>
            <w:t>3.</w:t>
          </w:r>
          <w:r>
            <w:rPr>
              <w:b w:val="false"/>
              <w:sz w:val="18"/>
              <w:szCs w:val="18"/>
              <w:lang w:val="fr-FR" w:eastAsia="en-US"/>
            </w:rPr>
            <w:tab/>
          </w:r>
          <w:r>
            <w:rPr>
              <w:bCs/>
              <w:sz w:val="18"/>
              <w:szCs w:val="18"/>
              <w:lang w:val="fr-FR" w:eastAsia="en-US"/>
            </w:rPr>
            <w:t>ING ROLES AND RESPONSIBILITIES</w:t>
          </w:r>
          <w:r>
            <w:rPr>
              <w:sz w:val="18"/>
              <w:szCs w:val="18"/>
              <w:lang w:val="fr-FR" w:eastAsia="en-US"/>
            </w:rPr>
            <w:tab/>
          </w:r>
          <w:hyperlink w:anchor="__RefHeading___Toc151286397">
            <w:r>
              <w:rPr>
                <w:rStyle w:val="IndexLink"/>
                <w:sz w:val="18"/>
                <w:szCs w:val="18"/>
                <w:lang w:val="fr-FR" w:eastAsia="en-US"/>
              </w:rPr>
              <w:t>8</w:t>
            </w:r>
          </w:hyperlink>
        </w:p>
        <w:p>
          <w:pPr>
            <w:pStyle w:val="TOC3"/>
            <w:tabs>
              <w:tab w:val="clear" w:pos="720"/>
              <w:tab w:val="left" w:pos="1320" w:leader="none"/>
              <w:tab w:val="right" w:pos="8441" w:leader="dot"/>
            </w:tabs>
            <w:rPr>
              <w:sz w:val="18"/>
              <w:szCs w:val="18"/>
              <w:lang w:val="fr-FR" w:eastAsia="en-US"/>
            </w:rPr>
          </w:pPr>
          <w:r>
            <w:rPr>
              <w:sz w:val="18"/>
              <w:szCs w:val="18"/>
              <w:lang w:val="fr-FR" w:eastAsia="en-US"/>
            </w:rPr>
            <w:t>3.1.1</w:t>
            <w:tab/>
            <w:t>ING T &amp; T Manager</w:t>
            <w:tab/>
          </w:r>
          <w:hyperlink w:anchor="__RefHeading___Toc151286398">
            <w:r>
              <w:rPr>
                <w:rStyle w:val="IndexLink"/>
                <w:sz w:val="18"/>
                <w:szCs w:val="18"/>
                <w:lang w:val="fr-FR" w:eastAsia="en-US"/>
              </w:rPr>
              <w:t>8</w:t>
            </w:r>
          </w:hyperlink>
        </w:p>
        <w:p>
          <w:pPr>
            <w:pStyle w:val="TOC3"/>
            <w:tabs>
              <w:tab w:val="clear" w:pos="720"/>
              <w:tab w:val="left" w:pos="1320" w:leader="none"/>
              <w:tab w:val="right" w:pos="8441" w:leader="dot"/>
            </w:tabs>
            <w:rPr>
              <w:sz w:val="18"/>
              <w:szCs w:val="18"/>
              <w:lang w:val="fr-FR" w:eastAsia="en-US"/>
            </w:rPr>
          </w:pPr>
          <w:r>
            <w:rPr>
              <w:sz w:val="18"/>
              <w:szCs w:val="18"/>
              <w:lang w:val="fr-FR" w:eastAsia="en-US"/>
            </w:rPr>
            <w:t>3.1.2</w:t>
            <w:tab/>
            <w:t>ING Business Representatives (BSD)</w:t>
            <w:tab/>
          </w:r>
          <w:hyperlink w:anchor="__RefHeading___Toc151286399">
            <w:r>
              <w:rPr>
                <w:rStyle w:val="IndexLink"/>
                <w:sz w:val="18"/>
                <w:szCs w:val="18"/>
                <w:lang w:val="fr-FR" w:eastAsia="en-US"/>
              </w:rPr>
              <w:t>8</w:t>
            </w:r>
          </w:hyperlink>
        </w:p>
        <w:p>
          <w:pPr>
            <w:pStyle w:val="TOC3"/>
            <w:tabs>
              <w:tab w:val="clear" w:pos="720"/>
              <w:tab w:val="left" w:pos="1320" w:leader="none"/>
              <w:tab w:val="right" w:pos="8441" w:leader="dot"/>
            </w:tabs>
            <w:rPr>
              <w:sz w:val="18"/>
              <w:szCs w:val="18"/>
              <w:lang w:val="en-US" w:eastAsia="en-US"/>
            </w:rPr>
          </w:pPr>
          <w:r>
            <w:rPr>
              <w:sz w:val="18"/>
              <w:szCs w:val="18"/>
              <w:lang w:val="en-GB" w:eastAsia="en-US"/>
            </w:rPr>
            <w:t>3.1.3</w:t>
          </w:r>
          <w:r>
            <w:rPr>
              <w:sz w:val="18"/>
              <w:szCs w:val="18"/>
              <w:lang w:val="en-US" w:eastAsia="en-US"/>
            </w:rPr>
            <w:tab/>
          </w:r>
          <w:r>
            <w:rPr>
              <w:sz w:val="18"/>
              <w:szCs w:val="18"/>
              <w:lang w:val="en-GB" w:eastAsia="en-US"/>
            </w:rPr>
            <w:t>ING Communication Lead</w:t>
          </w:r>
          <w:r>
            <w:rPr>
              <w:sz w:val="18"/>
              <w:szCs w:val="18"/>
              <w:lang w:val="en-US" w:eastAsia="en-US"/>
            </w:rPr>
            <w:tab/>
          </w:r>
          <w:hyperlink w:anchor="__RefHeading___Toc151286400">
            <w:r>
              <w:rPr>
                <w:rStyle w:val="IndexLink"/>
                <w:sz w:val="18"/>
                <w:szCs w:val="18"/>
                <w:lang w:val="en-US" w:eastAsia="en-US"/>
              </w:rPr>
              <w:t>9</w:t>
            </w:r>
          </w:hyperlink>
        </w:p>
        <w:p>
          <w:pPr>
            <w:pStyle w:val="TOC3"/>
            <w:tabs>
              <w:tab w:val="clear" w:pos="720"/>
              <w:tab w:val="left" w:pos="1320" w:leader="none"/>
              <w:tab w:val="right" w:pos="8441" w:leader="dot"/>
            </w:tabs>
            <w:rPr>
              <w:sz w:val="18"/>
              <w:szCs w:val="18"/>
              <w:lang w:val="en-US" w:eastAsia="en-US"/>
            </w:rPr>
          </w:pPr>
          <w:r>
            <w:rPr>
              <w:sz w:val="18"/>
              <w:szCs w:val="18"/>
              <w:lang w:val="en-GB" w:eastAsia="en-US"/>
            </w:rPr>
            <w:t>3.1.4</w:t>
          </w:r>
          <w:r>
            <w:rPr>
              <w:sz w:val="18"/>
              <w:szCs w:val="18"/>
              <w:lang w:val="en-US" w:eastAsia="en-US"/>
            </w:rPr>
            <w:tab/>
          </w:r>
          <w:r>
            <w:rPr>
              <w:sz w:val="18"/>
              <w:szCs w:val="18"/>
              <w:lang w:val="en-GB" w:eastAsia="en-US"/>
            </w:rPr>
            <w:t>ING HR Lead</w:t>
          </w:r>
          <w:r>
            <w:rPr>
              <w:sz w:val="18"/>
              <w:szCs w:val="18"/>
              <w:lang w:val="en-US" w:eastAsia="en-US"/>
            </w:rPr>
            <w:tab/>
          </w:r>
          <w:hyperlink w:anchor="__RefHeading___Toc151286401">
            <w:r>
              <w:rPr>
                <w:rStyle w:val="IndexLink"/>
                <w:sz w:val="18"/>
                <w:szCs w:val="18"/>
                <w:lang w:val="en-US" w:eastAsia="en-US"/>
              </w:rPr>
              <w:t>9</w:t>
            </w:r>
          </w:hyperlink>
        </w:p>
        <w:p>
          <w:pPr>
            <w:pStyle w:val="TOC3"/>
            <w:tabs>
              <w:tab w:val="clear" w:pos="720"/>
              <w:tab w:val="left" w:pos="1320" w:leader="none"/>
              <w:tab w:val="right" w:pos="8441" w:leader="dot"/>
            </w:tabs>
            <w:rPr>
              <w:sz w:val="18"/>
              <w:szCs w:val="18"/>
              <w:lang w:val="en-US" w:eastAsia="en-US"/>
            </w:rPr>
          </w:pPr>
          <w:r>
            <w:rPr>
              <w:sz w:val="18"/>
              <w:szCs w:val="18"/>
              <w:lang w:val="en-GB" w:eastAsia="en-US"/>
            </w:rPr>
            <w:t>3.1.5</w:t>
          </w:r>
          <w:r>
            <w:rPr>
              <w:sz w:val="18"/>
              <w:szCs w:val="18"/>
              <w:lang w:val="en-US" w:eastAsia="en-US"/>
            </w:rPr>
            <w:tab/>
          </w:r>
          <w:r>
            <w:rPr>
              <w:sz w:val="18"/>
              <w:szCs w:val="18"/>
              <w:lang w:val="en-GB" w:eastAsia="en-US"/>
            </w:rPr>
            <w:t>ING Contract Management Lead</w:t>
          </w:r>
          <w:r>
            <w:rPr>
              <w:sz w:val="18"/>
              <w:szCs w:val="18"/>
              <w:lang w:val="en-US" w:eastAsia="en-US"/>
            </w:rPr>
            <w:tab/>
          </w:r>
          <w:hyperlink w:anchor="__RefHeading___Toc151286402">
            <w:r>
              <w:rPr>
                <w:rStyle w:val="IndexLink"/>
                <w:sz w:val="18"/>
                <w:szCs w:val="18"/>
                <w:lang w:val="en-US" w:eastAsia="en-US"/>
              </w:rPr>
              <w:t>9</w:t>
            </w:r>
          </w:hyperlink>
        </w:p>
        <w:p>
          <w:pPr>
            <w:pStyle w:val="TOC3"/>
            <w:tabs>
              <w:tab w:val="clear" w:pos="720"/>
              <w:tab w:val="left" w:pos="1320" w:leader="none"/>
              <w:tab w:val="right" w:pos="8441" w:leader="dot"/>
            </w:tabs>
            <w:rPr>
              <w:sz w:val="18"/>
              <w:szCs w:val="18"/>
              <w:lang w:val="en-US" w:eastAsia="en-US"/>
            </w:rPr>
          </w:pPr>
          <w:r>
            <w:rPr>
              <w:sz w:val="18"/>
              <w:szCs w:val="18"/>
              <w:lang w:val="en-GB" w:eastAsia="en-US"/>
            </w:rPr>
            <w:t>3.1.6</w:t>
          </w:r>
          <w:r>
            <w:rPr>
              <w:sz w:val="18"/>
              <w:szCs w:val="18"/>
              <w:lang w:val="en-US" w:eastAsia="en-US"/>
            </w:rPr>
            <w:tab/>
          </w:r>
          <w:r>
            <w:rPr>
              <w:sz w:val="18"/>
              <w:szCs w:val="18"/>
              <w:lang w:val="en-GB" w:eastAsia="en-US"/>
            </w:rPr>
            <w:t>ING Finance Lead</w:t>
          </w:r>
          <w:r>
            <w:rPr>
              <w:sz w:val="18"/>
              <w:szCs w:val="18"/>
              <w:lang w:val="en-US" w:eastAsia="en-US"/>
            </w:rPr>
            <w:tab/>
          </w:r>
          <w:hyperlink w:anchor="__RefHeading___Toc151286403">
            <w:r>
              <w:rPr>
                <w:rStyle w:val="IndexLink"/>
                <w:sz w:val="18"/>
                <w:szCs w:val="18"/>
                <w:lang w:val="en-US" w:eastAsia="en-US"/>
              </w:rPr>
              <w:t>9</w:t>
            </w:r>
          </w:hyperlink>
        </w:p>
        <w:p>
          <w:pPr>
            <w:pStyle w:val="TOC1"/>
            <w:tabs>
              <w:tab w:val="clear" w:pos="720"/>
              <w:tab w:val="left" w:pos="440" w:leader="none"/>
              <w:tab w:val="right" w:pos="8441" w:leader="dot"/>
            </w:tabs>
            <w:rPr>
              <w:sz w:val="18"/>
              <w:szCs w:val="18"/>
              <w:lang w:val="en-US" w:eastAsia="en-US"/>
            </w:rPr>
          </w:pPr>
          <w:r>
            <w:rPr>
              <w:b w:val="false"/>
              <w:bCs/>
              <w:sz w:val="18"/>
              <w:szCs w:val="18"/>
              <w:lang w:val="en-GB" w:eastAsia="en-US"/>
            </w:rPr>
            <w:t>4.</w:t>
          </w:r>
          <w:r>
            <w:rPr>
              <w:b w:val="false"/>
              <w:sz w:val="18"/>
              <w:szCs w:val="18"/>
              <w:lang w:val="en-US" w:eastAsia="en-US"/>
            </w:rPr>
            <w:tab/>
          </w:r>
          <w:r>
            <w:rPr>
              <w:b w:val="false"/>
              <w:bCs/>
              <w:sz w:val="18"/>
              <w:szCs w:val="18"/>
              <w:lang w:val="en-GB" w:eastAsia="en-US"/>
            </w:rPr>
            <w:t>RACI</w:t>
          </w:r>
          <w:r>
            <w:rPr>
              <w:b w:val="false"/>
              <w:sz w:val="18"/>
              <w:szCs w:val="18"/>
              <w:lang w:val="en-US" w:eastAsia="en-US"/>
            </w:rPr>
            <w:tab/>
          </w:r>
          <w:hyperlink w:anchor="__RefHeading___Toc151286404">
            <w:r>
              <w:rPr>
                <w:rStyle w:val="IndexLink"/>
                <w:b w:val="false"/>
                <w:sz w:val="18"/>
                <w:szCs w:val="18"/>
                <w:lang w:val="en-US" w:eastAsia="en-US"/>
              </w:rPr>
              <w:t>9</w:t>
            </w:r>
          </w:hyperlink>
          <w:r>
            <w:rPr>
              <w:rStyle w:val="IndexLink"/>
              <w:sz w:val="18"/>
              <w:b w:val="false"/>
              <w:szCs w:val="18"/>
              <w:lang w:val="en-US" w:eastAsia="en-US"/>
            </w:rPr>
            <w:fldChar w:fldCharType="end"/>
          </w:r>
        </w:p>
      </w:sdtContent>
    </w:sdt>
    <w:p>
      <w:pPr>
        <w:pStyle w:val="Normal"/>
        <w:jc w:val="both"/>
        <w:rPr>
          <w:b/>
          <w:caps/>
          <w:sz w:val="18"/>
          <w:szCs w:val="18"/>
          <w:lang w:val="en-GB" w:eastAsia="en-US"/>
        </w:rPr>
      </w:pPr>
      <w:r>
        <w:rPr>
          <w:b/>
          <w:caps/>
          <w:sz w:val="18"/>
          <w:szCs w:val="18"/>
          <w:lang w:val="en-GB" w:eastAsia="en-US"/>
        </w:rPr>
      </w:r>
    </w:p>
    <w:p>
      <w:pPr>
        <w:pStyle w:val="Normal"/>
        <w:jc w:val="both"/>
        <w:rPr>
          <w:caps/>
          <w:sz w:val="18"/>
          <w:szCs w:val="18"/>
          <w:lang w:val="en-GB"/>
        </w:rPr>
      </w:pPr>
      <w:r>
        <w:rPr>
          <w:caps/>
          <w:sz w:val="18"/>
          <w:szCs w:val="18"/>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jc w:val="both"/>
        <w:rPr>
          <w:caps/>
          <w:sz w:val="18"/>
          <w:szCs w:val="22"/>
          <w:lang w:val="en-GB"/>
        </w:rPr>
      </w:pPr>
      <w:r>
        <w:rPr>
          <w:caps/>
          <w:sz w:val="18"/>
          <w:szCs w:val="22"/>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sz w:val="22"/>
          <w:szCs w:val="22"/>
          <w:lang w:val="en-GB"/>
        </w:rPr>
      </w:pPr>
      <w:bookmarkStart w:id="0" w:name="__RefHeading___Toc151286377"/>
      <w:bookmarkEnd w:id="0"/>
      <w:r>
        <w:rPr>
          <w:rFonts w:cs="Times New Roman" w:ascii="Times New Roman" w:hAnsi="Times New Roman"/>
          <w:sz w:val="22"/>
          <w:szCs w:val="22"/>
          <w:lang w:val="en-GB"/>
        </w:rPr>
        <w:t>INTRODUCTION</w:t>
      </w:r>
    </w:p>
    <w:p>
      <w:pPr>
        <w:pStyle w:val="Normal"/>
        <w:spacing w:before="0" w:after="0"/>
        <w:jc w:val="both"/>
        <w:rPr>
          <w:szCs w:val="22"/>
          <w:lang w:val="en-GB"/>
        </w:rPr>
      </w:pPr>
      <w:r>
        <w:rPr>
          <w:szCs w:val="22"/>
          <w:lang w:val="en-GB"/>
        </w:rPr>
        <w:t>This Attachment describes the roles and responsibilities in line with Exhibit 30.</w:t>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1" w:name="__RefHeading___Toc151286378"/>
      <w:bookmarkEnd w:id="1"/>
      <w:r>
        <w:rPr>
          <w:rFonts w:cs="Times New Roman" w:ascii="Times New Roman" w:hAnsi="Times New Roman"/>
          <w:bCs/>
          <w:sz w:val="22"/>
          <w:szCs w:val="22"/>
          <w:lang w:val="en-GB"/>
        </w:rPr>
        <w:t>PST ROLES AND RESPONSIBILITIES</w:t>
      </w:r>
    </w:p>
    <w:p>
      <w:pPr>
        <w:pStyle w:val="Heading2Numbered"/>
        <w:numPr>
          <w:ilvl w:val="1"/>
          <w:numId w:val="2"/>
        </w:numPr>
        <w:ind w:hanging="0" w:start="0"/>
        <w:rPr>
          <w:rFonts w:ascii="Times New Roman" w:hAnsi="Times New Roman" w:cs="Times New Roman"/>
          <w:sz w:val="22"/>
          <w:szCs w:val="22"/>
          <w:lang w:val="en-GB"/>
        </w:rPr>
      </w:pPr>
      <w:bookmarkStart w:id="2" w:name="__RefHeading___Toc151286379"/>
      <w:r>
        <w:rPr>
          <w:rFonts w:cs="Times New Roman" w:ascii="Times New Roman" w:hAnsi="Times New Roman"/>
          <w:sz w:val="22"/>
          <w:szCs w:val="22"/>
          <w:lang w:val="en-GB"/>
        </w:rPr>
        <w:t>TRANSITION AND TRANSFORMATION GOVERNANCE</w:t>
      </w:r>
      <w:bookmarkEnd w:id="2"/>
      <w:r>
        <w:rPr>
          <w:rFonts w:cs="Times New Roman" w:ascii="Times New Roman" w:hAnsi="Times New Roman"/>
          <w:sz w:val="22"/>
          <w:szCs w:val="22"/>
          <w:lang w:val="en-GB"/>
        </w:rPr>
        <w:t xml:space="preserve"> </w:t>
      </w:r>
    </w:p>
    <w:p>
      <w:pPr>
        <w:pStyle w:val="Normal"/>
        <w:spacing w:before="0" w:after="0"/>
        <w:jc w:val="both"/>
        <w:rPr/>
      </w:pPr>
      <w:r>
        <w:rPr>
          <w:szCs w:val="22"/>
          <w:lang w:val="en-GB"/>
        </w:rPr>
        <w:t>The T&amp;T governance clearly defines accountabilities and responsibilities with well-understood communication and escalation channels, and provides the basis for a good working relationship between EuroBank and PST.</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Transition &amp; Transformation Phases will be steered by a joint EuroBank / PST organisation under the responsibility of 2IM and the overall T&amp;T Manager. This organisation will merge with the standing organisation (service delivery units) at the end of the Transformation Phase and all new projects and / or running Transformation projects will be steered by the 2IM PMO in the service delivery organisation; the picture below presents a high level view of the merging of T&amp;T with the standing organisation..</w:t>
      </w:r>
    </w:p>
    <w:p>
      <w:pPr>
        <w:pStyle w:val="Normal"/>
        <w:spacing w:before="0" w:after="0"/>
        <w:jc w:val="both"/>
        <w:rPr>
          <w:szCs w:val="22"/>
          <w:lang w:val="en-GB"/>
        </w:rPr>
      </w:pPr>
      <w:r>
        <w:rPr>
          <w:szCs w:val="22"/>
          <w:lang w:val="en-GB"/>
        </w:rPr>
      </w:r>
    </w:p>
    <w:p>
      <w:pPr>
        <w:pStyle w:val="Normal"/>
        <w:spacing w:before="0" w:after="0"/>
        <w:jc w:val="both"/>
        <w:rPr>
          <w:szCs w:val="22"/>
          <w:lang w:val="en-GB" w:eastAsia="en-US" w:bidi="en-US"/>
        </w:rPr>
      </w:pPr>
      <w:r>
        <w:rPr>
          <w:szCs w:val="22"/>
          <w:lang w:val="en-GB" w:eastAsia="en-US" w:bidi="en-US"/>
        </w:rPr>
        <w:drawing>
          <wp:anchor behindDoc="0" distT="36195" distB="36195" distL="114935" distR="114935" simplePos="0" locked="0" layoutInCell="0" allowOverlap="1" relativeHeight="10">
            <wp:simplePos x="0" y="0"/>
            <wp:positionH relativeFrom="margin">
              <wp:align>center</wp:align>
            </wp:positionH>
            <wp:positionV relativeFrom="paragraph">
              <wp:posOffset>635</wp:posOffset>
            </wp:positionV>
            <wp:extent cx="5483860" cy="3649980"/>
            <wp:effectExtent l="0" t="0" r="0" b="0"/>
            <wp:wrapTopAndBottom/>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8"/>
                    <a:srcRect l="-4" t="-6" r="-4" b="-6"/>
                    <a:stretch>
                      <a:fillRect/>
                    </a:stretch>
                  </pic:blipFill>
                  <pic:spPr bwMode="auto">
                    <a:xfrm>
                      <a:off x="0" y="0"/>
                      <a:ext cx="5483860" cy="3649980"/>
                    </a:xfrm>
                    <a:prstGeom prst="rect">
                      <a:avLst/>
                    </a:prstGeom>
                    <a:noFill/>
                  </pic:spPr>
                </pic:pic>
              </a:graphicData>
            </a:graphic>
          </wp:anchor>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EuroBank staff will form part of the overall Transition &amp; Transformation teams. </w:t>
      </w:r>
      <w:r/>
    </w:p>
    <w:p>
      <w:pPr>
        <w:pStyle w:val="Normal"/>
        <w:spacing w:before="0" w:after="0"/>
        <w:jc w:val="both"/>
        <w:rPr>
          <w:szCs w:val="22"/>
          <w:lang w:val="en-GB"/>
        </w:rPr>
      </w:pPr>
      <w:r>
        <w:rPr>
          <w:szCs w:val="22"/>
          <w:lang w:val="en-GB"/>
        </w:rPr>
      </w:r>
    </w:p>
    <w:p>
      <w:pPr>
        <w:pStyle w:val="Heading2Numbered"/>
        <w:numPr>
          <w:ilvl w:val="1"/>
          <w:numId w:val="2"/>
        </w:numPr>
        <w:ind w:hanging="0" w:start="0"/>
        <w:rPr>
          <w:rFonts w:ascii="Times New Roman" w:hAnsi="Times New Roman" w:cs="Times New Roman"/>
          <w:sz w:val="22"/>
          <w:szCs w:val="22"/>
          <w:lang w:val="en-GB"/>
        </w:rPr>
      </w:pPr>
      <w:bookmarkStart w:id="3" w:name="__RefHeading___Toc151286380"/>
      <w:r>
        <w:rPr>
          <w:rFonts w:cs="Times New Roman" w:ascii="Times New Roman" w:hAnsi="Times New Roman"/>
          <w:sz w:val="22"/>
          <w:szCs w:val="22"/>
          <w:lang w:val="en-GB"/>
        </w:rPr>
        <w:t>TRANSITION AND TRANSFORMATION GOVERNANCE BODIES</w:t>
      </w:r>
      <w:bookmarkEnd w:id="3"/>
      <w:r>
        <w:rPr>
          <w:rFonts w:cs="Times New Roman" w:ascii="Times New Roman" w:hAnsi="Times New Roman"/>
          <w:sz w:val="22"/>
          <w:szCs w:val="22"/>
          <w:lang w:val="en-GB"/>
        </w:rPr>
        <w:t xml:space="preserve"> </w:t>
      </w:r>
    </w:p>
    <w:p>
      <w:pPr>
        <w:pStyle w:val="Normal"/>
        <w:spacing w:before="0" w:after="0"/>
        <w:ind w:firstLine="720" w:start="720" w:end="0"/>
        <w:jc w:val="both"/>
        <w:rPr>
          <w:szCs w:val="22"/>
          <w:lang w:val="en-GB"/>
        </w:rPr>
      </w:pPr>
      <w:r>
        <w:rPr/>
        <w:drawing>
          <wp:inline distT="0" distB="0" distL="0" distR="0">
            <wp:extent cx="4396740" cy="202692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9"/>
                    <a:srcRect l="-8" t="-18" r="-8" b="-18"/>
                    <a:stretch>
                      <a:fillRect/>
                    </a:stretch>
                  </pic:blipFill>
                  <pic:spPr bwMode="auto">
                    <a:xfrm>
                      <a:off x="0" y="0"/>
                      <a:ext cx="4396740" cy="202692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pPr>
      <w:r>
        <w:rPr>
          <w:szCs w:val="22"/>
          <w:u w:val="single"/>
          <w:lang w:val="en-GB"/>
        </w:rPr>
        <w:t>Responsibilities of the Transition Steering Committee</w:t>
      </w:r>
      <w:r>
        <w:rPr>
          <w:szCs w:val="22"/>
          <w:lang w:val="en-GB"/>
        </w:rPr>
        <w:t>:</w:t>
      </w:r>
    </w:p>
    <w:p>
      <w:pPr>
        <w:pStyle w:val="Normal"/>
        <w:spacing w:before="0" w:after="0"/>
        <w:jc w:val="both"/>
        <w:rPr>
          <w:szCs w:val="22"/>
          <w:lang w:val="en-GB"/>
        </w:rPr>
      </w:pPr>
      <w:r>
        <w:rPr>
          <w:szCs w:val="22"/>
          <w:lang w:val="en-GB"/>
        </w:rPr>
      </w:r>
    </w:p>
    <w:p>
      <w:pPr>
        <w:pStyle w:val="Normal"/>
        <w:numPr>
          <w:ilvl w:val="0"/>
          <w:numId w:val="4"/>
        </w:numPr>
        <w:spacing w:before="0" w:after="0"/>
        <w:jc w:val="both"/>
        <w:rPr>
          <w:szCs w:val="22"/>
          <w:lang w:val="en-GB"/>
        </w:rPr>
      </w:pPr>
      <w:r>
        <w:rPr>
          <w:szCs w:val="22"/>
          <w:lang w:val="en-GB"/>
        </w:rPr>
        <w:t>Develop the Transition and communication Plans</w:t>
      </w:r>
    </w:p>
    <w:p>
      <w:pPr>
        <w:pStyle w:val="Normal"/>
        <w:spacing w:before="0" w:after="0"/>
        <w:jc w:val="both"/>
        <w:rPr>
          <w:szCs w:val="22"/>
          <w:lang w:val="en-GB"/>
        </w:rPr>
      </w:pPr>
      <w:r>
        <w:rPr>
          <w:szCs w:val="22"/>
          <w:lang w:val="en-GB"/>
        </w:rPr>
      </w:r>
    </w:p>
    <w:p>
      <w:pPr>
        <w:pStyle w:val="Normal"/>
        <w:numPr>
          <w:ilvl w:val="0"/>
          <w:numId w:val="4"/>
        </w:numPr>
        <w:spacing w:before="0" w:after="0"/>
        <w:jc w:val="both"/>
        <w:rPr>
          <w:szCs w:val="22"/>
          <w:lang w:val="en-GB"/>
        </w:rPr>
      </w:pPr>
      <w:r>
        <w:rPr>
          <w:szCs w:val="22"/>
          <w:lang w:val="en-GB"/>
        </w:rPr>
        <w:t>Direct and co-ordinate Transition streams and Bundles;</w:t>
      </w:r>
    </w:p>
    <w:p>
      <w:pPr>
        <w:pStyle w:val="Normal"/>
        <w:spacing w:before="0" w:after="0"/>
        <w:jc w:val="both"/>
        <w:rPr>
          <w:szCs w:val="22"/>
          <w:lang w:val="en-GB"/>
        </w:rPr>
      </w:pPr>
      <w:r>
        <w:rPr>
          <w:szCs w:val="22"/>
          <w:lang w:val="en-GB"/>
        </w:rPr>
      </w:r>
    </w:p>
    <w:p>
      <w:pPr>
        <w:pStyle w:val="Normal"/>
        <w:numPr>
          <w:ilvl w:val="0"/>
          <w:numId w:val="4"/>
        </w:numPr>
        <w:spacing w:before="0" w:after="0"/>
        <w:jc w:val="both"/>
        <w:rPr>
          <w:szCs w:val="22"/>
          <w:lang w:val="en-GB"/>
        </w:rPr>
      </w:pPr>
      <w:r>
        <w:rPr>
          <w:szCs w:val="22"/>
          <w:lang w:val="en-GB"/>
        </w:rPr>
        <w:t>Identify interdependencies among the Transition streams and Bundles and check that these are managed effectively</w:t>
      </w:r>
    </w:p>
    <w:p>
      <w:pPr>
        <w:pStyle w:val="Normal"/>
        <w:spacing w:before="0" w:after="0"/>
        <w:jc w:val="both"/>
        <w:rPr>
          <w:szCs w:val="22"/>
          <w:lang w:val="en-GB"/>
        </w:rPr>
      </w:pPr>
      <w:r>
        <w:rPr>
          <w:szCs w:val="22"/>
          <w:lang w:val="en-GB"/>
        </w:rPr>
      </w:r>
    </w:p>
    <w:p>
      <w:pPr>
        <w:pStyle w:val="Normal"/>
        <w:numPr>
          <w:ilvl w:val="0"/>
          <w:numId w:val="4"/>
        </w:numPr>
        <w:spacing w:before="0" w:after="0"/>
        <w:jc w:val="both"/>
        <w:rPr>
          <w:szCs w:val="22"/>
          <w:lang w:val="en-GB"/>
        </w:rPr>
      </w:pPr>
      <w:r>
        <w:rPr>
          <w:szCs w:val="22"/>
          <w:lang w:val="en-GB"/>
        </w:rPr>
        <w:t>Determine critical information flows between the Transition streams and Bundles (i.e., determine who needs to know what, and when)</w:t>
      </w:r>
    </w:p>
    <w:p>
      <w:pPr>
        <w:pStyle w:val="Normal"/>
        <w:spacing w:before="0" w:after="0"/>
        <w:jc w:val="both"/>
        <w:rPr>
          <w:szCs w:val="22"/>
          <w:lang w:val="en-GB"/>
        </w:rPr>
      </w:pPr>
      <w:r>
        <w:rPr>
          <w:szCs w:val="22"/>
          <w:lang w:val="en-GB"/>
        </w:rPr>
      </w:r>
    </w:p>
    <w:p>
      <w:pPr>
        <w:pStyle w:val="Normal"/>
        <w:numPr>
          <w:ilvl w:val="0"/>
          <w:numId w:val="4"/>
        </w:numPr>
        <w:spacing w:before="0" w:after="0"/>
        <w:jc w:val="both"/>
        <w:rPr>
          <w:szCs w:val="22"/>
          <w:lang w:val="en-GB"/>
        </w:rPr>
      </w:pPr>
      <w:r>
        <w:rPr>
          <w:szCs w:val="22"/>
          <w:lang w:val="en-GB"/>
        </w:rPr>
        <w:t>Review Transition status;</w:t>
      </w:r>
    </w:p>
    <w:p>
      <w:pPr>
        <w:pStyle w:val="Normal"/>
        <w:spacing w:before="0" w:after="0"/>
        <w:jc w:val="both"/>
        <w:rPr>
          <w:szCs w:val="22"/>
          <w:lang w:val="en-GB"/>
        </w:rPr>
      </w:pPr>
      <w:r>
        <w:rPr>
          <w:szCs w:val="22"/>
          <w:lang w:val="en-GB"/>
        </w:rPr>
      </w:r>
    </w:p>
    <w:p>
      <w:pPr>
        <w:pStyle w:val="Normal"/>
        <w:numPr>
          <w:ilvl w:val="0"/>
          <w:numId w:val="4"/>
        </w:numPr>
        <w:spacing w:before="0" w:after="0"/>
        <w:jc w:val="both"/>
        <w:rPr>
          <w:szCs w:val="22"/>
          <w:lang w:val="en-GB"/>
        </w:rPr>
      </w:pPr>
      <w:r>
        <w:rPr>
          <w:szCs w:val="22"/>
          <w:lang w:val="en-GB"/>
        </w:rPr>
        <w:t>Assess the impact of any risks and issues uncovered through Transition and ensure that appropriate action is taken</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Escalation and reporting will be discussed on a monthly basis in the management committee as described in Exhibit 2.7 (</w:t>
      </w:r>
      <w:r>
        <w:rPr>
          <w:i/>
          <w:szCs w:val="22"/>
          <w:lang w:val="en-GB"/>
        </w:rPr>
        <w:t>2IM Services &amp; Governance</w:t>
      </w:r>
      <w:r>
        <w:rPr>
          <w:szCs w:val="22"/>
          <w:lang w:val="en-GB"/>
        </w:rPr>
        <w:t>) and Exhibit 6 (</w:t>
      </w:r>
      <w:r>
        <w:rPr>
          <w:i/>
          <w:szCs w:val="22"/>
          <w:lang w:val="en-GB"/>
        </w:rPr>
        <w:t>Governance</w:t>
      </w:r>
      <w:r>
        <w:rPr>
          <w:szCs w:val="22"/>
          <w:lang w:val="en-GB"/>
        </w:rPr>
        <w:t xml:space="preserve">). Note: in order to accommodate timely resolution of issues, this body needs to meet on a monthly basis (or ad-hoc upon request if appropriate) during the T &amp; T period.  </w:t>
      </w:r>
    </w:p>
    <w:p>
      <w:pPr>
        <w:pStyle w:val="Heading2Numbered"/>
        <w:numPr>
          <w:ilvl w:val="1"/>
          <w:numId w:val="2"/>
        </w:numPr>
        <w:ind w:hanging="0" w:start="0"/>
        <w:rPr>
          <w:rFonts w:ascii="Times New Roman" w:hAnsi="Times New Roman" w:cs="Times New Roman"/>
          <w:sz w:val="22"/>
          <w:szCs w:val="22"/>
          <w:lang w:val="en-GB"/>
        </w:rPr>
      </w:pPr>
      <w:bookmarkStart w:id="4" w:name="__RefHeading___Toc151286381"/>
      <w:bookmarkEnd w:id="4"/>
      <w:r>
        <w:rPr>
          <w:rFonts w:cs="Times New Roman" w:ascii="Times New Roman" w:hAnsi="Times New Roman"/>
          <w:sz w:val="22"/>
          <w:szCs w:val="22"/>
          <w:lang w:val="en-GB"/>
        </w:rPr>
        <w:t>PST TRANSITION AND TRANSFORMATION ROLES</w:t>
      </w:r>
    </w:p>
    <w:p>
      <w:pPr>
        <w:pStyle w:val="Normal"/>
        <w:spacing w:before="0" w:after="0"/>
        <w:jc w:val="both"/>
        <w:rPr/>
      </w:pPr>
      <w:r>
        <w:rPr>
          <w:szCs w:val="22"/>
          <w:lang w:val="en-GB"/>
        </w:rPr>
        <w:t>The following diagram represents the PST T&amp;T Team for managing, conducting and performing the Transition (and the text that follows defines the functions of each of the roles shown):</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lang w:val="en-US" w:eastAsia="en-US"/>
        </w:rPr>
        <w:t xml:space="preserve"> </w:t>
      </w:r>
      <w:r>
        <w:rPr/>
        <w:drawing>
          <wp:inline distT="0" distB="0" distL="0" distR="0">
            <wp:extent cx="5713095" cy="3589020"/>
            <wp:effectExtent l="0" t="0" r="0" b="0"/>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10"/>
                    <a:srcRect l="-7" t="-10" r="-7" b="-10"/>
                    <a:stretch>
                      <a:fillRect/>
                    </a:stretch>
                  </pic:blipFill>
                  <pic:spPr bwMode="auto">
                    <a:xfrm>
                      <a:off x="0" y="0"/>
                      <a:ext cx="5713095" cy="3589020"/>
                    </a:xfrm>
                    <a:prstGeom prst="rect">
                      <a:avLst/>
                    </a:prstGeom>
                    <a:noFill/>
                  </pic:spPr>
                </pic:pic>
              </a:graphicData>
            </a:graphic>
          </wp:inline>
        </w:drawing>
      </w:r>
    </w:p>
    <w:p>
      <w:pPr>
        <w:pStyle w:val="Heading3Numbered"/>
        <w:numPr>
          <w:ilvl w:val="2"/>
          <w:numId w:val="2"/>
        </w:numPr>
        <w:tabs>
          <w:tab w:val="clear" w:pos="720"/>
        </w:tabs>
        <w:ind w:hanging="720" w:start="1440" w:end="0"/>
        <w:rPr>
          <w:sz w:val="22"/>
          <w:szCs w:val="22"/>
          <w:lang w:val="en-GB"/>
        </w:rPr>
      </w:pPr>
      <w:bookmarkStart w:id="5" w:name="__RefHeading___Toc151286382"/>
      <w:bookmarkEnd w:id="5"/>
      <w:r>
        <w:rPr>
          <w:sz w:val="22"/>
          <w:szCs w:val="22"/>
          <w:lang w:val="en-GB"/>
        </w:rPr>
        <w:t>Overall T &amp; T Manager</w:t>
      </w:r>
    </w:p>
    <w:p>
      <w:pPr>
        <w:pStyle w:val="Normal"/>
        <w:spacing w:before="0" w:after="0"/>
        <w:ind w:hanging="720" w:start="1440" w:end="0"/>
        <w:jc w:val="both"/>
        <w:rPr/>
      </w:pPr>
      <w:r>
        <w:rPr>
          <w:szCs w:val="22"/>
          <w:lang w:val="en-GB"/>
        </w:rPr>
        <w:t>•</w:t>
      </w:r>
      <w:r>
        <w:rPr>
          <w:szCs w:val="22"/>
          <w:lang w:val="en-GB"/>
        </w:rPr>
        <w:tab/>
        <w:t xml:space="preserve">Be accountable for the delivery of T &amp; T Program capabilities and business results. </w:t>
      </w:r>
    </w:p>
    <w:p>
      <w:pPr>
        <w:pStyle w:val="Normal"/>
        <w:spacing w:before="0" w:after="0"/>
        <w:ind w:hanging="720" w:start="1440" w:end="0"/>
        <w:jc w:val="both"/>
        <w:rPr>
          <w:szCs w:val="22"/>
          <w:lang w:val="en-GB"/>
        </w:rPr>
      </w:pPr>
      <w:r>
        <w:rPr>
          <w:szCs w:val="22"/>
          <w:lang w:val="en-GB"/>
        </w:rPr>
        <w:t>•</w:t>
      </w:r>
      <w:r>
        <w:rPr>
          <w:szCs w:val="22"/>
          <w:lang w:val="en-GB"/>
        </w:rPr>
        <w:tab/>
        <w:t xml:space="preserve">Set overall direction for the T &amp; T team. </w:t>
      </w:r>
    </w:p>
    <w:p>
      <w:pPr>
        <w:pStyle w:val="Normal"/>
        <w:spacing w:before="0" w:after="0"/>
        <w:ind w:hanging="720" w:start="1440" w:end="0"/>
        <w:jc w:val="both"/>
        <w:rPr/>
      </w:pPr>
      <w:r>
        <w:rPr>
          <w:szCs w:val="22"/>
          <w:lang w:val="en-GB"/>
        </w:rPr>
        <w:t>•</w:t>
      </w:r>
      <w:r>
        <w:rPr>
          <w:szCs w:val="22"/>
          <w:lang w:val="en-GB"/>
        </w:rPr>
        <w:tab/>
        <w:t xml:space="preserve">Contain and resolve cross-Bundle issues. </w:t>
      </w:r>
    </w:p>
    <w:p>
      <w:pPr>
        <w:pStyle w:val="Normal"/>
        <w:spacing w:before="0" w:after="0"/>
        <w:ind w:hanging="720" w:start="1440" w:end="0"/>
        <w:jc w:val="both"/>
        <w:rPr/>
      </w:pPr>
      <w:r>
        <w:rPr>
          <w:szCs w:val="22"/>
          <w:lang w:val="en-GB"/>
        </w:rPr>
        <w:t>•</w:t>
      </w:r>
      <w:r>
        <w:rPr>
          <w:szCs w:val="22"/>
          <w:lang w:val="en-GB"/>
        </w:rPr>
        <w:tab/>
        <w:t>Monitor and manage progress to ensure T &amp; T Program objectives are delivered on time and within budget, and business results are realized.</w:t>
      </w:r>
    </w:p>
    <w:p>
      <w:pPr>
        <w:pStyle w:val="Normal"/>
        <w:spacing w:before="0" w:after="0"/>
        <w:ind w:hanging="720" w:start="1440" w:end="0"/>
        <w:jc w:val="both"/>
        <w:rPr>
          <w:szCs w:val="22"/>
          <w:lang w:val="en-GB"/>
        </w:rPr>
      </w:pPr>
      <w:r>
        <w:rPr>
          <w:szCs w:val="22"/>
          <w:lang w:val="en-GB"/>
        </w:rPr>
        <w:t>•</w:t>
      </w:r>
      <w:r>
        <w:rPr>
          <w:szCs w:val="22"/>
          <w:lang w:val="en-GB"/>
        </w:rPr>
        <w:tab/>
        <w:t xml:space="preserve">Be the final point of approval for contingency plans, scope changes. </w:t>
      </w:r>
    </w:p>
    <w:p>
      <w:pPr>
        <w:pStyle w:val="Normal"/>
        <w:spacing w:before="0" w:after="0"/>
        <w:ind w:hanging="720" w:start="1440" w:end="0"/>
        <w:jc w:val="both"/>
        <w:rPr/>
      </w:pPr>
      <w:r>
        <w:rPr>
          <w:szCs w:val="22"/>
          <w:lang w:val="en-GB"/>
        </w:rPr>
        <w:t>•</w:t>
        <w:tab/>
        <w:t xml:space="preserve">Develop sponsorship and support for the T &amp; T Program at the executive level within EuroBank. Establish the governance organization. </w:t>
      </w: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 xml:space="preserve">Monitor stakeholder expectations. Take corrective action to address gaps. </w:t>
      </w:r>
    </w:p>
    <w:p>
      <w:pPr>
        <w:pStyle w:val="Normal"/>
        <w:spacing w:before="0" w:after="0"/>
        <w:ind w:hanging="720" w:start="1440" w:end="0"/>
        <w:jc w:val="both"/>
        <w:rPr>
          <w:szCs w:val="22"/>
          <w:lang w:val="en-GB"/>
        </w:rPr>
      </w:pPr>
      <w:r>
        <w:rPr>
          <w:szCs w:val="22"/>
          <w:lang w:val="en-GB"/>
        </w:rPr>
        <w:t>•</w:t>
      </w:r>
      <w:r>
        <w:rPr>
          <w:szCs w:val="22"/>
          <w:lang w:val="en-GB"/>
        </w:rPr>
        <w:tab/>
        <w:t xml:space="preserve">Serve as the point of contact for the PST T &amp; T managers and governance team. </w:t>
      </w:r>
    </w:p>
    <w:p>
      <w:pPr>
        <w:pStyle w:val="Normal"/>
        <w:spacing w:before="0" w:after="0"/>
        <w:ind w:hanging="720" w:start="1440" w:end="0"/>
        <w:jc w:val="both"/>
        <w:rPr>
          <w:szCs w:val="22"/>
          <w:lang w:val="en-GB"/>
        </w:rPr>
      </w:pPr>
      <w:r>
        <w:rPr>
          <w:szCs w:val="22"/>
          <w:lang w:val="en-GB"/>
        </w:rPr>
        <w:t>•</w:t>
      </w:r>
      <w:r>
        <w:rPr>
          <w:szCs w:val="22"/>
          <w:lang w:val="en-GB"/>
        </w:rPr>
        <w:tab/>
        <w:t xml:space="preserve">Communicate program performance to PST T &amp; T managers. </w:t>
      </w:r>
    </w:p>
    <w:p>
      <w:pPr>
        <w:pStyle w:val="Normal"/>
        <w:spacing w:before="0" w:after="0"/>
        <w:ind w:hanging="720" w:start="1440" w:end="0"/>
        <w:jc w:val="both"/>
        <w:rPr>
          <w:szCs w:val="22"/>
          <w:lang w:val="en-GB"/>
        </w:rPr>
      </w:pPr>
      <w:r>
        <w:rPr>
          <w:szCs w:val="22"/>
          <w:lang w:val="en-GB"/>
        </w:rPr>
        <w:t>•</w:t>
      </w:r>
      <w:r>
        <w:rPr>
          <w:szCs w:val="22"/>
          <w:lang w:val="en-GB"/>
        </w:rPr>
        <w:tab/>
        <w:t xml:space="preserve">Monitor and maintain T &amp; T team morale. </w:t>
      </w:r>
    </w:p>
    <w:p>
      <w:pPr>
        <w:pStyle w:val="Normal"/>
        <w:spacing w:before="0" w:after="0"/>
        <w:ind w:hanging="720" w:start="1440" w:end="0"/>
        <w:jc w:val="both"/>
        <w:rPr/>
      </w:pPr>
      <w:r>
        <w:rPr>
          <w:szCs w:val="22"/>
          <w:lang w:val="en-GB"/>
        </w:rPr>
        <w:t>•</w:t>
      </w:r>
      <w:r>
        <w:rPr>
          <w:szCs w:val="22"/>
          <w:lang w:val="en-GB"/>
        </w:rPr>
        <w:tab/>
        <w:t xml:space="preserve">Monitor T &amp; T timelines, Milestones, and resource usage. </w:t>
      </w:r>
    </w:p>
    <w:p>
      <w:pPr>
        <w:pStyle w:val="Normal"/>
        <w:spacing w:before="0" w:after="0"/>
        <w:ind w:hanging="720" w:start="1440" w:end="0"/>
        <w:jc w:val="both"/>
        <w:rPr/>
      </w:pPr>
      <w:r>
        <w:rPr>
          <w:szCs w:val="22"/>
          <w:lang w:val="en-GB"/>
        </w:rPr>
        <w:t>•</w:t>
      </w:r>
      <w:r>
        <w:rPr>
          <w:szCs w:val="22"/>
          <w:lang w:val="en-GB"/>
        </w:rPr>
        <w:tab/>
        <w:t xml:space="preserve">Monitor and pro-actively manage T &amp; T Program risks and mitigation. </w:t>
      </w:r>
    </w:p>
    <w:p>
      <w:pPr>
        <w:pStyle w:val="Normal"/>
        <w:spacing w:before="0" w:after="0"/>
        <w:ind w:hanging="720" w:start="1440" w:end="0"/>
        <w:jc w:val="both"/>
        <w:rPr/>
      </w:pPr>
      <w:r>
        <w:rPr>
          <w:szCs w:val="22"/>
          <w:lang w:val="en-GB"/>
        </w:rPr>
        <w:t>•</w:t>
        <w:tab/>
        <w:t xml:space="preserve">Provide T &amp; T Program performance (program activities, exceptions and Change requests) information to EuroBank senior management. </w:t>
      </w:r>
      <w:r>
        <w:rPr>
          <w:szCs w:val="22"/>
          <w:lang w:val="en-GB"/>
        </w:rPr>
      </w:r>
    </w:p>
    <w:p>
      <w:pPr>
        <w:pStyle w:val="Normal"/>
        <w:spacing w:before="0" w:after="0"/>
        <w:ind w:hanging="720" w:start="1440" w:end="0"/>
        <w:jc w:val="both"/>
        <w:rPr/>
      </w:pPr>
      <w:r>
        <w:rPr>
          <w:szCs w:val="22"/>
          <w:lang w:val="en-GB"/>
        </w:rPr>
        <w:t>•</w:t>
      </w:r>
      <w:r>
        <w:rPr>
          <w:szCs w:val="22"/>
          <w:lang w:val="en-GB"/>
        </w:rPr>
        <w:tab/>
        <w:t>Monitor the delivery of business results assigned to the T &amp; T Program.</w:t>
      </w:r>
    </w:p>
    <w:p>
      <w:pPr>
        <w:pStyle w:val="Normal"/>
        <w:spacing w:before="0" w:after="0"/>
        <w:ind w:hanging="720" w:start="1440" w:end="0"/>
        <w:jc w:val="both"/>
        <w:rPr/>
      </w:pPr>
      <w:r>
        <w:rPr>
          <w:szCs w:val="22"/>
          <w:lang w:val="en-GB"/>
        </w:rPr>
        <w:t>•</w:t>
      </w:r>
      <w:r>
        <w:rPr>
          <w:szCs w:val="22"/>
          <w:lang w:val="en-GB"/>
        </w:rPr>
        <w:tab/>
        <w:t>Set quality guidelines for the entire T &amp; T Program</w:t>
      </w:r>
    </w:p>
    <w:p>
      <w:pPr>
        <w:pStyle w:val="Normal"/>
        <w:spacing w:before="0" w:after="0"/>
        <w:ind w:hanging="720" w:start="1440" w:end="0"/>
        <w:jc w:val="both"/>
        <w:rPr>
          <w:szCs w:val="22"/>
          <w:lang w:val="en-GB"/>
        </w:rPr>
      </w:pPr>
      <w:r>
        <w:rPr>
          <w:szCs w:val="22"/>
          <w:lang w:val="en-GB"/>
        </w:rPr>
        <w:t>•</w:t>
        <w:tab/>
        <w:t>Support the EuroBank retained organisation to assure progress and quality of the T &amp; T process.</w:t>
      </w:r>
      <w:r>
        <w:rPr>
          <w:szCs w:val="22"/>
          <w:lang w:val="en-GB"/>
        </w:rPr>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s>
        <w:ind w:hanging="720" w:start="1440" w:end="0"/>
        <w:rPr>
          <w:sz w:val="22"/>
          <w:szCs w:val="22"/>
          <w:lang w:val="en-GB"/>
        </w:rPr>
      </w:pPr>
      <w:bookmarkStart w:id="6" w:name="__RefHeading___Toc151286383"/>
      <w:bookmarkEnd w:id="6"/>
      <w:r>
        <w:rPr>
          <w:sz w:val="22"/>
          <w:szCs w:val="22"/>
          <w:lang w:val="en-GB"/>
        </w:rPr>
        <w:t>EuroBank SWS Program Manager</w:t>
      </w:r>
    </w:p>
    <w:p>
      <w:pPr>
        <w:pStyle w:val="Normal"/>
        <w:spacing w:before="0" w:after="0"/>
        <w:ind w:hanging="720" w:start="1440" w:end="0"/>
        <w:jc w:val="both"/>
        <w:rPr/>
      </w:pPr>
      <w:r>
        <w:rPr>
          <w:szCs w:val="22"/>
          <w:lang w:val="en-GB"/>
        </w:rPr>
        <w:t>•</w:t>
      </w:r>
      <w:r>
        <w:rPr>
          <w:szCs w:val="22"/>
          <w:lang w:val="en-GB"/>
        </w:rPr>
        <w:tab/>
        <w:t xml:space="preserve">Advise on commercial, legal, and regulatory aspects of the T &amp; T Program and plans (e.g. termination of contracts). </w:t>
      </w:r>
    </w:p>
    <w:p>
      <w:pPr>
        <w:pStyle w:val="Normal"/>
        <w:spacing w:before="0" w:after="0"/>
        <w:ind w:hanging="720" w:start="1440" w:end="0"/>
        <w:jc w:val="both"/>
        <w:rPr>
          <w:szCs w:val="22"/>
          <w:lang w:val="en-GB"/>
        </w:rPr>
      </w:pPr>
      <w:r>
        <w:rPr>
          <w:szCs w:val="22"/>
          <w:lang w:val="en-GB"/>
        </w:rPr>
        <w:t>•</w:t>
      </w:r>
      <w:r>
        <w:rPr>
          <w:szCs w:val="22"/>
          <w:lang w:val="en-GB"/>
        </w:rPr>
        <w:tab/>
        <w:t xml:space="preserve">Support the development of sound, deliverable solutions for service delivery. </w:t>
      </w:r>
    </w:p>
    <w:p>
      <w:pPr>
        <w:pStyle w:val="Normal"/>
        <w:spacing w:before="0" w:after="0"/>
        <w:ind w:hanging="720" w:start="1440" w:end="0"/>
        <w:jc w:val="both"/>
        <w:rPr>
          <w:szCs w:val="22"/>
          <w:lang w:val="en-GB"/>
        </w:rPr>
      </w:pPr>
      <w:r>
        <w:rPr>
          <w:szCs w:val="22"/>
          <w:lang w:val="en-GB"/>
        </w:rPr>
        <w:t>•</w:t>
      </w:r>
      <w:r>
        <w:rPr>
          <w:szCs w:val="22"/>
          <w:lang w:val="en-GB"/>
        </w:rPr>
        <w:tab/>
        <w:t>Define and implement the interim and final billing procedures</w:t>
      </w:r>
    </w:p>
    <w:p>
      <w:pPr>
        <w:pStyle w:val="Normal"/>
        <w:spacing w:before="0" w:after="0"/>
        <w:ind w:hanging="720" w:start="1440" w:end="0"/>
        <w:jc w:val="both"/>
        <w:rPr>
          <w:szCs w:val="22"/>
          <w:lang w:val="en-GB"/>
        </w:rPr>
      </w:pPr>
      <w:r>
        <w:rPr>
          <w:szCs w:val="22"/>
          <w:lang w:val="en-GB"/>
        </w:rPr>
        <w:t>•</w:t>
      </w:r>
      <w:r>
        <w:rPr>
          <w:szCs w:val="22"/>
          <w:lang w:val="en-GB"/>
        </w:rPr>
        <w:tab/>
        <w:t>Define and implement the interim and final financial processes</w:t>
      </w:r>
    </w:p>
    <w:p>
      <w:pPr>
        <w:pStyle w:val="Normal"/>
        <w:spacing w:before="0" w:after="0"/>
        <w:ind w:hanging="720" w:start="1440" w:end="0"/>
        <w:jc w:val="both"/>
        <w:rPr>
          <w:szCs w:val="22"/>
          <w:lang w:val="en-GB"/>
        </w:rPr>
      </w:pPr>
      <w:r>
        <w:rPr>
          <w:szCs w:val="22"/>
          <w:lang w:val="en-GB"/>
        </w:rPr>
        <w:t>•</w:t>
      </w:r>
      <w:r>
        <w:rPr>
          <w:szCs w:val="22"/>
          <w:lang w:val="en-GB"/>
        </w:rPr>
        <w:tab/>
        <w:t xml:space="preserve">Assist HR Transfer Office Manager with important considerations of employment-related legal implications.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drawing>
          <wp:inline distT="0" distB="0" distL="0" distR="0">
            <wp:extent cx="5031105" cy="1681480"/>
            <wp:effectExtent l="0" t="0" r="0" b="0"/>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11"/>
                    <a:srcRect l="-4" t="-12" r="-4" b="-12"/>
                    <a:stretch>
                      <a:fillRect/>
                    </a:stretch>
                  </pic:blipFill>
                  <pic:spPr bwMode="auto">
                    <a:xfrm>
                      <a:off x="0" y="0"/>
                      <a:ext cx="5031105" cy="1681480"/>
                    </a:xfrm>
                    <a:prstGeom prst="rect">
                      <a:avLst/>
                    </a:prstGeom>
                    <a:noFill/>
                  </pic:spPr>
                </pic:pic>
              </a:graphicData>
            </a:graphic>
          </wp:inline>
        </w:drawing>
      </w:r>
    </w:p>
    <w:p>
      <w:pPr>
        <w:pStyle w:val="Heading3Numbered"/>
        <w:numPr>
          <w:ilvl w:val="2"/>
          <w:numId w:val="2"/>
        </w:numPr>
        <w:tabs>
          <w:tab w:val="clear" w:pos="720"/>
        </w:tabs>
        <w:ind w:hanging="720" w:start="1440" w:end="0"/>
        <w:rPr>
          <w:sz w:val="22"/>
          <w:szCs w:val="22"/>
          <w:lang w:val="en-GB"/>
        </w:rPr>
      </w:pPr>
      <w:bookmarkStart w:id="7" w:name="__RefHeading___Toc151286384"/>
      <w:bookmarkEnd w:id="7"/>
      <w:r>
        <w:rPr>
          <w:sz w:val="22"/>
          <w:szCs w:val="22"/>
          <w:lang w:val="en-GB"/>
        </w:rPr>
        <w:t>2IM T &amp; T Manager</w:t>
      </w:r>
    </w:p>
    <w:p>
      <w:pPr>
        <w:pStyle w:val="Normal"/>
        <w:spacing w:before="0" w:after="0"/>
        <w:ind w:start="720" w:end="0"/>
        <w:jc w:val="both"/>
        <w:rPr/>
      </w:pPr>
      <w:r>
        <w:rPr>
          <w:szCs w:val="22"/>
          <w:lang w:val="en-GB"/>
        </w:rPr>
        <w:t>•</w:t>
      </w:r>
      <w:r>
        <w:rPr>
          <w:szCs w:val="22"/>
          <w:lang w:val="en-GB"/>
        </w:rPr>
        <w:tab/>
        <w:t>Lead and execute the overall T &amp; T Program with respect to 2IM.</w:t>
      </w:r>
    </w:p>
    <w:p>
      <w:pPr>
        <w:pStyle w:val="Normal"/>
        <w:spacing w:before="0" w:after="0"/>
        <w:ind w:hanging="720" w:start="1440" w:end="0"/>
        <w:jc w:val="both"/>
        <w:rPr>
          <w:szCs w:val="22"/>
          <w:lang w:val="en-GB"/>
        </w:rPr>
      </w:pPr>
      <w:r>
        <w:rPr>
          <w:szCs w:val="22"/>
          <w:lang w:val="en-GB"/>
        </w:rPr>
        <w:t>•</w:t>
      </w:r>
      <w:r>
        <w:rPr>
          <w:szCs w:val="22"/>
          <w:lang w:val="en-GB"/>
        </w:rPr>
        <w:tab/>
        <w:t>Monitor the T &amp; T progress of 2IM.</w:t>
      </w:r>
    </w:p>
    <w:p>
      <w:pPr>
        <w:pStyle w:val="Normal"/>
        <w:spacing w:before="0" w:after="0"/>
        <w:ind w:hanging="720" w:start="1440" w:end="0"/>
        <w:jc w:val="both"/>
        <w:rPr/>
      </w:pPr>
      <w:r>
        <w:rPr>
          <w:szCs w:val="22"/>
          <w:lang w:val="en-GB"/>
        </w:rPr>
        <w:t>•</w:t>
      </w:r>
      <w:r>
        <w:rPr>
          <w:szCs w:val="22"/>
          <w:lang w:val="en-GB"/>
        </w:rPr>
        <w:tab/>
        <w:t>Monitor and pro-actively manage the 2IM T &amp; T Program risks and mitigation.</w:t>
      </w:r>
    </w:p>
    <w:p>
      <w:pPr>
        <w:pStyle w:val="Normal"/>
        <w:spacing w:before="0" w:after="0"/>
        <w:ind w:hanging="720" w:start="1440" w:end="0"/>
        <w:jc w:val="both"/>
        <w:rPr>
          <w:szCs w:val="22"/>
          <w:lang w:val="en-GB"/>
        </w:rPr>
      </w:pPr>
      <w:r>
        <w:rPr>
          <w:szCs w:val="22"/>
          <w:lang w:val="en-GB"/>
        </w:rPr>
        <w:t>•</w:t>
      </w:r>
      <w:r>
        <w:rPr>
          <w:szCs w:val="22"/>
          <w:lang w:val="en-GB"/>
        </w:rPr>
        <w:tab/>
        <w:t>Report T &amp; T progress of 2IM to the PST T &amp; T manager.</w:t>
      </w:r>
    </w:p>
    <w:p>
      <w:pPr>
        <w:pStyle w:val="Normal"/>
        <w:spacing w:before="0" w:after="0"/>
        <w:ind w:hanging="720" w:start="1440" w:end="0"/>
        <w:jc w:val="both"/>
        <w:rPr>
          <w:szCs w:val="22"/>
          <w:lang w:val="en-GB"/>
        </w:rPr>
      </w:pPr>
      <w:r>
        <w:rPr>
          <w:szCs w:val="22"/>
          <w:lang w:val="en-GB"/>
        </w:rPr>
        <w:t>•</w:t>
      </w:r>
      <w:r>
        <w:rPr>
          <w:szCs w:val="22"/>
          <w:lang w:val="en-GB"/>
        </w:rPr>
        <w:tab/>
        <w:t>Escalate issues and risks to the PST T &amp; T manager, when appropriate.</w:t>
      </w:r>
    </w:p>
    <w:p>
      <w:pPr>
        <w:pStyle w:val="Normal"/>
        <w:spacing w:before="0" w:after="0"/>
        <w:ind w:hanging="720" w:start="1440" w:end="0"/>
        <w:jc w:val="both"/>
        <w:rPr/>
      </w:pPr>
      <w:r>
        <w:rPr>
          <w:szCs w:val="22"/>
          <w:lang w:val="en-GB"/>
        </w:rPr>
        <w:t>•</w:t>
      </w:r>
      <w:r>
        <w:rPr>
          <w:szCs w:val="22"/>
          <w:lang w:val="en-GB"/>
        </w:rPr>
        <w:tab/>
        <w:t>Coordinate with the other PST T &amp; T managers in cross-Bundle tasks and issues</w:t>
      </w:r>
    </w:p>
    <w:p>
      <w:pPr>
        <w:pStyle w:val="Normal"/>
        <w:spacing w:before="0" w:after="0"/>
        <w:ind w:hanging="720" w:start="1440" w:end="0"/>
        <w:jc w:val="both"/>
        <w:rPr>
          <w:szCs w:val="22"/>
          <w:lang w:val="en-GB"/>
        </w:rPr>
      </w:pPr>
      <w:r>
        <w:rPr>
          <w:szCs w:val="22"/>
          <w:lang w:val="en-GB"/>
        </w:rPr>
      </w:r>
    </w:p>
    <w:p>
      <w:pPr>
        <w:pStyle w:val="Heading3Numbered"/>
        <w:numPr>
          <w:ilvl w:val="2"/>
          <w:numId w:val="2"/>
        </w:numPr>
        <w:tabs>
          <w:tab w:val="clear" w:pos="720"/>
        </w:tabs>
        <w:ind w:hanging="720" w:start="1440" w:end="0"/>
        <w:rPr>
          <w:sz w:val="22"/>
          <w:szCs w:val="22"/>
          <w:lang w:val="en-GB"/>
        </w:rPr>
      </w:pPr>
      <w:bookmarkStart w:id="8" w:name="__RefHeading___Toc151286385"/>
      <w:bookmarkEnd w:id="8"/>
      <w:r>
        <w:rPr>
          <w:sz w:val="22"/>
          <w:szCs w:val="22"/>
          <w:lang w:val="en-GB"/>
        </w:rPr>
        <w:t>HR 2IM Stream Lead</w:t>
      </w:r>
    </w:p>
    <w:p>
      <w:pPr>
        <w:pStyle w:val="Normal"/>
        <w:spacing w:before="0" w:after="0"/>
        <w:ind w:hanging="720" w:start="1440" w:end="0"/>
        <w:jc w:val="both"/>
        <w:rPr/>
      </w:pPr>
      <w:r>
        <w:rPr>
          <w:szCs w:val="22"/>
          <w:lang w:val="en-GB"/>
        </w:rPr>
        <w:t>•</w:t>
      </w:r>
      <w:r>
        <w:rPr>
          <w:szCs w:val="22"/>
          <w:lang w:val="en-GB"/>
        </w:rPr>
        <w:tab/>
        <w:t>Coordinate with HR Transition managers from Other PST Suppliers on HR Transition activities</w:t>
      </w:r>
    </w:p>
    <w:p>
      <w:pPr>
        <w:pStyle w:val="Normal"/>
        <w:spacing w:before="0" w:after="0"/>
        <w:ind w:hanging="720" w:start="1440" w:end="0"/>
        <w:jc w:val="both"/>
        <w:rPr/>
      </w:pPr>
      <w:r>
        <w:rPr>
          <w:szCs w:val="22"/>
          <w:lang w:val="en-GB"/>
        </w:rPr>
        <w:t>•</w:t>
      </w:r>
      <w:r>
        <w:rPr>
          <w:szCs w:val="22"/>
          <w:lang w:val="en-GB"/>
        </w:rPr>
        <w:tab/>
        <w:t>Be responsible for executing HR Transition plan</w:t>
      </w:r>
    </w:p>
    <w:p>
      <w:pPr>
        <w:pStyle w:val="Normal"/>
        <w:spacing w:before="0" w:after="0"/>
        <w:ind w:hanging="720" w:start="1440" w:end="0"/>
        <w:jc w:val="both"/>
        <w:rPr/>
      </w:pPr>
      <w:r>
        <w:rPr>
          <w:szCs w:val="22"/>
          <w:lang w:val="en-GB"/>
        </w:rPr>
        <w:t>•</w:t>
        <w:tab/>
        <w:t>Raise HR questions and HR-related issues to EuroBank</w:t>
      </w:r>
      <w:r>
        <w:rPr>
          <w:szCs w:val="22"/>
          <w:lang w:val="en-GB"/>
        </w:rPr>
      </w:r>
    </w:p>
    <w:p>
      <w:pPr>
        <w:pStyle w:val="Normal"/>
        <w:spacing w:before="0" w:after="0"/>
        <w:ind w:hanging="720" w:start="1440" w:end="0"/>
        <w:jc w:val="both"/>
        <w:rPr/>
      </w:pPr>
      <w:r>
        <w:rPr>
          <w:szCs w:val="22"/>
          <w:lang w:val="en-GB"/>
        </w:rPr>
        <w:t>•</w:t>
        <w:tab/>
        <w:t>Consult EuroBank’s employees affected by the Transition in HR-related questions</w:t>
      </w:r>
      <w:r>
        <w:rPr>
          <w:szCs w:val="22"/>
          <w:lang w:val="en-GB"/>
        </w:rPr>
      </w:r>
    </w:p>
    <w:p>
      <w:pPr>
        <w:pStyle w:val="Normal"/>
        <w:spacing w:before="0" w:after="0"/>
        <w:ind w:hanging="720" w:start="1440" w:end="0"/>
        <w:jc w:val="both"/>
        <w:rPr/>
      </w:pPr>
      <w:r>
        <w:rPr>
          <w:szCs w:val="22"/>
          <w:lang w:val="en-GB"/>
        </w:rPr>
        <w:t>•</w:t>
        <w:tab/>
        <w:t>Manage all people-related information (like salaries, benefits, skills, etc. as required) for a successful Transition between EuroBank and Other PST Suppliers.</w:t>
      </w:r>
      <w:r>
        <w:rPr>
          <w:szCs w:val="22"/>
          <w:lang w:val="en-GB"/>
        </w:rPr>
      </w:r>
    </w:p>
    <w:p>
      <w:pPr>
        <w:pStyle w:val="Normal"/>
        <w:spacing w:before="0" w:after="0"/>
        <w:ind w:hanging="720" w:start="1440" w:end="0"/>
        <w:jc w:val="both"/>
        <w:rPr/>
      </w:pPr>
      <w:r>
        <w:rPr>
          <w:szCs w:val="22"/>
          <w:lang w:val="en-GB"/>
        </w:rPr>
        <w:t>•</w:t>
      </w:r>
      <w:r>
        <w:rPr>
          <w:szCs w:val="22"/>
          <w:lang w:val="en-GB"/>
        </w:rPr>
        <w:tab/>
        <w:t>Be responsible for HR-specific communication activities in close cooperation with Other PST Supplier’s HR Transition Managers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s>
        <w:ind w:hanging="720" w:start="1440" w:end="0"/>
        <w:rPr>
          <w:sz w:val="22"/>
          <w:szCs w:val="22"/>
          <w:lang w:val="fr-FR"/>
        </w:rPr>
      </w:pPr>
      <w:bookmarkStart w:id="9" w:name="__RefHeading___Toc151286386"/>
      <w:bookmarkEnd w:id="9"/>
      <w:r>
        <w:rPr>
          <w:sz w:val="22"/>
          <w:szCs w:val="22"/>
          <w:lang w:val="fr-FR"/>
        </w:rPr>
        <w:t>2IM T &amp; T Service Mgt Implementation Manager</w:t>
      </w:r>
    </w:p>
    <w:p>
      <w:pPr>
        <w:pStyle w:val="Normal"/>
        <w:spacing w:before="0" w:after="0"/>
        <w:ind w:hanging="720" w:start="1440" w:end="0"/>
        <w:jc w:val="both"/>
        <w:rPr/>
      </w:pPr>
      <w:r>
        <w:rPr>
          <w:szCs w:val="22"/>
          <w:lang w:val="en-GB"/>
        </w:rPr>
        <w:t>•</w:t>
      </w:r>
      <w:r>
        <w:rPr>
          <w:szCs w:val="22"/>
          <w:lang w:val="en-GB"/>
        </w:rPr>
        <w:tab/>
        <w:t xml:space="preserve">Lead Service Management Implementation stream and deliver agreed Deliverables </w:t>
      </w:r>
    </w:p>
    <w:p>
      <w:pPr>
        <w:pStyle w:val="Normal"/>
        <w:spacing w:before="0" w:after="0"/>
        <w:ind w:hanging="720" w:start="1440" w:end="0"/>
        <w:jc w:val="both"/>
        <w:rPr>
          <w:szCs w:val="22"/>
          <w:lang w:val="en-GB"/>
        </w:rPr>
      </w:pPr>
      <w:r>
        <w:rPr>
          <w:szCs w:val="22"/>
          <w:lang w:val="en-GB"/>
        </w:rPr>
        <w:t>•</w:t>
      </w:r>
      <w:r>
        <w:rPr>
          <w:szCs w:val="22"/>
          <w:lang w:val="en-GB"/>
        </w:rPr>
        <w:tab/>
        <w:t xml:space="preserve">Staff the service management T &amp; T stream and identify areas for assistance from the service provision unit. </w:t>
      </w:r>
    </w:p>
    <w:p>
      <w:pPr>
        <w:pStyle w:val="Normal"/>
        <w:spacing w:before="0" w:after="0"/>
        <w:ind w:hanging="720" w:start="1440" w:end="0"/>
        <w:jc w:val="both"/>
        <w:rPr/>
      </w:pPr>
      <w:r>
        <w:rPr>
          <w:szCs w:val="22"/>
          <w:lang w:val="en-GB"/>
        </w:rPr>
        <w:t>•</w:t>
      </w:r>
      <w:r>
        <w:rPr>
          <w:szCs w:val="22"/>
          <w:lang w:val="en-GB"/>
        </w:rPr>
        <w:tab/>
        <w:t xml:space="preserve">Evaluate existing Services and define ongoing approach to service delivery. </w:t>
      </w:r>
    </w:p>
    <w:p>
      <w:pPr>
        <w:pStyle w:val="Normal"/>
        <w:spacing w:before="0" w:after="0"/>
        <w:ind w:hanging="720" w:start="1440" w:end="0"/>
        <w:jc w:val="both"/>
        <w:rPr/>
      </w:pPr>
      <w:r>
        <w:rPr>
          <w:szCs w:val="22"/>
          <w:lang w:val="en-GB"/>
        </w:rPr>
        <w:t>•</w:t>
      </w:r>
      <w:r>
        <w:rPr>
          <w:szCs w:val="22"/>
          <w:lang w:val="en-GB"/>
        </w:rPr>
        <w:tab/>
        <w:t xml:space="preserve">Define Services provided and the expectations around the delivery of the Services. </w:t>
      </w:r>
    </w:p>
    <w:p>
      <w:pPr>
        <w:pStyle w:val="Normal"/>
        <w:spacing w:before="0" w:after="0"/>
        <w:ind w:hanging="720" w:start="1440" w:end="0"/>
        <w:jc w:val="both"/>
        <w:rPr/>
      </w:pPr>
      <w:r>
        <w:rPr>
          <w:szCs w:val="22"/>
          <w:lang w:val="en-GB"/>
        </w:rPr>
        <w:t>•</w:t>
      </w:r>
      <w:r>
        <w:rPr>
          <w:szCs w:val="22"/>
          <w:lang w:val="en-GB"/>
        </w:rPr>
        <w:tab/>
        <w:t xml:space="preserve">Detail out Service Levels and operating levels with the client and with teaming partners. </w:t>
      </w:r>
    </w:p>
    <w:p>
      <w:pPr>
        <w:pStyle w:val="Normal"/>
        <w:spacing w:before="0" w:after="0"/>
        <w:ind w:hanging="720" w:start="1440" w:end="0"/>
        <w:jc w:val="both"/>
        <w:rPr/>
      </w:pPr>
      <w:r>
        <w:rPr>
          <w:szCs w:val="22"/>
          <w:lang w:val="en-GB"/>
        </w:rPr>
        <w:t>•</w:t>
      </w:r>
      <w:r>
        <w:rPr>
          <w:szCs w:val="22"/>
          <w:lang w:val="en-GB"/>
        </w:rPr>
        <w:tab/>
        <w:t xml:space="preserve">Define the Service measurement process and the Service review process. </w:t>
      </w:r>
    </w:p>
    <w:p>
      <w:pPr>
        <w:pStyle w:val="Normal"/>
        <w:spacing w:before="0" w:after="0"/>
        <w:ind w:hanging="720" w:start="1440" w:end="0"/>
        <w:jc w:val="both"/>
        <w:rPr/>
      </w:pPr>
      <w:r>
        <w:rPr>
          <w:szCs w:val="22"/>
          <w:lang w:val="en-GB"/>
        </w:rPr>
        <w:t>•</w:t>
        <w:tab/>
        <w:t xml:space="preserve">Establish the necessary processes to effectively deliver Services to EuroBank </w:t>
      </w:r>
      <w:r>
        <w:rPr>
          <w:szCs w:val="22"/>
          <w:lang w:val="en-GB"/>
        </w:rPr>
      </w:r>
    </w:p>
    <w:p>
      <w:pPr>
        <w:pStyle w:val="Normal"/>
        <w:spacing w:before="0" w:after="0"/>
        <w:ind w:hanging="720" w:start="1440" w:end="0"/>
        <w:jc w:val="both"/>
        <w:rPr/>
      </w:pPr>
      <w:r>
        <w:rPr>
          <w:szCs w:val="22"/>
          <w:lang w:val="en-GB"/>
        </w:rPr>
        <w:t>•</w:t>
      </w:r>
      <w:r>
        <w:rPr>
          <w:szCs w:val="22"/>
          <w:lang w:val="en-GB"/>
        </w:rPr>
        <w:tab/>
        <w:t xml:space="preserve">Ensure that the service delivery unit can measure and report Service performance. </w:t>
      </w:r>
    </w:p>
    <w:p>
      <w:pPr>
        <w:pStyle w:val="Normal"/>
        <w:spacing w:before="0" w:after="0"/>
        <w:ind w:hanging="720" w:start="1440" w:end="0"/>
        <w:jc w:val="both"/>
        <w:rPr/>
      </w:pPr>
      <w:r>
        <w:rPr>
          <w:szCs w:val="22"/>
          <w:lang w:val="en-GB"/>
        </w:rPr>
        <w:t>•</w:t>
      </w:r>
      <w:r>
        <w:rPr>
          <w:szCs w:val="22"/>
          <w:lang w:val="en-GB"/>
        </w:rPr>
        <w:tab/>
        <w:t xml:space="preserve">Manage the service management T &amp; T stream. Ensure the stream provides high quality Service. </w:t>
      </w:r>
    </w:p>
    <w:p>
      <w:pPr>
        <w:pStyle w:val="Normal"/>
        <w:spacing w:before="0" w:after="0"/>
        <w:ind w:hanging="720" w:start="1440" w:end="0"/>
        <w:jc w:val="both"/>
        <w:rPr>
          <w:szCs w:val="22"/>
          <w:lang w:val="en-GB"/>
        </w:rPr>
      </w:pPr>
      <w:r>
        <w:rPr>
          <w:szCs w:val="22"/>
          <w:lang w:val="en-GB"/>
        </w:rPr>
        <w:t>•</w:t>
      </w:r>
      <w:r>
        <w:rPr>
          <w:szCs w:val="22"/>
          <w:lang w:val="en-GB"/>
        </w:rPr>
        <w:tab/>
        <w:t xml:space="preserve">Communicate and articulate the service management approach, progress to plan, business requirements and opportunities. </w:t>
      </w:r>
    </w:p>
    <w:p>
      <w:pPr>
        <w:pStyle w:val="Normal"/>
        <w:spacing w:before="0" w:after="0"/>
        <w:ind w:hanging="720" w:start="1440" w:end="0"/>
        <w:jc w:val="both"/>
        <w:rPr/>
      </w:pPr>
      <w:r>
        <w:rPr>
          <w:szCs w:val="22"/>
          <w:lang w:val="en-GB"/>
        </w:rPr>
        <w:t>•</w:t>
      </w:r>
      <w:r>
        <w:rPr>
          <w:szCs w:val="22"/>
          <w:lang w:val="en-GB"/>
        </w:rPr>
        <w:tab/>
        <w:t>Manage the Knowledge Transfer of service management to the PST Service Delivery Managers</w:t>
      </w:r>
    </w:p>
    <w:p>
      <w:pPr>
        <w:pStyle w:val="Normal"/>
        <w:spacing w:before="0" w:after="0"/>
        <w:ind w:hanging="720" w:start="1440" w:end="0"/>
        <w:jc w:val="both"/>
        <w:rPr>
          <w:szCs w:val="22"/>
          <w:lang w:val="en-GB"/>
        </w:rPr>
      </w:pPr>
      <w:r>
        <w:rPr>
          <w:szCs w:val="22"/>
          <w:lang w:val="en-GB"/>
        </w:rPr>
        <w:t>•</w:t>
      </w:r>
      <w:r>
        <w:rPr>
          <w:szCs w:val="22"/>
          <w:lang w:val="en-GB"/>
        </w:rPr>
        <w:tab/>
        <w:t xml:space="preserve">Lead the service management process development and rollout. </w:t>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s>
        <w:ind w:hanging="720" w:start="1440" w:end="0"/>
        <w:rPr>
          <w:sz w:val="22"/>
          <w:szCs w:val="22"/>
          <w:lang w:val="en-GB"/>
        </w:rPr>
      </w:pPr>
      <w:bookmarkStart w:id="10" w:name="__RefHeading___Toc151286387"/>
      <w:bookmarkEnd w:id="10"/>
      <w:r>
        <w:rPr>
          <w:sz w:val="22"/>
          <w:szCs w:val="22"/>
          <w:lang w:val="en-GB"/>
        </w:rPr>
        <w:t>2IM T &amp; T Unit Operations Implementation Manager</w:t>
      </w:r>
    </w:p>
    <w:p>
      <w:pPr>
        <w:pStyle w:val="Normal"/>
        <w:spacing w:before="0" w:after="0"/>
        <w:ind w:hanging="720" w:start="1440" w:end="0"/>
        <w:jc w:val="both"/>
        <w:rPr>
          <w:szCs w:val="22"/>
          <w:lang w:val="en-GB"/>
        </w:rPr>
      </w:pPr>
      <w:r>
        <w:rPr>
          <w:szCs w:val="22"/>
          <w:lang w:val="en-GB"/>
        </w:rPr>
        <w:t>•</w:t>
        <w:tab/>
        <w:t xml:space="preserve">Evaluate existing EuroBank operations and define the operating model for the service delivery of PST. </w:t>
      </w: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 xml:space="preserve">Define operating and quality processes. </w:t>
      </w:r>
    </w:p>
    <w:p>
      <w:pPr>
        <w:pStyle w:val="Normal"/>
        <w:spacing w:before="0" w:after="0"/>
        <w:ind w:hanging="720" w:start="1440" w:end="0"/>
        <w:jc w:val="both"/>
        <w:rPr/>
      </w:pPr>
      <w:r>
        <w:rPr>
          <w:szCs w:val="22"/>
          <w:lang w:val="en-GB"/>
        </w:rPr>
        <w:t>•</w:t>
      </w:r>
      <w:r>
        <w:rPr>
          <w:szCs w:val="22"/>
          <w:lang w:val="en-GB"/>
        </w:rPr>
        <w:tab/>
        <w:t xml:space="preserve">Develop an overall metrics approach and metrics reports and scorecards for the Service delivery of PST. </w:t>
      </w:r>
    </w:p>
    <w:p>
      <w:pPr>
        <w:pStyle w:val="Normal"/>
        <w:spacing w:before="0" w:after="0"/>
        <w:ind w:hanging="720" w:start="1440" w:end="0"/>
        <w:jc w:val="both"/>
        <w:rPr/>
      </w:pPr>
      <w:r>
        <w:rPr>
          <w:szCs w:val="22"/>
          <w:lang w:val="en-GB"/>
        </w:rPr>
        <w:t>•</w:t>
        <w:tab/>
        <w:t xml:space="preserve">Establish the necessary processes to effectively support the service delivery of PST in the delivery of Services to EuroBank. </w:t>
      </w:r>
      <w:r>
        <w:rPr>
          <w:szCs w:val="22"/>
          <w:lang w:val="en-GB"/>
        </w:rPr>
      </w:r>
    </w:p>
    <w:p>
      <w:pPr>
        <w:pStyle w:val="Normal"/>
        <w:spacing w:before="0" w:after="0"/>
        <w:ind w:hanging="720" w:start="1440" w:end="0"/>
        <w:jc w:val="both"/>
        <w:rPr/>
      </w:pPr>
      <w:r>
        <w:rPr>
          <w:szCs w:val="22"/>
          <w:lang w:val="en-GB"/>
        </w:rPr>
        <w:t>•</w:t>
      </w:r>
      <w:r>
        <w:rPr>
          <w:szCs w:val="22"/>
          <w:lang w:val="en-GB"/>
        </w:rPr>
        <w:tab/>
        <w:t xml:space="preserve">Manage the unit operations of the T &amp; T team. </w:t>
      </w:r>
    </w:p>
    <w:p>
      <w:pPr>
        <w:pStyle w:val="Normal"/>
        <w:spacing w:before="0" w:after="0"/>
        <w:ind w:hanging="720" w:start="1440" w:end="0"/>
        <w:jc w:val="both"/>
        <w:rPr>
          <w:szCs w:val="22"/>
          <w:lang w:val="en-GB"/>
        </w:rPr>
      </w:pPr>
      <w:r>
        <w:rPr>
          <w:szCs w:val="22"/>
          <w:lang w:val="en-GB"/>
        </w:rPr>
        <w:t>•</w:t>
      </w:r>
      <w:r>
        <w:rPr>
          <w:szCs w:val="22"/>
          <w:lang w:val="en-GB"/>
        </w:rPr>
        <w:tab/>
        <w:t xml:space="preserve">Ensure the team provides high quality service. </w:t>
      </w:r>
    </w:p>
    <w:p>
      <w:pPr>
        <w:pStyle w:val="Heading2Numbered"/>
        <w:numPr>
          <w:ilvl w:val="1"/>
          <w:numId w:val="2"/>
        </w:numPr>
        <w:ind w:hanging="0" w:start="0"/>
        <w:rPr>
          <w:rFonts w:ascii="Times New Roman" w:hAnsi="Times New Roman" w:cs="Times New Roman"/>
          <w:sz w:val="22"/>
          <w:szCs w:val="22"/>
          <w:lang w:val="en-GB"/>
        </w:rPr>
      </w:pPr>
      <w:bookmarkStart w:id="11" w:name="__RefHeading___Toc151286388"/>
      <w:bookmarkEnd w:id="11"/>
      <w:r>
        <w:rPr>
          <w:rFonts w:cs="Times New Roman" w:ascii="Times New Roman" w:hAnsi="Times New Roman"/>
          <w:sz w:val="22"/>
          <w:szCs w:val="22"/>
          <w:lang w:val="en-GB"/>
        </w:rPr>
        <w:t>(PST SUPPLIER) TRANSITION AND TRANSFORMATION ROLES – GENERIC DEFINITIONS</w:t>
      </w:r>
    </w:p>
    <w:p>
      <w:pPr>
        <w:pStyle w:val="Normal"/>
        <w:spacing w:before="0" w:after="0"/>
        <w:jc w:val="both"/>
        <w:rPr>
          <w:szCs w:val="22"/>
          <w:lang w:val="en-GB"/>
        </w:rPr>
      </w:pPr>
      <w:r>
        <w:rPr>
          <w:szCs w:val="22"/>
          <w:lang w:val="en-GB"/>
        </w:rPr>
        <w:t>The T &amp; T teams for the different PST Suppliers have similar roles defined to perform Transition and Transformation. These are shown below in the diagrams in Sections 2.5 to 2.7 for the different supplier T &amp; T teams. In the diagrams, references are made to the following general role definitions:</w:t>
      </w:r>
    </w:p>
    <w:p>
      <w:pPr>
        <w:pStyle w:val="Heading3Numbered"/>
        <w:numPr>
          <w:ilvl w:val="2"/>
          <w:numId w:val="2"/>
        </w:numPr>
        <w:tabs>
          <w:tab w:val="clear" w:pos="720"/>
        </w:tabs>
        <w:ind w:hanging="720" w:start="1440" w:end="0"/>
        <w:rPr>
          <w:sz w:val="22"/>
          <w:szCs w:val="22"/>
          <w:lang w:val="en-GB"/>
        </w:rPr>
      </w:pPr>
      <w:bookmarkStart w:id="12" w:name="__RefHeading___Toc151286389"/>
      <w:bookmarkEnd w:id="12"/>
      <w:r>
        <w:rPr>
          <w:sz w:val="22"/>
          <w:szCs w:val="22"/>
          <w:lang w:val="en-GB"/>
        </w:rPr>
        <w:t>(PST) Supplier T &amp; T Manager</w:t>
      </w:r>
    </w:p>
    <w:p>
      <w:pPr>
        <w:pStyle w:val="Normal"/>
        <w:spacing w:before="0" w:after="0"/>
        <w:ind w:hanging="720" w:start="1440" w:end="0"/>
        <w:jc w:val="both"/>
        <w:rPr/>
      </w:pPr>
      <w:r>
        <w:rPr>
          <w:szCs w:val="22"/>
          <w:lang w:val="en-GB"/>
        </w:rPr>
        <w:t>•</w:t>
      </w:r>
      <w:r>
        <w:rPr>
          <w:szCs w:val="22"/>
          <w:lang w:val="en-GB"/>
        </w:rPr>
        <w:tab/>
        <w:t xml:space="preserve">Be accountable for the PST Supplier’s delivery of T &amp; T Program capabilities and business results. </w:t>
      </w:r>
    </w:p>
    <w:p>
      <w:pPr>
        <w:pStyle w:val="Normal"/>
        <w:spacing w:before="0" w:after="0"/>
        <w:ind w:hanging="720" w:start="1440" w:end="0"/>
        <w:jc w:val="both"/>
        <w:rPr/>
      </w:pPr>
      <w:r>
        <w:rPr>
          <w:szCs w:val="22"/>
          <w:lang w:val="en-GB"/>
        </w:rPr>
        <w:t>•</w:t>
      </w:r>
      <w:r>
        <w:rPr>
          <w:szCs w:val="22"/>
          <w:lang w:val="en-GB"/>
        </w:rPr>
        <w:tab/>
        <w:t xml:space="preserve">Be responsible for defining, initiating, managing the PST Supplier T &amp; T Program in close cooperation with the PST Supplier Service Delivery Manager. </w:t>
      </w:r>
    </w:p>
    <w:p>
      <w:pPr>
        <w:pStyle w:val="Normal"/>
        <w:spacing w:before="0" w:after="0"/>
        <w:ind w:hanging="720" w:start="1440" w:end="0"/>
        <w:jc w:val="both"/>
        <w:rPr>
          <w:szCs w:val="22"/>
          <w:lang w:val="en-GB"/>
        </w:rPr>
      </w:pPr>
      <w:r>
        <w:rPr>
          <w:szCs w:val="22"/>
          <w:lang w:val="en-GB"/>
        </w:rPr>
        <w:t>•</w:t>
      </w:r>
      <w:r>
        <w:rPr>
          <w:szCs w:val="22"/>
          <w:lang w:val="en-GB"/>
        </w:rPr>
        <w:tab/>
        <w:t>Set overall direction for the PST Supplier T &amp; T Team based on the Supplier Customer Unit strategy.</w:t>
      </w:r>
    </w:p>
    <w:p>
      <w:pPr>
        <w:pStyle w:val="Normal"/>
        <w:spacing w:before="0" w:after="0"/>
        <w:ind w:hanging="720" w:start="1440" w:end="0"/>
        <w:jc w:val="both"/>
        <w:rPr>
          <w:szCs w:val="22"/>
          <w:lang w:val="en-GB"/>
        </w:rPr>
      </w:pPr>
      <w:r>
        <w:rPr>
          <w:szCs w:val="22"/>
          <w:lang w:val="en-GB"/>
        </w:rPr>
        <w:t>•</w:t>
      </w:r>
      <w:r>
        <w:rPr>
          <w:szCs w:val="22"/>
          <w:lang w:val="en-GB"/>
        </w:rPr>
        <w:tab/>
        <w:t xml:space="preserve">Contain and resolve issues. </w:t>
      </w:r>
    </w:p>
    <w:p>
      <w:pPr>
        <w:pStyle w:val="Normal"/>
        <w:spacing w:before="0" w:after="0"/>
        <w:ind w:hanging="720" w:start="1440" w:end="0"/>
        <w:jc w:val="both"/>
        <w:rPr>
          <w:szCs w:val="22"/>
          <w:lang w:val="en-GB"/>
        </w:rPr>
      </w:pPr>
      <w:r>
        <w:rPr>
          <w:szCs w:val="22"/>
          <w:lang w:val="en-GB"/>
        </w:rPr>
        <w:t>•</w:t>
      </w:r>
      <w:r>
        <w:rPr>
          <w:szCs w:val="22"/>
          <w:lang w:val="en-GB"/>
        </w:rPr>
        <w:tab/>
        <w:t>Monitor and manage progress to ensure T &amp; T Program objectives are delivered on time and within budget, and business results are realized.</w:t>
      </w:r>
    </w:p>
    <w:p>
      <w:pPr>
        <w:pStyle w:val="Normal"/>
        <w:spacing w:before="0" w:after="0"/>
        <w:ind w:hanging="720" w:start="1440" w:end="0"/>
        <w:jc w:val="both"/>
        <w:rPr>
          <w:szCs w:val="22"/>
          <w:lang w:val="en-GB"/>
        </w:rPr>
      </w:pPr>
      <w:r>
        <w:rPr>
          <w:szCs w:val="22"/>
          <w:lang w:val="en-GB"/>
        </w:rPr>
        <w:t>•</w:t>
      </w:r>
      <w:r>
        <w:rPr>
          <w:szCs w:val="22"/>
          <w:lang w:val="en-GB"/>
        </w:rPr>
        <w:tab/>
        <w:t>Act as the SPOC within the PST Supplier organisation for the T &amp; T Program.</w:t>
      </w:r>
    </w:p>
    <w:p>
      <w:pPr>
        <w:pStyle w:val="Normal"/>
        <w:spacing w:before="0" w:after="0"/>
        <w:ind w:hanging="720" w:start="1440" w:end="0"/>
        <w:jc w:val="both"/>
        <w:rPr/>
      </w:pPr>
      <w:r>
        <w:rPr>
          <w:szCs w:val="22"/>
          <w:lang w:val="en-GB"/>
        </w:rPr>
        <w:t>•</w:t>
      </w:r>
      <w:r>
        <w:rPr>
          <w:szCs w:val="22"/>
          <w:lang w:val="en-GB"/>
        </w:rPr>
        <w:tab/>
        <w:t xml:space="preserve">Manage and monitor stakeholder expectations. </w:t>
      </w:r>
    </w:p>
    <w:p>
      <w:pPr>
        <w:pStyle w:val="Normal"/>
        <w:spacing w:before="0" w:after="0"/>
        <w:ind w:hanging="720" w:start="1440" w:end="0"/>
        <w:jc w:val="both"/>
        <w:rPr>
          <w:szCs w:val="22"/>
          <w:lang w:val="en-GB"/>
        </w:rPr>
      </w:pPr>
      <w:r>
        <w:rPr>
          <w:szCs w:val="22"/>
          <w:lang w:val="en-GB"/>
        </w:rPr>
        <w:t>•</w:t>
        <w:tab/>
        <w:t>Manage expectations towards EuroBank and PST T &amp; T manager.</w:t>
      </w: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 xml:space="preserve">Communicate program performance to PST T &amp; T managers. </w:t>
      </w:r>
    </w:p>
    <w:p>
      <w:pPr>
        <w:pStyle w:val="Normal"/>
        <w:spacing w:before="0" w:after="0"/>
        <w:ind w:hanging="720" w:start="1440" w:end="0"/>
        <w:jc w:val="both"/>
        <w:rPr>
          <w:szCs w:val="22"/>
          <w:lang w:val="en-GB"/>
        </w:rPr>
      </w:pPr>
      <w:r>
        <w:rPr>
          <w:szCs w:val="22"/>
          <w:lang w:val="en-GB"/>
        </w:rPr>
        <w:t>•</w:t>
      </w:r>
      <w:r>
        <w:rPr>
          <w:szCs w:val="22"/>
          <w:lang w:val="en-GB"/>
        </w:rPr>
        <w:tab/>
        <w:t xml:space="preserve">Monitor and maintain T &amp; T team morale. </w:t>
      </w:r>
    </w:p>
    <w:p>
      <w:pPr>
        <w:pStyle w:val="Normal"/>
        <w:spacing w:before="0" w:after="0"/>
        <w:ind w:hanging="720" w:start="1440" w:end="0"/>
        <w:jc w:val="both"/>
        <w:rPr/>
      </w:pPr>
      <w:r>
        <w:rPr>
          <w:szCs w:val="22"/>
          <w:lang w:val="en-GB"/>
        </w:rPr>
        <w:t>•</w:t>
      </w:r>
      <w:r>
        <w:rPr>
          <w:szCs w:val="22"/>
          <w:lang w:val="en-GB"/>
        </w:rPr>
        <w:tab/>
        <w:t xml:space="preserve">Monitor T &amp; T timelines, Milestones, and resource usage. </w:t>
      </w:r>
    </w:p>
    <w:p>
      <w:pPr>
        <w:pStyle w:val="Normal"/>
        <w:spacing w:before="0" w:after="0"/>
        <w:ind w:hanging="720" w:start="1440" w:end="0"/>
        <w:jc w:val="both"/>
        <w:rPr/>
      </w:pPr>
      <w:r>
        <w:rPr>
          <w:szCs w:val="22"/>
          <w:lang w:val="en-GB"/>
        </w:rPr>
        <w:t>•</w:t>
      </w:r>
      <w:r>
        <w:rPr>
          <w:szCs w:val="22"/>
          <w:lang w:val="en-GB"/>
        </w:rPr>
        <w:tab/>
        <w:t xml:space="preserve">Monitor and pro-actively manage T &amp; T Program risks and mitigation. </w:t>
      </w:r>
    </w:p>
    <w:p>
      <w:pPr>
        <w:pStyle w:val="Normal"/>
        <w:spacing w:before="0" w:after="0"/>
        <w:ind w:hanging="720" w:start="1440" w:end="0"/>
        <w:jc w:val="both"/>
        <w:rPr>
          <w:szCs w:val="22"/>
          <w:lang w:val="en-GB"/>
        </w:rPr>
      </w:pPr>
      <w:r>
        <w:rPr>
          <w:szCs w:val="22"/>
          <w:lang w:val="en-GB"/>
        </w:rPr>
        <w:t>•</w:t>
      </w:r>
      <w:r>
        <w:rPr>
          <w:szCs w:val="22"/>
          <w:lang w:val="en-GB"/>
        </w:rPr>
        <w:tab/>
        <w:t>Report progress to the PST T &amp; T manager</w:t>
        <w:tab/>
      </w:r>
    </w:p>
    <w:p>
      <w:pPr>
        <w:pStyle w:val="Heading3Numbered"/>
        <w:numPr>
          <w:ilvl w:val="2"/>
          <w:numId w:val="2"/>
        </w:numPr>
        <w:tabs>
          <w:tab w:val="clear" w:pos="720"/>
        </w:tabs>
        <w:ind w:hanging="720" w:start="1440" w:end="0"/>
        <w:rPr>
          <w:sz w:val="22"/>
          <w:szCs w:val="22"/>
          <w:lang w:val="en-GB"/>
        </w:rPr>
      </w:pPr>
      <w:bookmarkStart w:id="13" w:name="__RefHeading___Toc151286390"/>
      <w:bookmarkEnd w:id="13"/>
      <w:r>
        <w:rPr>
          <w:sz w:val="22"/>
          <w:szCs w:val="22"/>
          <w:lang w:val="en-GB"/>
        </w:rPr>
        <w:t>PST Supplier HR Transition Manager</w:t>
      </w:r>
    </w:p>
    <w:p>
      <w:pPr>
        <w:pStyle w:val="Normal"/>
        <w:spacing w:before="0" w:after="0"/>
        <w:ind w:hanging="720" w:start="1440" w:end="0"/>
        <w:jc w:val="both"/>
        <w:rPr/>
      </w:pPr>
      <w:r>
        <w:rPr>
          <w:szCs w:val="22"/>
          <w:lang w:val="en-GB"/>
        </w:rPr>
        <w:t>•</w:t>
      </w:r>
      <w:r>
        <w:rPr>
          <w:szCs w:val="22"/>
          <w:lang w:val="en-GB"/>
        </w:rPr>
        <w:tab/>
        <w:t>Coordinate with PST HR Transfer Office Manager on HR Transition activities.</w:t>
      </w:r>
    </w:p>
    <w:p>
      <w:pPr>
        <w:pStyle w:val="Normal"/>
        <w:spacing w:before="0" w:after="0"/>
        <w:ind w:hanging="720" w:start="1440" w:end="0"/>
        <w:jc w:val="both"/>
        <w:rPr/>
      </w:pPr>
      <w:r>
        <w:rPr>
          <w:szCs w:val="22"/>
          <w:lang w:val="en-GB"/>
        </w:rPr>
        <w:t>•</w:t>
        <w:tab/>
        <w:t>Consult EuroBank’s employees affected by the Transition in HR-related questions.</w:t>
      </w: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Manage all the HR staff transfer activities like personnel administration, salary administration, pension administration, benefits, skills, etc. as required.</w:t>
      </w:r>
    </w:p>
    <w:p>
      <w:pPr>
        <w:pStyle w:val="Normal"/>
        <w:spacing w:before="0" w:after="0"/>
        <w:ind w:hanging="720" w:start="1440" w:end="0"/>
        <w:jc w:val="both"/>
        <w:rPr/>
      </w:pPr>
      <w:r>
        <w:rPr>
          <w:szCs w:val="22"/>
          <w:lang w:val="en-GB"/>
        </w:rPr>
        <w:t>•</w:t>
      </w:r>
      <w:r>
        <w:rPr>
          <w:szCs w:val="22"/>
          <w:lang w:val="en-GB"/>
        </w:rPr>
        <w:tab/>
        <w:t>Coordinate all staff-related communications.</w:t>
      </w:r>
    </w:p>
    <w:p>
      <w:pPr>
        <w:pStyle w:val="Normal"/>
        <w:spacing w:before="0" w:after="0"/>
        <w:ind w:hanging="720" w:start="1440" w:end="0"/>
        <w:jc w:val="both"/>
        <w:rPr/>
      </w:pPr>
      <w:r>
        <w:rPr>
          <w:szCs w:val="22"/>
          <w:lang w:val="en-GB"/>
        </w:rPr>
        <w:t>•</w:t>
      </w:r>
      <w:r>
        <w:rPr>
          <w:szCs w:val="22"/>
          <w:lang w:val="en-GB"/>
        </w:rPr>
        <w:tab/>
        <w:t>Manage all staff-related facilities, like access to PST Supplier intranet, access to mail.</w:t>
      </w:r>
    </w:p>
    <w:p>
      <w:pPr>
        <w:pStyle w:val="Normal"/>
        <w:spacing w:before="0" w:after="0"/>
        <w:ind w:hanging="720" w:start="1440" w:end="0"/>
        <w:jc w:val="both"/>
        <w:rPr/>
      </w:pPr>
      <w:r>
        <w:rPr>
          <w:szCs w:val="22"/>
          <w:lang w:val="en-GB"/>
        </w:rPr>
        <w:t>•</w:t>
      </w:r>
      <w:r>
        <w:rPr>
          <w:szCs w:val="22"/>
          <w:lang w:val="en-GB"/>
        </w:rPr>
        <w:tab/>
        <w:t>Manage all staff-related knowledge management activities and align with PST Supplier Bundles and work with other Transition KT leads in cross-Bundle issues.</w:t>
      </w:r>
    </w:p>
    <w:p>
      <w:pPr>
        <w:pStyle w:val="Normal"/>
        <w:spacing w:before="0" w:after="0"/>
        <w:ind w:hanging="720" w:start="1440" w:end="0"/>
        <w:jc w:val="both"/>
        <w:rPr>
          <w:szCs w:val="22"/>
          <w:lang w:val="en-GB"/>
        </w:rPr>
      </w:pPr>
      <w:r>
        <w:rPr>
          <w:szCs w:val="22"/>
          <w:lang w:val="en-GB"/>
        </w:rPr>
        <w:t>•</w:t>
      </w:r>
      <w:r>
        <w:rPr>
          <w:szCs w:val="22"/>
          <w:lang w:val="en-GB"/>
        </w:rPr>
        <w:tab/>
        <w:t>Manage employee mobility activities.</w:t>
      </w:r>
    </w:p>
    <w:p>
      <w:pPr>
        <w:pStyle w:val="Normal"/>
        <w:spacing w:before="0" w:after="0"/>
        <w:ind w:hanging="720" w:start="1440" w:end="0"/>
        <w:jc w:val="both"/>
        <w:rPr/>
      </w:pPr>
      <w:r>
        <w:rPr>
          <w:szCs w:val="22"/>
          <w:lang w:val="en-GB"/>
        </w:rPr>
        <w:t>•</w:t>
      </w:r>
      <w:r>
        <w:rPr>
          <w:szCs w:val="22"/>
          <w:lang w:val="en-GB"/>
        </w:rPr>
        <w:tab/>
        <w:t>Report progress to the PST Supplier T &amp; T manager.</w:t>
      </w:r>
    </w:p>
    <w:p>
      <w:pPr>
        <w:pStyle w:val="Normal"/>
        <w:spacing w:before="0" w:after="0"/>
        <w:ind w:hanging="720" w:start="1440" w:end="0"/>
        <w:jc w:val="both"/>
        <w:rPr/>
      </w:pPr>
      <w:r>
        <w:rPr>
          <w:szCs w:val="22"/>
          <w:lang w:val="en-GB"/>
        </w:rPr>
        <w:t>•</w:t>
      </w:r>
      <w:r>
        <w:rPr>
          <w:szCs w:val="22"/>
          <w:lang w:val="en-GB"/>
        </w:rPr>
        <w:tab/>
        <w:t>Report HR issues and risks to HR Transfer Office Manager</w:t>
      </w:r>
    </w:p>
    <w:p>
      <w:pPr>
        <w:pStyle w:val="Heading3Numbered"/>
        <w:numPr>
          <w:ilvl w:val="2"/>
          <w:numId w:val="2"/>
        </w:numPr>
        <w:tabs>
          <w:tab w:val="clear" w:pos="720"/>
        </w:tabs>
        <w:ind w:hanging="720" w:start="1440" w:end="0"/>
        <w:rPr>
          <w:sz w:val="22"/>
          <w:szCs w:val="22"/>
          <w:lang w:val="en-GB"/>
        </w:rPr>
      </w:pPr>
      <w:bookmarkStart w:id="14" w:name="__RefHeading___Toc151286391"/>
      <w:bookmarkEnd w:id="14"/>
      <w:r>
        <w:rPr>
          <w:sz w:val="22"/>
          <w:szCs w:val="22"/>
          <w:lang w:val="en-GB"/>
        </w:rPr>
        <w:t>Bundle T &amp; T Manager</w:t>
      </w:r>
    </w:p>
    <w:p>
      <w:pPr>
        <w:pStyle w:val="Normal"/>
        <w:spacing w:before="0" w:after="0"/>
        <w:ind w:hanging="720" w:start="1440" w:end="0"/>
        <w:jc w:val="both"/>
        <w:rPr>
          <w:szCs w:val="22"/>
          <w:lang w:val="en-GB"/>
        </w:rPr>
      </w:pPr>
      <w:r>
        <w:rPr>
          <w:szCs w:val="22"/>
          <w:lang w:val="en-GB"/>
        </w:rPr>
        <w:t>•</w:t>
      </w:r>
      <w:r>
        <w:rPr>
          <w:szCs w:val="22"/>
          <w:lang w:val="en-GB"/>
        </w:rPr>
        <w:tab/>
        <w:t>Lead and execute the Bundle T &amp; T Program with respect to processes, tools and organisation.</w:t>
      </w:r>
    </w:p>
    <w:p>
      <w:pPr>
        <w:pStyle w:val="Normal"/>
        <w:spacing w:before="0" w:after="0"/>
        <w:ind w:hanging="720" w:start="1440" w:end="0"/>
        <w:jc w:val="both"/>
        <w:rPr>
          <w:szCs w:val="22"/>
          <w:lang w:val="en-GB"/>
        </w:rPr>
      </w:pPr>
      <w:r>
        <w:rPr>
          <w:szCs w:val="22"/>
          <w:lang w:val="en-GB"/>
        </w:rPr>
        <w:t>•</w:t>
      </w:r>
      <w:r>
        <w:rPr>
          <w:szCs w:val="22"/>
          <w:lang w:val="en-GB"/>
        </w:rPr>
        <w:tab/>
        <w:t>Coordinate with the members of the Bundle T &amp; T Team on T &amp; T activities.</w:t>
      </w:r>
    </w:p>
    <w:p>
      <w:pPr>
        <w:pStyle w:val="Normal"/>
        <w:spacing w:before="0" w:after="0"/>
        <w:ind w:hanging="720" w:start="1440" w:end="0"/>
        <w:jc w:val="both"/>
        <w:rPr/>
      </w:pPr>
      <w:r>
        <w:rPr>
          <w:szCs w:val="22"/>
          <w:lang w:val="en-GB"/>
        </w:rPr>
        <w:t>•</w:t>
      </w:r>
      <w:r>
        <w:rPr>
          <w:szCs w:val="22"/>
          <w:lang w:val="en-GB"/>
        </w:rPr>
        <w:tab/>
        <w:t xml:space="preserve">Evaluate existing Services and define ongoing approach to service delivery. </w:t>
      </w:r>
    </w:p>
    <w:p>
      <w:pPr>
        <w:pStyle w:val="Normal"/>
        <w:spacing w:before="0" w:after="0"/>
        <w:ind w:hanging="720" w:start="1440" w:end="0"/>
        <w:jc w:val="both"/>
        <w:rPr>
          <w:szCs w:val="22"/>
          <w:lang w:val="en-GB"/>
        </w:rPr>
      </w:pPr>
      <w:r>
        <w:rPr>
          <w:szCs w:val="22"/>
          <w:lang w:val="en-GB"/>
        </w:rPr>
        <w:t>•</w:t>
      </w:r>
      <w:r>
        <w:rPr>
          <w:szCs w:val="22"/>
          <w:lang w:val="en-GB"/>
        </w:rPr>
        <w:tab/>
        <w:t>Monitor the Bundle T &amp; T Program progress.</w:t>
      </w:r>
    </w:p>
    <w:p>
      <w:pPr>
        <w:pStyle w:val="Normal"/>
        <w:spacing w:before="0" w:after="0"/>
        <w:ind w:hanging="720" w:start="1440" w:end="0"/>
        <w:jc w:val="both"/>
        <w:rPr>
          <w:szCs w:val="22"/>
          <w:lang w:val="en-GB"/>
        </w:rPr>
      </w:pPr>
      <w:r>
        <w:rPr>
          <w:szCs w:val="22"/>
          <w:lang w:val="en-GB"/>
        </w:rPr>
        <w:t>•</w:t>
      </w:r>
      <w:r>
        <w:rPr>
          <w:szCs w:val="22"/>
          <w:lang w:val="en-GB"/>
        </w:rPr>
        <w:tab/>
        <w:t>Report T &amp; T Program progress of the Bundle to the PST Supplier T &amp; T Manager.</w:t>
      </w:r>
    </w:p>
    <w:p>
      <w:pPr>
        <w:pStyle w:val="Normal"/>
        <w:spacing w:before="0" w:after="0"/>
        <w:ind w:hanging="720" w:start="1440" w:end="0"/>
        <w:jc w:val="both"/>
        <w:rPr/>
      </w:pPr>
      <w:r>
        <w:rPr>
          <w:szCs w:val="22"/>
          <w:lang w:val="en-GB"/>
        </w:rPr>
        <w:t>•</w:t>
      </w:r>
      <w:r>
        <w:rPr>
          <w:szCs w:val="22"/>
          <w:lang w:val="en-GB"/>
        </w:rPr>
        <w:tab/>
        <w:t>Monitor and pro-actively manage the Service disentanglement risks and mitigation.</w:t>
      </w:r>
    </w:p>
    <w:p>
      <w:pPr>
        <w:pStyle w:val="Normal"/>
        <w:spacing w:before="0" w:after="0"/>
        <w:ind w:hanging="720" w:start="1440" w:end="0"/>
        <w:jc w:val="both"/>
        <w:rPr>
          <w:szCs w:val="22"/>
          <w:lang w:val="en-GB"/>
        </w:rPr>
      </w:pPr>
      <w:r>
        <w:rPr>
          <w:szCs w:val="22"/>
          <w:lang w:val="en-GB"/>
        </w:rPr>
        <w:t>•</w:t>
      </w:r>
      <w:r>
        <w:rPr>
          <w:szCs w:val="22"/>
          <w:lang w:val="en-GB"/>
        </w:rPr>
        <w:tab/>
        <w:t>Escalate issues and risks to the PST Supplier T &amp; T manager, when appropriate.</w:t>
      </w:r>
    </w:p>
    <w:p>
      <w:pPr>
        <w:pStyle w:val="Normal"/>
        <w:spacing w:before="0" w:after="0"/>
        <w:ind w:hanging="720" w:start="1440" w:end="0"/>
        <w:jc w:val="both"/>
        <w:rPr/>
      </w:pPr>
      <w:r>
        <w:rPr>
          <w:szCs w:val="22"/>
          <w:lang w:val="en-GB"/>
        </w:rPr>
        <w:t>•</w:t>
      </w:r>
      <w:r>
        <w:rPr>
          <w:szCs w:val="22"/>
          <w:lang w:val="en-GB"/>
        </w:rPr>
        <w:tab/>
        <w:t>Coordinate with the Other PST T &amp; T managers in cross-Bundle tasks and issues.</w:t>
      </w:r>
    </w:p>
    <w:p>
      <w:pPr>
        <w:pStyle w:val="Heading3Numbered"/>
        <w:numPr>
          <w:ilvl w:val="2"/>
          <w:numId w:val="2"/>
        </w:numPr>
        <w:tabs>
          <w:tab w:val="clear" w:pos="720"/>
          <w:tab w:val="left" w:pos="1440" w:leader="none"/>
        </w:tabs>
        <w:ind w:hanging="720" w:start="1440" w:end="0"/>
        <w:rPr>
          <w:sz w:val="22"/>
          <w:szCs w:val="22"/>
          <w:lang w:val="en-GB"/>
        </w:rPr>
      </w:pPr>
      <w:bookmarkStart w:id="15" w:name="__RefHeading___Toc151286392"/>
      <w:bookmarkEnd w:id="15"/>
      <w:r>
        <w:rPr>
          <w:sz w:val="22"/>
          <w:szCs w:val="22"/>
          <w:lang w:val="en-GB"/>
        </w:rPr>
        <w:t>T &amp; T Support Office Coordinator</w:t>
      </w:r>
    </w:p>
    <w:p>
      <w:pPr>
        <w:pStyle w:val="Normal"/>
        <w:spacing w:before="0" w:after="0"/>
        <w:ind w:hanging="720" w:start="1440" w:end="0"/>
        <w:jc w:val="both"/>
        <w:rPr>
          <w:szCs w:val="22"/>
          <w:lang w:val="en-GB"/>
        </w:rPr>
      </w:pPr>
      <w:r>
        <w:rPr>
          <w:szCs w:val="22"/>
          <w:lang w:val="en-GB"/>
        </w:rPr>
        <w:t>•</w:t>
      </w:r>
      <w:r>
        <w:rPr>
          <w:szCs w:val="22"/>
          <w:lang w:val="en-GB"/>
        </w:rPr>
        <w:tab/>
        <w:t>Support the control and administration activities performed by the PST Supplier Track managers.</w:t>
      </w:r>
    </w:p>
    <w:p>
      <w:pPr>
        <w:pStyle w:val="Normal"/>
        <w:spacing w:before="0" w:after="0"/>
        <w:ind w:hanging="720" w:start="1440" w:end="0"/>
        <w:jc w:val="both"/>
        <w:rPr/>
      </w:pPr>
      <w:r>
        <w:rPr>
          <w:szCs w:val="22"/>
          <w:lang w:val="en-GB"/>
        </w:rPr>
        <w:t>•</w:t>
      </w:r>
      <w:r>
        <w:rPr>
          <w:szCs w:val="22"/>
          <w:lang w:val="en-GB"/>
        </w:rPr>
        <w:tab/>
        <w:t>Lead and manage the team of support office-related resources within PST Supplier.</w:t>
      </w:r>
    </w:p>
    <w:p>
      <w:pPr>
        <w:pStyle w:val="Normal"/>
        <w:spacing w:before="0" w:after="0"/>
        <w:ind w:hanging="720" w:start="1440" w:end="0"/>
        <w:jc w:val="both"/>
        <w:rPr/>
      </w:pPr>
      <w:r>
        <w:rPr>
          <w:szCs w:val="22"/>
          <w:lang w:val="en-GB"/>
        </w:rPr>
        <w:t>•</w:t>
      </w:r>
      <w:r>
        <w:rPr>
          <w:szCs w:val="22"/>
          <w:lang w:val="en-GB"/>
        </w:rPr>
        <w:tab/>
        <w:t xml:space="preserve">Coordinate all PST Supplier T &amp; T Program-level reporting: aggregate and publish inputs from financial management, quality management, value measurement, resource management, etc. </w:t>
      </w:r>
    </w:p>
    <w:p>
      <w:pPr>
        <w:pStyle w:val="Normal"/>
        <w:spacing w:before="0" w:after="0"/>
        <w:ind w:hanging="720" w:start="1440" w:end="0"/>
        <w:jc w:val="both"/>
        <w:rPr/>
      </w:pPr>
      <w:r>
        <w:rPr>
          <w:szCs w:val="22"/>
          <w:lang w:val="en-GB"/>
        </w:rPr>
        <w:t>•</w:t>
      </w:r>
      <w:r>
        <w:rPr>
          <w:szCs w:val="22"/>
          <w:lang w:val="en-GB"/>
        </w:rPr>
        <w:tab/>
        <w:t xml:space="preserve">Maintain PST Supplier T &amp; T Program-wide approaches, plans, policies, and procedures. </w:t>
      </w:r>
    </w:p>
    <w:p>
      <w:pPr>
        <w:pStyle w:val="Normal"/>
        <w:spacing w:before="0" w:after="0"/>
        <w:ind w:hanging="720" w:start="1440" w:end="0"/>
        <w:jc w:val="both"/>
        <w:rPr/>
      </w:pPr>
      <w:r>
        <w:rPr>
          <w:szCs w:val="22"/>
          <w:lang w:val="en-GB"/>
        </w:rPr>
        <w:t>•</w:t>
      </w:r>
      <w:r>
        <w:rPr>
          <w:szCs w:val="22"/>
          <w:lang w:val="en-GB"/>
        </w:rPr>
        <w:tab/>
        <w:t xml:space="preserve">Coordinate PST Supplier T &amp; T Program communications, both internal and external. </w:t>
      </w:r>
    </w:p>
    <w:p>
      <w:pPr>
        <w:pStyle w:val="Normal"/>
        <w:spacing w:before="0" w:after="0"/>
        <w:ind w:hanging="720" w:start="1440" w:end="0"/>
        <w:jc w:val="both"/>
        <w:rPr/>
      </w:pPr>
      <w:r>
        <w:rPr>
          <w:szCs w:val="22"/>
          <w:lang w:val="en-GB"/>
        </w:rPr>
        <w:t>•</w:t>
      </w:r>
      <w:r>
        <w:rPr>
          <w:szCs w:val="22"/>
          <w:lang w:val="en-GB"/>
        </w:rPr>
        <w:tab/>
        <w:t>Monitor the Change Control Procedure within the T &amp; T Program.</w:t>
      </w:r>
    </w:p>
    <w:p>
      <w:pPr>
        <w:pStyle w:val="Normal"/>
        <w:spacing w:before="0" w:after="0"/>
        <w:ind w:hanging="720" w:start="1440" w:end="0"/>
        <w:jc w:val="both"/>
        <w:rPr>
          <w:szCs w:val="22"/>
          <w:lang w:val="en-GB"/>
        </w:rPr>
      </w:pPr>
      <w:r>
        <w:rPr>
          <w:szCs w:val="22"/>
          <w:lang w:val="en-GB"/>
        </w:rPr>
        <w:t>•</w:t>
      </w:r>
      <w:r>
        <w:rPr>
          <w:szCs w:val="22"/>
          <w:lang w:val="en-GB"/>
        </w:rPr>
        <w:tab/>
        <w:t>Ensure that all changes to the T &amp; T Program are understood, planned, prioritized, communicated and implemented in a controlled and organized manner.</w:t>
      </w:r>
    </w:p>
    <w:p>
      <w:pPr>
        <w:pStyle w:val="Normal"/>
        <w:spacing w:before="0" w:after="0"/>
        <w:ind w:hanging="720" w:start="1440" w:end="0"/>
        <w:jc w:val="both"/>
        <w:rPr>
          <w:szCs w:val="22"/>
          <w:lang w:val="en-GB"/>
        </w:rPr>
      </w:pPr>
      <w:r>
        <w:rPr>
          <w:szCs w:val="22"/>
          <w:lang w:val="en-GB"/>
        </w:rPr>
        <w:t>•</w:t>
      </w:r>
      <w:r>
        <w:rPr>
          <w:szCs w:val="22"/>
          <w:lang w:val="en-GB"/>
        </w:rPr>
        <w:tab/>
        <w:t>Report progress to the PST Supplier T &amp; T manager.</w:t>
      </w:r>
    </w:p>
    <w:p>
      <w:pPr>
        <w:pStyle w:val="Heading3Numbered"/>
        <w:numPr>
          <w:ilvl w:val="2"/>
          <w:numId w:val="2"/>
        </w:numPr>
        <w:tabs>
          <w:tab w:val="clear" w:pos="720"/>
        </w:tabs>
        <w:ind w:hanging="720" w:start="1440" w:end="0"/>
        <w:rPr>
          <w:sz w:val="22"/>
          <w:szCs w:val="22"/>
          <w:lang w:val="en-GB"/>
        </w:rPr>
      </w:pPr>
      <w:bookmarkStart w:id="16" w:name="__RefHeading___Toc151286393"/>
      <w:bookmarkEnd w:id="16"/>
      <w:r>
        <w:rPr>
          <w:sz w:val="22"/>
          <w:szCs w:val="22"/>
          <w:lang w:val="en-GB"/>
        </w:rPr>
        <w:t>Finance &amp; Contract manager</w:t>
      </w:r>
    </w:p>
    <w:p>
      <w:pPr>
        <w:pStyle w:val="Normal"/>
        <w:spacing w:before="0" w:after="0"/>
        <w:ind w:hanging="720" w:start="1440" w:end="0"/>
        <w:jc w:val="both"/>
        <w:rPr>
          <w:szCs w:val="22"/>
          <w:lang w:val="en-GB"/>
        </w:rPr>
      </w:pPr>
      <w:r>
        <w:rPr>
          <w:szCs w:val="22"/>
          <w:lang w:val="en-GB"/>
        </w:rPr>
        <w:t>•</w:t>
      </w:r>
      <w:r>
        <w:rPr>
          <w:szCs w:val="22"/>
          <w:lang w:val="en-GB"/>
        </w:rPr>
        <w:tab/>
        <w:t xml:space="preserve">Advise on commercial, legal, and regulatory aspects of the T &amp; T Program and plan (e.g. termination of contracts). </w:t>
      </w:r>
    </w:p>
    <w:p>
      <w:pPr>
        <w:pStyle w:val="Normal"/>
        <w:spacing w:before="0" w:after="0"/>
        <w:ind w:hanging="720" w:start="1440" w:end="0"/>
        <w:jc w:val="both"/>
        <w:rPr>
          <w:szCs w:val="22"/>
          <w:lang w:val="en-GB"/>
        </w:rPr>
      </w:pPr>
      <w:r>
        <w:rPr>
          <w:szCs w:val="22"/>
          <w:lang w:val="en-GB"/>
        </w:rPr>
        <w:t>•</w:t>
      </w:r>
      <w:r>
        <w:rPr>
          <w:szCs w:val="22"/>
          <w:lang w:val="en-GB"/>
        </w:rPr>
        <w:tab/>
        <w:t xml:space="preserve">Support the development of sound, deliverable solutions for service delivery. </w:t>
      </w:r>
    </w:p>
    <w:p>
      <w:pPr>
        <w:pStyle w:val="Normal"/>
        <w:spacing w:before="0" w:after="0"/>
        <w:ind w:hanging="720" w:start="1440" w:end="0"/>
        <w:jc w:val="both"/>
        <w:rPr>
          <w:szCs w:val="22"/>
          <w:lang w:val="en-GB"/>
        </w:rPr>
      </w:pPr>
      <w:r>
        <w:rPr>
          <w:szCs w:val="22"/>
          <w:lang w:val="en-GB"/>
        </w:rPr>
        <w:t>•</w:t>
      </w:r>
      <w:r>
        <w:rPr>
          <w:szCs w:val="22"/>
          <w:lang w:val="en-GB"/>
        </w:rPr>
        <w:tab/>
        <w:t>Define and implement the interim and final billing procedures</w:t>
      </w:r>
    </w:p>
    <w:p>
      <w:pPr>
        <w:pStyle w:val="Normal"/>
        <w:spacing w:before="0" w:after="0"/>
        <w:ind w:hanging="720" w:start="1440" w:end="0"/>
        <w:jc w:val="both"/>
        <w:rPr>
          <w:szCs w:val="22"/>
          <w:lang w:val="en-GB"/>
        </w:rPr>
      </w:pPr>
      <w:r>
        <w:rPr>
          <w:szCs w:val="22"/>
          <w:lang w:val="en-GB"/>
        </w:rPr>
        <w:t>•</w:t>
      </w:r>
      <w:r>
        <w:rPr>
          <w:szCs w:val="22"/>
          <w:lang w:val="en-GB"/>
        </w:rPr>
        <w:tab/>
        <w:t>Define and implement the interim and final financial processes</w:t>
      </w:r>
    </w:p>
    <w:p>
      <w:pPr>
        <w:pStyle w:val="Normal"/>
        <w:spacing w:before="0" w:after="0"/>
        <w:ind w:hanging="720" w:start="1440" w:end="0"/>
        <w:jc w:val="both"/>
        <w:rPr/>
      </w:pPr>
      <w:r>
        <w:rPr>
          <w:szCs w:val="22"/>
          <w:lang w:val="en-GB"/>
        </w:rPr>
        <w:t>•</w:t>
      </w:r>
      <w:r>
        <w:rPr>
          <w:szCs w:val="22"/>
          <w:lang w:val="en-GB"/>
        </w:rPr>
        <w:tab/>
        <w:t>Manage the novation of Third Party Contracts</w:t>
      </w:r>
    </w:p>
    <w:p>
      <w:pPr>
        <w:pStyle w:val="Normal"/>
        <w:spacing w:before="0" w:after="0"/>
        <w:ind w:hanging="720" w:start="1440" w:end="0"/>
        <w:jc w:val="both"/>
        <w:rPr/>
      </w:pPr>
      <w:r>
        <w:rPr>
          <w:szCs w:val="22"/>
          <w:lang w:val="en-GB"/>
        </w:rPr>
        <w:t>•</w:t>
      </w:r>
      <w:r>
        <w:rPr>
          <w:szCs w:val="22"/>
          <w:lang w:val="en-GB"/>
        </w:rPr>
        <w:tab/>
        <w:t xml:space="preserve">Assist the HR Transfer Office Manager with important considerations of employment-related legal implications. </w:t>
      </w:r>
    </w:p>
    <w:p>
      <w:pPr>
        <w:pStyle w:val="Normal"/>
        <w:spacing w:before="0" w:after="0"/>
        <w:ind w:start="720" w:end="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tabs>
          <w:tab w:val="clear" w:pos="720"/>
          <w:tab w:val="left" w:pos="1440" w:leader="none"/>
        </w:tabs>
        <w:ind w:hanging="0" w:start="0"/>
        <w:rPr>
          <w:rFonts w:ascii="Times New Roman" w:hAnsi="Times New Roman" w:cs="Times New Roman"/>
          <w:sz w:val="22"/>
          <w:szCs w:val="22"/>
          <w:lang w:val="en-GB"/>
        </w:rPr>
      </w:pPr>
      <w:bookmarkStart w:id="17" w:name="__RefHeading___Toc151286394"/>
      <w:bookmarkEnd w:id="17"/>
      <w:r>
        <w:rPr>
          <w:rFonts w:cs="Times New Roman" w:ascii="Times New Roman" w:hAnsi="Times New Roman"/>
          <w:sz w:val="22"/>
          <w:szCs w:val="22"/>
          <w:lang w:val="en-GB"/>
        </w:rPr>
        <w:t>TRANSITION AND TRANSFORMATION ROLES - VENDOR ALPHA</w:t>
      </w:r>
    </w:p>
    <w:p>
      <w:pPr>
        <w:pStyle w:val="Normal"/>
        <w:spacing w:before="0" w:after="0"/>
        <w:jc w:val="both"/>
        <w:rPr/>
      </w:pPr>
      <w:r>
        <w:rPr>
          <w:szCs w:val="22"/>
          <w:lang w:val="en-GB"/>
        </w:rPr>
        <w:t>The following diagram represents the Vendor Alpha T &amp; T team for managing, conducting and performing the T &amp; T Program:</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rPr>
        <w:drawing>
          <wp:inline distT="0" distB="0" distL="0" distR="0">
            <wp:extent cx="5375910" cy="2762885"/>
            <wp:effectExtent l="0" t="0" r="0" b="0"/>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12"/>
                    <a:srcRect l="-5" t="-10" r="-5" b="-10"/>
                    <a:stretch>
                      <a:fillRect/>
                    </a:stretch>
                  </pic:blipFill>
                  <pic:spPr bwMode="auto">
                    <a:xfrm>
                      <a:off x="0" y="0"/>
                      <a:ext cx="5375910" cy="276288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tabs>
          <w:tab w:val="clear" w:pos="720"/>
          <w:tab w:val="left" w:pos="1440" w:leader="none"/>
        </w:tabs>
        <w:ind w:hanging="0" w:start="0"/>
        <w:rPr>
          <w:rFonts w:ascii="Times New Roman" w:hAnsi="Times New Roman" w:cs="Times New Roman"/>
          <w:sz w:val="22"/>
          <w:szCs w:val="22"/>
          <w:lang w:val="en-GB"/>
        </w:rPr>
      </w:pPr>
      <w:bookmarkStart w:id="18" w:name="__RefHeading___Toc151286395"/>
      <w:bookmarkEnd w:id="18"/>
      <w:r>
        <w:rPr>
          <w:rFonts w:cs="Times New Roman" w:ascii="Times New Roman" w:hAnsi="Times New Roman"/>
          <w:sz w:val="22"/>
          <w:szCs w:val="22"/>
          <w:lang w:val="en-GB"/>
        </w:rPr>
        <w:t>TRANSITION AND TRANSFORMATION ROLES – TelCo</w:t>
      </w:r>
    </w:p>
    <w:p>
      <w:pPr>
        <w:pStyle w:val="Normal"/>
        <w:spacing w:before="0" w:after="0"/>
        <w:jc w:val="both"/>
        <w:rPr/>
      </w:pPr>
      <w:r>
        <w:rPr>
          <w:szCs w:val="22"/>
          <w:lang w:val="en-GB"/>
        </w:rPr>
        <w:t>The following diagram represents the TelCo T &amp; T team for managing, conducting and performing the T &amp; T Program:</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rPr>
        <w:drawing>
          <wp:inline distT="0" distB="0" distL="0" distR="0">
            <wp:extent cx="5369560" cy="2823845"/>
            <wp:effectExtent l="0" t="0" r="0" b="0"/>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13"/>
                    <a:srcRect l="-5" t="-9" r="-5" b="-9"/>
                    <a:stretch>
                      <a:fillRect/>
                    </a:stretch>
                  </pic:blipFill>
                  <pic:spPr bwMode="auto">
                    <a:xfrm>
                      <a:off x="0" y="0"/>
                      <a:ext cx="5369560" cy="282384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Heading2Numbered"/>
        <w:numPr>
          <w:ilvl w:val="1"/>
          <w:numId w:val="2"/>
        </w:numPr>
        <w:tabs>
          <w:tab w:val="clear" w:pos="720"/>
          <w:tab w:val="left" w:pos="1440" w:leader="none"/>
        </w:tabs>
        <w:ind w:hanging="0" w:start="0"/>
        <w:rPr>
          <w:rFonts w:ascii="Times New Roman" w:hAnsi="Times New Roman" w:cs="Times New Roman"/>
          <w:sz w:val="22"/>
          <w:szCs w:val="22"/>
          <w:lang w:val="en-GB"/>
        </w:rPr>
      </w:pPr>
      <w:bookmarkStart w:id="19" w:name="__RefHeading___Toc151286396"/>
      <w:r>
        <w:rPr>
          <w:rFonts w:cs="Times New Roman" w:ascii="Times New Roman" w:hAnsi="Times New Roman"/>
          <w:sz w:val="22"/>
          <w:szCs w:val="22"/>
          <w:lang w:val="en-GB"/>
        </w:rPr>
        <w:t xml:space="preserve">TRANSITION AND TRANSFORMATION ROLES – VENDOR GAMMA </w:t>
      </w:r>
      <w:bookmarkEnd w:id="19"/>
      <w:r>
        <w:rPr>
          <w:rFonts w:cs="Times New Roman" w:ascii="Times New Roman" w:hAnsi="Times New Roman"/>
          <w:sz w:val="22"/>
          <w:szCs w:val="22"/>
          <w:lang w:val="en-GB"/>
        </w:rPr>
      </w:r>
    </w:p>
    <w:p>
      <w:pPr>
        <w:pStyle w:val="Normal"/>
        <w:spacing w:before="0" w:after="0"/>
        <w:jc w:val="both"/>
        <w:rPr/>
      </w:pPr>
      <w:r>
        <w:rPr>
          <w:szCs w:val="22"/>
          <w:lang w:val="en-GB"/>
        </w:rPr>
        <w:t>The following diagram represents the Vendor Gamma T &amp; T team for managing, conducting and performing the T &amp; T Program:</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rPr>
        <w:drawing>
          <wp:inline distT="0" distB="0" distL="0" distR="0">
            <wp:extent cx="5375275" cy="3136265"/>
            <wp:effectExtent l="0" t="0" r="0" b="0"/>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4"/>
                    <a:srcRect l="-5" t="-8" r="-5" b="-8"/>
                    <a:stretch>
                      <a:fillRect/>
                    </a:stretch>
                  </pic:blipFill>
                  <pic:spPr bwMode="auto">
                    <a:xfrm>
                      <a:off x="0" y="0"/>
                      <a:ext cx="5375275" cy="313626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Heading1Numbered"/>
        <w:numPr>
          <w:ilvl w:val="0"/>
          <w:numId w:val="2"/>
        </w:numPr>
        <w:tabs>
          <w:tab w:val="clear" w:pos="720"/>
          <w:tab w:val="left" w:pos="1440" w:leader="none"/>
        </w:tabs>
        <w:ind w:hanging="0" w:start="0"/>
        <w:jc w:val="both"/>
        <w:rPr>
          <w:rFonts w:ascii="Times New Roman" w:hAnsi="Times New Roman" w:cs="Times New Roman"/>
          <w:bCs/>
          <w:sz w:val="22"/>
          <w:szCs w:val="22"/>
          <w:lang w:val="en-GB"/>
        </w:rPr>
      </w:pPr>
      <w:bookmarkStart w:id="20" w:name="__RefHeading___Toc151286397"/>
      <w:bookmarkEnd w:id="20"/>
      <w:r>
        <w:rPr>
          <w:rFonts w:cs="Times New Roman" w:ascii="Times New Roman" w:hAnsi="Times New Roman"/>
          <w:bCs/>
          <w:sz w:val="22"/>
          <w:szCs w:val="22"/>
          <w:lang w:val="en-GB"/>
        </w:rPr>
        <w:t>EuroBank ROLES AND RESPONSIBILITIES</w:t>
      </w:r>
    </w:p>
    <w:p>
      <w:pPr>
        <w:pStyle w:val="Normal"/>
        <w:spacing w:before="0" w:after="0"/>
        <w:jc w:val="both"/>
        <w:rPr/>
      </w:pPr>
      <w:r>
        <w:rPr>
          <w:szCs w:val="22"/>
          <w:lang w:val="en-GB"/>
        </w:rPr>
        <w:t xml:space="preserve">All roles and responsibilities of EuroBank personnel supporting the T&amp;T Program are not described below, although these supporting roles are mentioned (if possible) in Exhibit 30 (Transition &amp; Transformation), Attachment 30-A (Transition Plan) and Attachment 30-B (Transformation Plan). </w:t>
      </w:r>
      <w:r>
        <w:rPr>
          <w:i/>
          <w:szCs w:val="22"/>
          <w:lang w:val="en-GB"/>
        </w:rPr>
      </w:r>
      <w:r>
        <w:rPr>
          <w:szCs w:val="22"/>
          <w:lang w:val="en-GB"/>
        </w:rPr>
      </w:r>
      <w:r>
        <w:rPr>
          <w:i/>
          <w:szCs w:val="22"/>
          <w:lang w:val="en-GB"/>
        </w:rPr>
      </w:r>
      <w:r>
        <w:rPr>
          <w:szCs w:val="22"/>
          <w:lang w:val="en-GB"/>
        </w:rPr>
      </w:r>
      <w:r>
        <w:rPr>
          <w:i/>
          <w:szCs w:val="22"/>
          <w:lang w:val="en-GB"/>
        </w:rPr>
      </w:r>
      <w:r>
        <w:rPr>
          <w:szCs w:val="22"/>
          <w:lang w:val="en-GB"/>
        </w:rPr>
      </w:r>
    </w:p>
    <w:p>
      <w:pPr>
        <w:pStyle w:val="Heading3Numbered"/>
        <w:numPr>
          <w:ilvl w:val="2"/>
          <w:numId w:val="2"/>
        </w:numPr>
        <w:tabs>
          <w:tab w:val="clear" w:pos="720"/>
        </w:tabs>
        <w:ind w:hanging="720" w:start="1440" w:end="0"/>
        <w:rPr>
          <w:sz w:val="22"/>
          <w:szCs w:val="22"/>
          <w:lang w:val="en-GB"/>
        </w:rPr>
      </w:pPr>
      <w:bookmarkStart w:id="21" w:name="__RefHeading___Toc151286398"/>
      <w:r>
        <w:rPr>
          <w:sz w:val="22"/>
          <w:szCs w:val="22"/>
          <w:lang w:val="en-GB"/>
        </w:rPr>
        <w:t xml:space="preserve">EuroBank T &amp; T Manager </w:t>
      </w:r>
      <w:bookmarkEnd w:id="21"/>
      <w:r>
        <w:rPr>
          <w:sz w:val="22"/>
          <w:szCs w:val="22"/>
          <w:lang w:val="en-GB"/>
        </w:rPr>
      </w:r>
    </w:p>
    <w:p>
      <w:pPr>
        <w:pStyle w:val="Normal"/>
        <w:spacing w:before="0" w:after="0"/>
        <w:ind w:hanging="720" w:start="1440" w:end="0"/>
        <w:jc w:val="both"/>
        <w:rPr/>
      </w:pPr>
      <w:r>
        <w:rPr>
          <w:szCs w:val="22"/>
          <w:lang w:val="en-GB"/>
        </w:rPr>
        <w:t>•</w:t>
      </w:r>
      <w:r>
        <w:rPr>
          <w:szCs w:val="22"/>
          <w:lang w:val="en-GB"/>
        </w:rPr>
        <w:tab/>
        <w:t>Provide information about In Scope Services, as required, for successful Transition and Transformation</w:t>
      </w:r>
    </w:p>
    <w:p>
      <w:pPr>
        <w:pStyle w:val="Normal"/>
        <w:spacing w:before="0" w:after="0"/>
        <w:ind w:hanging="720" w:start="1440" w:end="0"/>
        <w:jc w:val="both"/>
        <w:rPr>
          <w:szCs w:val="22"/>
          <w:lang w:val="en-GB"/>
        </w:rPr>
      </w:pPr>
      <w:r>
        <w:rPr>
          <w:szCs w:val="22"/>
          <w:lang w:val="en-GB"/>
        </w:rPr>
        <w:t>•</w:t>
        <w:tab/>
        <w:t>Co-ordinate the EuroBank T &amp; T activities</w:t>
      </w:r>
      <w:r>
        <w:rPr>
          <w:szCs w:val="22"/>
          <w:lang w:val="en-GB"/>
        </w:rPr>
      </w:r>
    </w:p>
    <w:p>
      <w:pPr>
        <w:pStyle w:val="Normal"/>
        <w:spacing w:before="0" w:after="0"/>
        <w:ind w:hanging="720" w:start="1440" w:end="0"/>
        <w:jc w:val="both"/>
        <w:rPr/>
      </w:pPr>
      <w:r>
        <w:rPr>
          <w:szCs w:val="22"/>
          <w:lang w:val="en-GB"/>
        </w:rPr>
        <w:t>•</w:t>
      </w:r>
      <w:r>
        <w:rPr>
          <w:szCs w:val="22"/>
          <w:lang w:val="en-GB"/>
        </w:rPr>
        <w:tab/>
        <w:t>Review and approve T &amp; T Deliverables</w:t>
      </w:r>
    </w:p>
    <w:p>
      <w:pPr>
        <w:pStyle w:val="Normal"/>
        <w:spacing w:before="0" w:after="0"/>
        <w:ind w:hanging="720" w:start="1440" w:end="0"/>
        <w:jc w:val="both"/>
        <w:rPr>
          <w:szCs w:val="22"/>
          <w:lang w:val="en-GB"/>
        </w:rPr>
      </w:pPr>
      <w:r>
        <w:rPr>
          <w:szCs w:val="22"/>
          <w:lang w:val="en-GB"/>
        </w:rPr>
        <w:t>•</w:t>
        <w:tab/>
        <w:t>Provide a daily interface into EuroBank</w:t>
      </w:r>
      <w:r>
        <w:rPr>
          <w:szCs w:val="22"/>
          <w:lang w:val="en-GB"/>
        </w:rPr>
      </w:r>
    </w:p>
    <w:p>
      <w:pPr>
        <w:pStyle w:val="Normal"/>
        <w:spacing w:before="0" w:after="0"/>
        <w:ind w:hanging="720" w:start="1440" w:end="0"/>
        <w:jc w:val="both"/>
        <w:rPr/>
      </w:pPr>
      <w:r>
        <w:rPr>
          <w:szCs w:val="22"/>
          <w:lang w:val="en-GB"/>
        </w:rPr>
        <w:t>•</w:t>
        <w:tab/>
        <w:t>Participate in the weekly EuroBank/PST governance bodies</w:t>
      </w:r>
      <w:r>
        <w:rPr>
          <w:szCs w:val="22"/>
          <w:lang w:val="en-GB"/>
        </w:rPr>
      </w:r>
    </w:p>
    <w:p>
      <w:pPr>
        <w:pStyle w:val="Normal"/>
        <w:spacing w:before="0" w:after="0"/>
        <w:ind w:hanging="720" w:start="1440" w:end="0"/>
        <w:jc w:val="both"/>
        <w:rPr>
          <w:szCs w:val="22"/>
          <w:lang w:val="en-GB"/>
        </w:rPr>
      </w:pPr>
      <w:r>
        <w:rPr>
          <w:szCs w:val="22"/>
          <w:lang w:val="en-GB"/>
        </w:rPr>
        <w:t>•</w:t>
        <w:tab/>
        <w:t>Support EuroBank internal T &amp; T-related communications</w:t>
      </w:r>
      <w:r>
        <w:rPr>
          <w:szCs w:val="22"/>
          <w:lang w:val="en-GB"/>
        </w:rPr>
      </w:r>
    </w:p>
    <w:p>
      <w:pPr>
        <w:pStyle w:val="Normal"/>
        <w:spacing w:before="0" w:after="0"/>
        <w:ind w:hanging="720" w:start="1440" w:end="0"/>
        <w:jc w:val="both"/>
        <w:rPr>
          <w:szCs w:val="22"/>
          <w:lang w:val="en-GB"/>
        </w:rPr>
      </w:pPr>
      <w:r>
        <w:rPr>
          <w:szCs w:val="22"/>
          <w:lang w:val="en-GB"/>
        </w:rPr>
        <w:t>•</w:t>
        <w:tab/>
        <w:t>Advise PST on successfully navigating in EuroBank’s culture</w:t>
      </w:r>
      <w:r>
        <w:rPr>
          <w:szCs w:val="22"/>
          <w:lang w:val="en-GB"/>
        </w:rPr>
      </w:r>
    </w:p>
    <w:p>
      <w:pPr>
        <w:pStyle w:val="Normal"/>
        <w:spacing w:before="0" w:after="0"/>
        <w:ind w:hanging="720" w:start="1440" w:end="0"/>
        <w:jc w:val="both"/>
        <w:rPr/>
      </w:pPr>
      <w:r>
        <w:rPr>
          <w:szCs w:val="22"/>
          <w:lang w:val="en-GB"/>
        </w:rPr>
        <w:t>•</w:t>
        <w:tab/>
        <w:t>Ensure provision of office facilities for T &amp; T resources, co-located at EuroBank’s premises</w:t>
      </w: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Facilitate on-site visits as required for a successful employee transfer under the ETA</w:t>
      </w:r>
    </w:p>
    <w:p>
      <w:pPr>
        <w:pStyle w:val="Normal"/>
        <w:spacing w:before="0" w:after="0"/>
        <w:ind w:hanging="720" w:start="1440" w:end="0"/>
        <w:jc w:val="both"/>
        <w:rPr>
          <w:szCs w:val="22"/>
          <w:lang w:val="en-GB"/>
        </w:rPr>
      </w:pPr>
      <w:r>
        <w:rPr>
          <w:szCs w:val="22"/>
          <w:lang w:val="en-GB"/>
        </w:rPr>
        <w:t>•</w:t>
        <w:tab/>
        <w:t>Make EuroBank personnel available as required for a successful employee transfer under the ETA</w:t>
      </w:r>
      <w:r>
        <w:rPr>
          <w:szCs w:val="22"/>
          <w:lang w:val="en-GB"/>
        </w:rPr>
      </w:r>
    </w:p>
    <w:p>
      <w:pPr>
        <w:pStyle w:val="Normal"/>
        <w:spacing w:before="0" w:after="0"/>
        <w:ind w:hanging="720" w:start="1440" w:end="0"/>
        <w:jc w:val="both"/>
        <w:rPr/>
      </w:pPr>
      <w:r>
        <w:rPr>
          <w:szCs w:val="22"/>
          <w:lang w:val="en-GB"/>
        </w:rPr>
        <w:t>•</w:t>
        <w:tab/>
        <w:t>Be the EuroBank T &amp; T support lead</w:t>
      </w:r>
      <w:r>
        <w:rPr>
          <w:szCs w:val="22"/>
          <w:lang w:val="en-GB"/>
        </w:rPr>
      </w:r>
    </w:p>
    <w:p>
      <w:pPr>
        <w:pStyle w:val="Heading3Numbered"/>
        <w:numPr>
          <w:ilvl w:val="2"/>
          <w:numId w:val="2"/>
        </w:numPr>
        <w:tabs>
          <w:tab w:val="clear" w:pos="720"/>
        </w:tabs>
        <w:ind w:hanging="720" w:start="1440" w:end="0"/>
        <w:rPr>
          <w:sz w:val="22"/>
          <w:szCs w:val="22"/>
          <w:lang w:val="en-GB"/>
        </w:rPr>
      </w:pPr>
      <w:bookmarkStart w:id="22" w:name="__RefHeading___Toc151286399"/>
      <w:bookmarkEnd w:id="22"/>
      <w:r>
        <w:rPr>
          <w:sz w:val="22"/>
          <w:szCs w:val="22"/>
          <w:lang w:val="en-GB"/>
        </w:rPr>
        <w:t>EuroBank Business Representatives (BSD)</w:t>
      </w:r>
    </w:p>
    <w:p>
      <w:pPr>
        <w:pStyle w:val="Normal"/>
        <w:spacing w:before="0" w:after="0"/>
        <w:ind w:hanging="720" w:start="1440" w:end="0"/>
        <w:jc w:val="both"/>
        <w:rPr>
          <w:szCs w:val="22"/>
          <w:lang w:val="en-GB"/>
        </w:rPr>
      </w:pPr>
      <w:r>
        <w:rPr>
          <w:szCs w:val="22"/>
          <w:lang w:val="en-GB"/>
        </w:rPr>
        <w:t>•</w:t>
      </w:r>
      <w:r>
        <w:rPr>
          <w:szCs w:val="22"/>
          <w:lang w:val="en-GB"/>
        </w:rPr>
        <w:tab/>
        <w:t>Be a key relationship manager between the business stakeholders and PST</w:t>
      </w:r>
    </w:p>
    <w:p>
      <w:pPr>
        <w:pStyle w:val="Normal"/>
        <w:spacing w:before="0" w:after="0"/>
        <w:ind w:hanging="720" w:start="1440" w:end="0"/>
        <w:jc w:val="both"/>
        <w:rPr/>
      </w:pPr>
      <w:r>
        <w:rPr>
          <w:szCs w:val="22"/>
          <w:lang w:val="en-GB"/>
        </w:rPr>
        <w:t>•</w:t>
      </w:r>
      <w:r>
        <w:rPr>
          <w:szCs w:val="22"/>
          <w:lang w:val="en-GB"/>
        </w:rPr>
        <w:tab/>
        <w:t>Clarify and agree upon business requirements related to T &amp; T / SWS Function scope</w:t>
      </w:r>
    </w:p>
    <w:p>
      <w:pPr>
        <w:pStyle w:val="Normal"/>
        <w:spacing w:before="0" w:after="0"/>
        <w:ind w:hanging="720" w:start="1440" w:end="0"/>
        <w:jc w:val="both"/>
        <w:rPr>
          <w:szCs w:val="22"/>
          <w:lang w:val="en-GB"/>
        </w:rPr>
      </w:pPr>
      <w:r>
        <w:rPr>
          <w:szCs w:val="22"/>
          <w:lang w:val="en-GB"/>
        </w:rPr>
        <w:t>•</w:t>
        <w:tab/>
        <w:t>Act as an interface between the EuroBank business and PST, to align T &amp; T activities with important business dates</w:t>
      </w:r>
      <w:r>
        <w:rPr>
          <w:szCs w:val="22"/>
          <w:lang w:val="en-GB"/>
        </w:rPr>
      </w:r>
    </w:p>
    <w:p>
      <w:pPr>
        <w:pStyle w:val="Normal"/>
        <w:spacing w:before="0" w:after="0"/>
        <w:ind w:hanging="720" w:start="1440" w:end="0"/>
        <w:jc w:val="both"/>
        <w:rPr>
          <w:szCs w:val="22"/>
          <w:lang w:val="en-GB"/>
        </w:rPr>
      </w:pPr>
      <w:r>
        <w:rPr>
          <w:szCs w:val="22"/>
          <w:lang w:val="en-GB"/>
        </w:rPr>
        <w:t>•</w:t>
        <w:tab/>
        <w:t xml:space="preserve">Role will be fulfilled by EuroBank Infra BSD staff </w:t>
      </w:r>
      <w:r>
        <w:rPr>
          <w:szCs w:val="22"/>
          <w:lang w:val="en-GB"/>
        </w:rPr>
      </w:r>
    </w:p>
    <w:p>
      <w:pPr>
        <w:pStyle w:val="Normal"/>
        <w:spacing w:before="0" w:after="0"/>
        <w:ind w:hanging="720" w:start="1440" w:end="0"/>
        <w:jc w:val="both"/>
        <w:rPr/>
      </w:pPr>
      <w:r>
        <w:rPr>
          <w:szCs w:val="22"/>
          <w:lang w:val="en-GB"/>
        </w:rPr>
        <w:t>•</w:t>
        <w:tab/>
        <w:t>One SPOC towards EuroBank business (Insurance, Retail, Wholesale)</w:t>
      </w:r>
      <w:r>
        <w:rPr>
          <w:szCs w:val="22"/>
          <w:lang w:val="en-GB"/>
        </w:rPr>
      </w:r>
    </w:p>
    <w:p>
      <w:pPr>
        <w:pStyle w:val="Heading3Numbered"/>
        <w:numPr>
          <w:ilvl w:val="2"/>
          <w:numId w:val="2"/>
        </w:numPr>
        <w:tabs>
          <w:tab w:val="clear" w:pos="720"/>
        </w:tabs>
        <w:ind w:hanging="720" w:start="1440" w:end="0"/>
        <w:rPr>
          <w:sz w:val="22"/>
          <w:szCs w:val="22"/>
          <w:lang w:val="en-GB"/>
        </w:rPr>
      </w:pPr>
      <w:bookmarkStart w:id="23" w:name="__RefHeading___Toc151286400"/>
      <w:r>
        <w:rPr>
          <w:sz w:val="22"/>
          <w:szCs w:val="22"/>
          <w:lang w:val="en-GB"/>
        </w:rPr>
        <w:t xml:space="preserve">EuroBank Communication Lead </w:t>
      </w:r>
      <w:bookmarkEnd w:id="23"/>
      <w:r>
        <w:rPr>
          <w:sz w:val="22"/>
          <w:szCs w:val="22"/>
          <w:lang w:val="en-GB"/>
        </w:rPr>
      </w:r>
    </w:p>
    <w:p>
      <w:pPr>
        <w:pStyle w:val="Normal"/>
        <w:spacing w:before="0" w:after="0"/>
        <w:ind w:hanging="720" w:start="1440" w:end="0"/>
        <w:jc w:val="both"/>
        <w:rPr/>
      </w:pPr>
      <w:r>
        <w:rPr>
          <w:szCs w:val="22"/>
          <w:lang w:val="en-GB"/>
        </w:rPr>
        <w:t>•</w:t>
      </w:r>
      <w:r>
        <w:rPr>
          <w:szCs w:val="22"/>
          <w:lang w:val="en-GB"/>
        </w:rPr>
        <w:tab/>
        <w:t>Liaise with Communication Stream to prepare the communication plan</w:t>
      </w:r>
    </w:p>
    <w:p>
      <w:pPr>
        <w:pStyle w:val="Normal"/>
        <w:spacing w:before="0" w:after="0"/>
        <w:ind w:hanging="720" w:start="1440" w:end="0"/>
        <w:jc w:val="both"/>
        <w:rPr>
          <w:szCs w:val="22"/>
          <w:lang w:val="en-GB"/>
        </w:rPr>
      </w:pPr>
      <w:r>
        <w:rPr>
          <w:szCs w:val="22"/>
          <w:lang w:val="en-GB"/>
        </w:rPr>
        <w:t>•</w:t>
        <w:tab/>
        <w:t>Facilitate access to EuroBank staff as required for communications</w:t>
      </w: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Explain and facilitate access to existing communication methods and tools (e.g. intranet)</w:t>
      </w:r>
    </w:p>
    <w:p>
      <w:pPr>
        <w:pStyle w:val="Heading3Numbered"/>
        <w:numPr>
          <w:ilvl w:val="2"/>
          <w:numId w:val="2"/>
        </w:numPr>
        <w:tabs>
          <w:tab w:val="clear" w:pos="720"/>
        </w:tabs>
        <w:ind w:hanging="720" w:start="1440" w:end="0"/>
        <w:rPr>
          <w:sz w:val="22"/>
          <w:szCs w:val="22"/>
          <w:lang w:val="en-GB"/>
        </w:rPr>
      </w:pPr>
      <w:bookmarkStart w:id="24" w:name="__RefHeading___Toc151286401"/>
      <w:bookmarkEnd w:id="24"/>
      <w:r>
        <w:rPr>
          <w:sz w:val="22"/>
          <w:szCs w:val="22"/>
          <w:lang w:val="en-GB"/>
        </w:rPr>
        <w:t>EuroBank HR Lead</w:t>
      </w:r>
    </w:p>
    <w:p>
      <w:pPr>
        <w:pStyle w:val="Normal"/>
        <w:spacing w:before="0" w:after="0"/>
        <w:ind w:hanging="720" w:start="1440" w:end="0"/>
        <w:jc w:val="both"/>
        <w:rPr/>
      </w:pPr>
      <w:r>
        <w:rPr>
          <w:szCs w:val="22"/>
          <w:lang w:val="en-GB"/>
        </w:rPr>
        <w:t>•</w:t>
      </w:r>
      <w:r>
        <w:rPr>
          <w:szCs w:val="22"/>
          <w:lang w:val="en-GB"/>
        </w:rPr>
        <w:tab/>
        <w:t xml:space="preserve">Provide all people-related information, like salaries, benefits, skills, etc. as required for a successful transfer </w:t>
      </w:r>
    </w:p>
    <w:p>
      <w:pPr>
        <w:pStyle w:val="Normal"/>
        <w:spacing w:before="0" w:after="0"/>
        <w:ind w:hanging="720" w:start="1440" w:end="0"/>
        <w:jc w:val="both"/>
        <w:rPr/>
      </w:pPr>
      <w:r>
        <w:rPr>
          <w:szCs w:val="22"/>
          <w:lang w:val="en-GB"/>
        </w:rPr>
        <w:t>•</w:t>
      </w:r>
      <w:r>
        <w:rPr>
          <w:szCs w:val="22"/>
          <w:lang w:val="en-GB"/>
        </w:rPr>
        <w:tab/>
        <w:t>Provide list of (Critical) Affected Employees, including their activities and the Bundle allocations.</w:t>
      </w:r>
    </w:p>
    <w:p>
      <w:pPr>
        <w:pStyle w:val="Normal"/>
        <w:spacing w:before="0" w:after="0"/>
        <w:ind w:hanging="720" w:start="1440" w:end="0"/>
        <w:jc w:val="both"/>
        <w:rPr/>
      </w:pPr>
      <w:r>
        <w:rPr>
          <w:szCs w:val="22"/>
          <w:lang w:val="en-GB"/>
        </w:rPr>
        <w:t>•</w:t>
      </w:r>
      <w:r>
        <w:rPr>
          <w:szCs w:val="22"/>
          <w:lang w:val="en-GB"/>
        </w:rPr>
        <w:tab/>
        <w:t>Provide individual data on employees In Scope (contracts, personnel files, current functions)</w:t>
      </w:r>
    </w:p>
    <w:p>
      <w:pPr>
        <w:pStyle w:val="Normal"/>
        <w:spacing w:before="0" w:after="0"/>
        <w:ind w:hanging="720" w:start="1440" w:end="0"/>
        <w:jc w:val="both"/>
        <w:rPr/>
      </w:pPr>
      <w:r>
        <w:rPr>
          <w:szCs w:val="22"/>
          <w:lang w:val="en-GB"/>
        </w:rPr>
        <w:t>•</w:t>
      </w:r>
      <w:r>
        <w:rPr>
          <w:szCs w:val="22"/>
          <w:lang w:val="en-GB"/>
        </w:rPr>
        <w:tab/>
        <w:t>Register the deal at SER Fusie Code Committee</w:t>
      </w:r>
    </w:p>
    <w:p>
      <w:pPr>
        <w:pStyle w:val="Normal"/>
        <w:spacing w:before="0" w:after="0"/>
        <w:ind w:hanging="720" w:start="1440" w:end="0"/>
        <w:jc w:val="both"/>
        <w:rPr/>
      </w:pPr>
      <w:r>
        <w:rPr>
          <w:szCs w:val="22"/>
          <w:lang w:val="en-GB"/>
        </w:rPr>
        <w:t>•</w:t>
        <w:tab/>
        <w:t>Prepare the “Request for Advice” for the Works Council EuroBank</w:t>
      </w:r>
      <w:r>
        <w:rPr>
          <w:szCs w:val="22"/>
          <w:lang w:val="en-GB"/>
        </w:rPr>
      </w:r>
    </w:p>
    <w:p>
      <w:pPr>
        <w:pStyle w:val="Normal"/>
        <w:spacing w:before="0" w:after="0"/>
        <w:ind w:hanging="720" w:start="1440" w:end="0"/>
        <w:jc w:val="both"/>
        <w:rPr>
          <w:szCs w:val="22"/>
          <w:lang w:val="en-GB"/>
        </w:rPr>
      </w:pPr>
      <w:r>
        <w:rPr>
          <w:szCs w:val="22"/>
          <w:lang w:val="en-GB"/>
        </w:rPr>
        <w:t>•</w:t>
        <w:tab/>
        <w:t>Compare pension schemes EuroBank - PST</w:t>
      </w:r>
      <w:r>
        <w:rPr>
          <w:szCs w:val="22"/>
          <w:lang w:val="en-GB"/>
        </w:rPr>
      </w:r>
    </w:p>
    <w:p>
      <w:pPr>
        <w:pStyle w:val="Normal"/>
        <w:spacing w:before="0" w:after="0"/>
        <w:ind w:hanging="720" w:start="1440" w:end="0"/>
        <w:jc w:val="both"/>
        <w:rPr/>
      </w:pPr>
      <w:r>
        <w:rPr>
          <w:szCs w:val="22"/>
          <w:lang w:val="en-GB"/>
        </w:rPr>
        <w:t>•</w:t>
      </w:r>
      <w:r>
        <w:rPr>
          <w:szCs w:val="22"/>
          <w:lang w:val="en-GB"/>
        </w:rPr>
        <w:tab/>
        <w:t>Liaise with HR work stream to facilitate all HR questions being sufficiently answered and HR-related issues being resolved</w:t>
      </w:r>
    </w:p>
    <w:p>
      <w:pPr>
        <w:pStyle w:val="Normal"/>
        <w:spacing w:before="0" w:after="0"/>
        <w:ind w:hanging="720" w:start="1440" w:end="0"/>
        <w:jc w:val="both"/>
        <w:rPr/>
      </w:pPr>
      <w:r>
        <w:rPr>
          <w:szCs w:val="22"/>
          <w:lang w:val="en-GB"/>
        </w:rPr>
        <w:t>•</w:t>
        <w:tab/>
        <w:t>Consult EuroBank’s employees affected by the transition in HR-related questions</w:t>
      </w:r>
      <w:r>
        <w:rPr>
          <w:szCs w:val="22"/>
          <w:lang w:val="en-GB"/>
        </w:rPr>
      </w:r>
    </w:p>
    <w:p>
      <w:pPr>
        <w:pStyle w:val="Normal"/>
        <w:spacing w:before="0" w:after="0"/>
        <w:ind w:hanging="720" w:start="1440" w:end="0"/>
        <w:jc w:val="both"/>
        <w:rPr/>
      </w:pPr>
      <w:r>
        <w:rPr>
          <w:szCs w:val="22"/>
          <w:lang w:val="en-GB"/>
        </w:rPr>
        <w:t>•</w:t>
      </w:r>
      <w:r>
        <w:rPr>
          <w:szCs w:val="22"/>
          <w:lang w:val="en-GB"/>
        </w:rPr>
        <w:tab/>
        <w:t>Liaise and agree with Unions on all HR-related topics</w:t>
      </w:r>
    </w:p>
    <w:p>
      <w:pPr>
        <w:pStyle w:val="Heading3Numbered"/>
        <w:numPr>
          <w:ilvl w:val="2"/>
          <w:numId w:val="2"/>
        </w:numPr>
        <w:tabs>
          <w:tab w:val="clear" w:pos="720"/>
        </w:tabs>
        <w:ind w:hanging="720" w:start="1440" w:end="0"/>
        <w:rPr>
          <w:sz w:val="22"/>
          <w:szCs w:val="22"/>
          <w:lang w:val="en-GB"/>
        </w:rPr>
      </w:pPr>
      <w:bookmarkStart w:id="25" w:name="__RefHeading___Toc151286402"/>
      <w:r>
        <w:rPr>
          <w:sz w:val="22"/>
          <w:szCs w:val="22"/>
          <w:lang w:val="en-GB"/>
        </w:rPr>
        <w:t xml:space="preserve">EuroBank Contract Management Lead </w:t>
      </w:r>
      <w:bookmarkEnd w:id="25"/>
      <w:r>
        <w:rPr>
          <w:sz w:val="22"/>
          <w:szCs w:val="22"/>
          <w:lang w:val="en-GB"/>
        </w:rPr>
      </w:r>
    </w:p>
    <w:p>
      <w:pPr>
        <w:pStyle w:val="Normal"/>
        <w:spacing w:before="0" w:after="0"/>
        <w:ind w:hanging="720" w:start="1440" w:end="0"/>
        <w:jc w:val="both"/>
        <w:rPr/>
      </w:pPr>
      <w:r>
        <w:rPr>
          <w:szCs w:val="22"/>
          <w:lang w:val="en-GB"/>
        </w:rPr>
        <w:t>•</w:t>
        <w:tab/>
        <w:t>Provide understanding of, and access to, the current contractual arrangements and license agreements, both within EuroBank and with other Third Parties</w:t>
      </w: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Facilitate in transferring, extending or exiting contracts and licenses as defined during the T &amp; T Program</w:t>
      </w:r>
    </w:p>
    <w:p>
      <w:pPr>
        <w:pStyle w:val="Normal"/>
        <w:spacing w:before="0" w:after="0"/>
        <w:ind w:hanging="720" w:start="1440" w:end="0"/>
        <w:jc w:val="both"/>
        <w:rPr/>
      </w:pPr>
      <w:r>
        <w:rPr>
          <w:szCs w:val="22"/>
          <w:lang w:val="en-GB"/>
        </w:rPr>
        <w:t>•</w:t>
      </w:r>
      <w:r>
        <w:rPr>
          <w:szCs w:val="22"/>
          <w:lang w:val="en-GB"/>
        </w:rPr>
        <w:tab/>
        <w:t xml:space="preserve">Manage the execution of the agreed “right-to-manage” Third Party Contracts  </w:t>
      </w:r>
    </w:p>
    <w:p>
      <w:pPr>
        <w:pStyle w:val="Normal"/>
        <w:spacing w:before="0" w:after="0"/>
        <w:ind w:hanging="720" w:start="1440" w:end="0"/>
        <w:jc w:val="both"/>
        <w:rPr>
          <w:szCs w:val="22"/>
          <w:lang w:val="en-GB"/>
        </w:rPr>
      </w:pPr>
      <w:r>
        <w:rPr>
          <w:szCs w:val="22"/>
          <w:lang w:val="en-GB"/>
        </w:rPr>
        <w:t>•</w:t>
      </w:r>
      <w:r>
        <w:rPr>
          <w:szCs w:val="22"/>
          <w:lang w:val="en-GB"/>
        </w:rPr>
        <w:tab/>
        <w:t>Ensure that PST receives a “right-to-use” for agreed software licenses which are required to provide the Services</w:t>
      </w:r>
    </w:p>
    <w:p>
      <w:pPr>
        <w:pStyle w:val="Heading3Numbered"/>
        <w:numPr>
          <w:ilvl w:val="2"/>
          <w:numId w:val="2"/>
        </w:numPr>
        <w:tabs>
          <w:tab w:val="clear" w:pos="720"/>
          <w:tab w:val="left" w:pos="1440" w:leader="none"/>
        </w:tabs>
        <w:ind w:hanging="720" w:start="1440" w:end="0"/>
        <w:rPr>
          <w:sz w:val="22"/>
          <w:szCs w:val="22"/>
          <w:lang w:val="en-GB"/>
        </w:rPr>
      </w:pPr>
      <w:bookmarkStart w:id="26" w:name="__RefHeading___Toc151286403"/>
      <w:r>
        <w:rPr>
          <w:sz w:val="22"/>
          <w:szCs w:val="22"/>
          <w:lang w:val="en-GB"/>
        </w:rPr>
        <w:t xml:space="preserve">EuroBank Finance Lead </w:t>
      </w:r>
      <w:bookmarkEnd w:id="26"/>
      <w:r>
        <w:rPr>
          <w:sz w:val="22"/>
          <w:szCs w:val="22"/>
          <w:lang w:val="en-GB"/>
        </w:rPr>
      </w:r>
    </w:p>
    <w:p>
      <w:pPr>
        <w:pStyle w:val="Normal"/>
        <w:spacing w:before="0" w:after="0"/>
        <w:ind w:hanging="720" w:start="1440" w:end="0"/>
        <w:jc w:val="both"/>
        <w:rPr>
          <w:szCs w:val="22"/>
          <w:lang w:val="en-GB"/>
        </w:rPr>
      </w:pPr>
      <w:r>
        <w:rPr>
          <w:szCs w:val="22"/>
          <w:lang w:val="en-GB"/>
        </w:rPr>
        <w:t>•</w:t>
        <w:tab/>
        <w:t>Provide EuroBank’s requirements to the billing process (billing address, required billing information, etc.)</w:t>
      </w:r>
      <w:r>
        <w:rPr>
          <w:szCs w:val="22"/>
          <w:lang w:val="en-GB"/>
        </w:rPr>
      </w:r>
    </w:p>
    <w:p>
      <w:pPr>
        <w:pStyle w:val="Normal"/>
        <w:spacing w:before="0" w:after="0"/>
        <w:ind w:hanging="720" w:start="1440" w:end="0"/>
        <w:jc w:val="both"/>
        <w:rPr>
          <w:szCs w:val="22"/>
          <w:lang w:val="en-GB"/>
        </w:rPr>
      </w:pPr>
      <w:r>
        <w:rPr>
          <w:szCs w:val="22"/>
          <w:lang w:val="en-GB"/>
        </w:rPr>
        <w:t>•</w:t>
        <w:tab/>
        <w:t>Facilitate access to EuroBank Finance staff when required</w:t>
      </w:r>
      <w:r>
        <w:rPr>
          <w:szCs w:val="22"/>
          <w:lang w:val="en-GB"/>
        </w:rPr>
      </w:r>
    </w:p>
    <w:p>
      <w:pPr>
        <w:pStyle w:val="Normal"/>
        <w:spacing w:before="0" w:after="0"/>
        <w:ind w:hanging="720" w:start="1440" w:end="0"/>
        <w:jc w:val="both"/>
        <w:rPr/>
      </w:pPr>
      <w:r>
        <w:rPr>
          <w:szCs w:val="22"/>
          <w:lang w:val="en-GB"/>
        </w:rPr>
        <w:t>•</w:t>
      </w:r>
      <w:r>
        <w:rPr>
          <w:szCs w:val="22"/>
          <w:lang w:val="en-GB"/>
        </w:rPr>
        <w:tab/>
        <w:t>Support the Finance Work stream</w:t>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27" w:name="__RefHeading___Toc151286404"/>
      <w:bookmarkEnd w:id="27"/>
      <w:r>
        <w:rPr>
          <w:rFonts w:cs="Times New Roman" w:ascii="Times New Roman" w:hAnsi="Times New Roman"/>
          <w:bCs/>
          <w:sz w:val="22"/>
          <w:szCs w:val="22"/>
          <w:lang w:val="en-GB"/>
        </w:rPr>
        <w:t>RACI</w:t>
      </w:r>
    </w:p>
    <w:p>
      <w:pPr>
        <w:pStyle w:val="Normal"/>
        <w:spacing w:before="0" w:after="0"/>
        <w:jc w:val="both"/>
        <w:rPr>
          <w:szCs w:val="22"/>
          <w:lang w:val="en-GB"/>
        </w:rPr>
      </w:pPr>
      <w:r>
        <w:rPr>
          <w:szCs w:val="22"/>
          <w:lang w:val="en-GB"/>
        </w:rPr>
        <w:t>The operational responsibilities and dates on which responsibilities will change are depicted in the diagram below:</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drawing>
          <wp:inline distT="0" distB="0" distL="0" distR="0">
            <wp:extent cx="5485765" cy="2618740"/>
            <wp:effectExtent l="0" t="0" r="0" b="0"/>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15"/>
                    <a:srcRect l="-4" t="-9" r="-4" b="-9"/>
                    <a:stretch>
                      <a:fillRect/>
                    </a:stretch>
                  </pic:blipFill>
                  <pic:spPr bwMode="auto">
                    <a:xfrm>
                      <a:off x="0" y="0"/>
                      <a:ext cx="5485765" cy="261874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EuroBank is to be consulted (“C”) and informed (“I”) on the “Transition and Transformation” where PST is responsible (“R”) and accountable (“A”).</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With regards to “Service and People”, EuroBank is responsible and accountable until Commencement Date, and is to be informed after the Commencement Date. PST has complementary responsibilities - to be consulted and informed until Commencement Date, and responsible and accountable after Commencement  Date.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sectPr>
      <w:headerReference w:type="default" r:id="rId16"/>
      <w:headerReference w:type="first" r:id="rId17"/>
      <w:footerReference w:type="default" r:id="rId18"/>
      <w:footerReference w:type="first" r:id="rId19"/>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28/11/2006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right" w:pos="84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10</w:t>
    </w:r>
    <w:r>
      <w:rPr>
        <w:sz w:val="16"/>
        <w:szCs w:val="16"/>
      </w:rPr>
      <w:fldChar w:fldCharType="end"/>
    </w:r>
    <w:r>
      <w:rPr>
        <w:sz w:val="16"/>
        <w:szCs w:val="16"/>
      </w:rPr>
      <w:t xml:space="preserve"> -</w:t>
      <w:tab/>
      <w:t>28/11/2006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lang w:val="fr-F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30-C (Roles &amp; Responsibilities Matrix) Final v2.0.doc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lang w:val="fr-F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30-C (Roles &amp; Responsibilities Matrix) Final v2.0.doc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1"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lang w:val="fr-F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30-C (Roles &amp; Responsibilities Matrix) Final v2.0.doc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2"/>
        <w:i w:val="false"/>
        <w:b/>
        <w:szCs w:val="22"/>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6">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2">
    <w:name w:val="WW8Num1z2"/>
    <w:qFormat/>
    <w:rPr>
      <w:rFonts w:ascii="Times New Roman" w:hAnsi="Times New Roman" w:cs="Times New Roman"/>
      <w:b/>
      <w:i w:val="false"/>
      <w:sz w:val="22"/>
      <w:szCs w:val="22"/>
    </w:rPr>
  </w:style>
  <w:style w:type="character" w:styleId="WW8Num1z3">
    <w:name w:val="WW8Num1z3"/>
    <w:qFormat/>
    <w:rPr>
      <w:rFonts w:ascii="Times New Roman Bold;Times New Roman" w:hAnsi="Times New Roman Bold;Times New Roman" w:cs="Times New Roman Bold;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Times New Roman" w:hAnsi="Times New Roman" w:cs="Times New Roman"/>
      <w:b w:val="false"/>
      <w:i w:val="false"/>
      <w:color w:val="000000"/>
      <w:sz w:val="22"/>
    </w:rPr>
  </w:style>
  <w:style w:type="character" w:styleId="WW8Num6z1">
    <w:name w:val="WW8Num6z1"/>
    <w:qFormat/>
    <w:rPr>
      <w:rFonts w:ascii="Times New Roman" w:hAnsi="Times New Roman" w:cs="Times New Roman"/>
      <w:b w:val="false"/>
      <w:i w:val="false"/>
      <w:sz w:val="22"/>
    </w:rPr>
  </w:style>
  <w:style w:type="character" w:styleId="WW8Num6z4">
    <w:name w:val="WW8Num6z4"/>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7"/>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6"/>
      </w:numPr>
    </w:pPr>
    <w:rPr>
      <w:bCs/>
    </w:rPr>
  </w:style>
  <w:style w:type="paragraph" w:styleId="TableLevel3Numbered">
    <w:name w:val="Table Level 3 Numbered"/>
    <w:basedOn w:val="Normal"/>
    <w:qFormat/>
    <w:pPr>
      <w:numPr>
        <w:ilvl w:val="0"/>
        <w:numId w:val="6"/>
      </w:numPr>
    </w:pPr>
    <w:rPr/>
  </w:style>
  <w:style w:type="paragraph" w:styleId="TableLevel4Numbered">
    <w:name w:val="Table Level 4 Numbered"/>
    <w:basedOn w:val="Normal"/>
    <w:qFormat/>
    <w:pPr>
      <w:numPr>
        <w:ilvl w:val="0"/>
        <w:numId w:val="6"/>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5"/>
      </w:numPr>
      <w:spacing w:before="240" w:after="240"/>
    </w:pPr>
    <w:rPr/>
  </w:style>
  <w:style w:type="paragraph" w:styleId="BodyLevel2Numbered">
    <w:name w:val="Body Level 2 Numbered"/>
    <w:basedOn w:val="Normal"/>
    <w:qFormat/>
    <w:pPr>
      <w:numPr>
        <w:ilvl w:val="0"/>
        <w:numId w:val="5"/>
      </w:numPr>
      <w:spacing w:before="240" w:after="240"/>
    </w:pPr>
    <w:rPr/>
  </w:style>
  <w:style w:type="paragraph" w:styleId="BodyLevel3Numbered">
    <w:name w:val="Body Level 3 Numbered"/>
    <w:basedOn w:val="Normal"/>
    <w:qFormat/>
    <w:pPr>
      <w:numPr>
        <w:ilvl w:val="0"/>
        <w:numId w:val="5"/>
      </w:numPr>
      <w:spacing w:before="240" w:after="240"/>
    </w:pPr>
    <w:rPr/>
  </w:style>
  <w:style w:type="paragraph" w:styleId="BodyLevel4Numbered">
    <w:name w:val="Body Level 4 Numbered"/>
    <w:basedOn w:val="Normal"/>
    <w:qFormat/>
    <w:pPr>
      <w:numPr>
        <w:ilvl w:val="0"/>
        <w:numId w:val="5"/>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wmf"/><Relationship Id="rId9" Type="http://schemas.openxmlformats.org/officeDocument/2006/relationships/image" Target="media/image3.wmf"/><Relationship Id="rId10" Type="http://schemas.openxmlformats.org/officeDocument/2006/relationships/image" Target="media/image4.wmf"/><Relationship Id="rId11" Type="http://schemas.openxmlformats.org/officeDocument/2006/relationships/image" Target="media/image5.wmf"/><Relationship Id="rId12" Type="http://schemas.openxmlformats.org/officeDocument/2006/relationships/image" Target="media/image6.wmf"/><Relationship Id="rId13" Type="http://schemas.openxmlformats.org/officeDocument/2006/relationships/image" Target="media/image7.wmf"/><Relationship Id="rId14" Type="http://schemas.openxmlformats.org/officeDocument/2006/relationships/image" Target="media/image8.wmf"/><Relationship Id="rId15" Type="http://schemas.openxmlformats.org/officeDocument/2006/relationships/image" Target="media/image9.wmf"/><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2006-12-13T16:42:00Z</dcterms:created>
  <dc:creator> </dc:creator>
  <dc:description/>
  <cp:keywords/>
  <dc:language>en-US</dc:language>
  <cp:lastModifiedBy>Stuart Johnson</cp:lastModifiedBy>
  <cp:lastPrinted>2005-07-04T16:19:00Z</cp:lastPrinted>
  <dcterms:modified xsi:type="dcterms:W3CDTF">2006-12-13T16:44:00Z</dcterms:modified>
  <cp:revision>6</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-441424265</vt:r8>
  </property>
  <property fmtid="{D5CDD505-2E9C-101B-9397-08002B2CF9AE}" pid="3" name="_AuthorEmail">
    <vt:lpwstr>lucas.ong@accenture.com</vt:lpwstr>
  </property>
  <property fmtid="{D5CDD505-2E9C-101B-9397-08002B2CF9AE}" pid="4" name="_AuthorEmailDisplayName">
    <vt:lpwstr>Ong, Lucas</vt:lpwstr>
  </property>
  <property fmtid="{D5CDD505-2E9C-101B-9397-08002B2CF9AE}" pid="5" name="_EmailSubject">
    <vt:lpwstr>UPDATE - Attachment 30-C (Roles &amp; Responsibilities Matrix)</vt:lpwstr>
  </property>
  <property fmtid="{D5CDD505-2E9C-101B-9397-08002B2CF9AE}" pid="6" name="_NewReviewCycle">
    <vt:lpwstr/>
  </property>
  <property fmtid="{D5CDD505-2E9C-101B-9397-08002B2CF9AE}" pid="7" name="_ReviewingToolsShownOnce">
    <vt:lpwstr/>
  </property>
</Properties>
</file>