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jc w:val="center"/>
        <w:rPr/>
      </w:pPr>
      <w:r>
        <w:rPr/>
      </w:r>
    </w:p>
    <w:p>
      <w:pPr>
        <w:pStyle w:val="Title"/>
        <w:rPr/>
      </w:pPr>
      <w:r>
        <w:rPr/>
      </w:r>
    </w:p>
    <w:p>
      <w:pPr>
        <w:pStyle w:val="Title"/>
        <w:rPr/>
      </w:pPr>
      <w:r>
        <w:rPr/>
      </w:r>
    </w:p>
    <w:p>
      <w:pPr>
        <w:pStyle w:val="Title"/>
        <w:rPr/>
      </w:pPr>
      <w:r>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4-G</w:t>
      </w:r>
    </w:p>
    <w:p>
      <w:pPr>
        <w:pStyle w:val="Title"/>
        <w:rPr>
          <w:lang w:val="en-GB"/>
        </w:rPr>
      </w:pPr>
      <w:r>
        <w:rPr>
          <w:lang w:val="en-GB"/>
        </w:rPr>
      </w:r>
    </w:p>
    <w:p>
      <w:pPr>
        <w:pStyle w:val="Title"/>
        <w:rPr>
          <w:lang w:val="en-GB"/>
        </w:rPr>
      </w:pPr>
      <w:r>
        <w:rPr>
          <w:lang w:val="en-GB"/>
        </w:rPr>
        <w:t>COLA</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ECONOMIC CHANGE ADJUSTMENT</w:t>
          </w:r>
          <w:r>
            <w:rPr>
              <w:sz w:val="18"/>
              <w:szCs w:val="18"/>
              <w:lang w:val="en-US" w:eastAsia="en-US"/>
            </w:rPr>
            <w:tab/>
          </w:r>
          <w:hyperlink w:anchor="__RefHeading___Toc152558735">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w:t>
          </w:r>
          <w:r>
            <w:rPr>
              <w:b w:val="false"/>
              <w:sz w:val="18"/>
              <w:szCs w:val="18"/>
              <w:lang w:val="en-US" w:eastAsia="en-US"/>
            </w:rPr>
            <w:tab/>
          </w:r>
          <w:r>
            <w:rPr>
              <w:sz w:val="18"/>
              <w:szCs w:val="18"/>
              <w:lang w:val="en-GB" w:eastAsia="en-US"/>
            </w:rPr>
            <w:t>Definitions</w:t>
          </w:r>
          <w:r>
            <w:rPr>
              <w:sz w:val="18"/>
              <w:szCs w:val="18"/>
              <w:lang w:val="en-US" w:eastAsia="en-US"/>
            </w:rPr>
            <w:tab/>
          </w:r>
          <w:hyperlink w:anchor="__RefHeading___Toc152558736">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1.2</w:t>
          </w:r>
          <w:r>
            <w:rPr>
              <w:b w:val="false"/>
              <w:sz w:val="18"/>
              <w:szCs w:val="18"/>
              <w:lang w:val="en-US" w:eastAsia="en-US"/>
            </w:rPr>
            <w:tab/>
          </w:r>
          <w:r>
            <w:rPr>
              <w:bCs/>
              <w:sz w:val="18"/>
              <w:szCs w:val="18"/>
              <w:lang w:val="en-GB" w:eastAsia="en-US"/>
            </w:rPr>
            <w:t>General</w:t>
          </w:r>
          <w:r>
            <w:rPr>
              <w:sz w:val="18"/>
              <w:szCs w:val="18"/>
              <w:lang w:val="en-US" w:eastAsia="en-US"/>
            </w:rPr>
            <w:tab/>
          </w:r>
          <w:hyperlink w:anchor="__RefHeading___Toc152558737">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1.3</w:t>
          </w:r>
          <w:r>
            <w:rPr>
              <w:b w:val="false"/>
              <w:sz w:val="18"/>
              <w:szCs w:val="18"/>
              <w:lang w:val="en-US" w:eastAsia="en-US"/>
            </w:rPr>
            <w:tab/>
          </w:r>
          <w:r>
            <w:rPr>
              <w:bCs/>
              <w:sz w:val="18"/>
              <w:szCs w:val="18"/>
              <w:lang w:val="en-GB" w:eastAsia="en-US"/>
            </w:rPr>
            <w:t>Economic Change Adjustment Calculation</w:t>
          </w:r>
          <w:r>
            <w:rPr>
              <w:sz w:val="18"/>
              <w:szCs w:val="18"/>
              <w:lang w:val="en-US" w:eastAsia="en-US"/>
            </w:rPr>
            <w:tab/>
          </w:r>
          <w:hyperlink w:anchor="__RefHeading___Toc152558738">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CALCULATING INFLATION FACTORS</w:t>
          </w:r>
          <w:r>
            <w:rPr>
              <w:sz w:val="18"/>
              <w:szCs w:val="18"/>
              <w:lang w:val="en-US" w:eastAsia="en-US"/>
            </w:rPr>
            <w:tab/>
          </w:r>
          <w:hyperlink w:anchor="__RefHeading___Toc152558739">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2.1</w:t>
          </w:r>
          <w:r>
            <w:rPr>
              <w:b w:val="false"/>
              <w:sz w:val="18"/>
              <w:szCs w:val="18"/>
              <w:lang w:val="en-US" w:eastAsia="en-US"/>
            </w:rPr>
            <w:tab/>
          </w:r>
          <w:r>
            <w:rPr>
              <w:bCs/>
              <w:sz w:val="18"/>
              <w:szCs w:val="18"/>
              <w:lang w:val="en-GB" w:eastAsia="en-US"/>
            </w:rPr>
            <w:t>Indices</w:t>
          </w:r>
          <w:r>
            <w:rPr>
              <w:sz w:val="18"/>
              <w:szCs w:val="18"/>
              <w:lang w:val="en-US" w:eastAsia="en-US"/>
            </w:rPr>
            <w:tab/>
          </w:r>
          <w:hyperlink w:anchor="__RefHeading___Toc152558740">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2.2</w:t>
          </w:r>
          <w:r>
            <w:rPr>
              <w:b w:val="false"/>
              <w:sz w:val="18"/>
              <w:szCs w:val="18"/>
              <w:lang w:val="en-US" w:eastAsia="en-US"/>
            </w:rPr>
            <w:tab/>
          </w:r>
          <w:r>
            <w:rPr>
              <w:bCs/>
              <w:sz w:val="18"/>
              <w:szCs w:val="18"/>
              <w:lang w:val="en-GB" w:eastAsia="en-US"/>
            </w:rPr>
            <w:t>Calculating the Inflation Factor for the Weighted Inflation Calculation</w:t>
          </w:r>
          <w:r>
            <w:rPr>
              <w:sz w:val="18"/>
              <w:szCs w:val="18"/>
              <w:lang w:val="en-US" w:eastAsia="en-US"/>
            </w:rPr>
            <w:tab/>
          </w:r>
          <w:hyperlink w:anchor="__RefHeading___Toc152558741">
            <w:r>
              <w:rPr>
                <w:rStyle w:val="IndexLink"/>
                <w:sz w:val="18"/>
                <w:szCs w:val="18"/>
                <w:lang w:val="en-US" w:eastAsia="en-US"/>
              </w:rPr>
              <w:t>3</w:t>
            </w:r>
          </w:hyperlink>
        </w:p>
        <w:p>
          <w:pPr>
            <w:pStyle w:val="TOC1"/>
            <w:tabs>
              <w:tab w:val="clear" w:pos="720"/>
              <w:tab w:val="left" w:pos="440" w:leader="none"/>
              <w:tab w:val="right" w:pos="8441" w:leader="dot"/>
            </w:tabs>
            <w:rPr>
              <w:sz w:val="18"/>
              <w:szCs w:val="18"/>
              <w:lang w:val="en-US" w:eastAsia="en-US"/>
            </w:rPr>
          </w:pPr>
          <w:r>
            <w:rPr>
              <w:b w:val="false"/>
              <w:bCs/>
              <w:sz w:val="18"/>
              <w:szCs w:val="18"/>
              <w:lang w:val="en-GB" w:eastAsia="en-US"/>
            </w:rPr>
            <w:t>3.</w:t>
          </w:r>
          <w:r>
            <w:rPr>
              <w:b w:val="false"/>
              <w:sz w:val="18"/>
              <w:szCs w:val="18"/>
              <w:lang w:val="en-US" w:eastAsia="en-US"/>
            </w:rPr>
            <w:tab/>
          </w:r>
          <w:r>
            <w:rPr>
              <w:b w:val="false"/>
              <w:bCs/>
              <w:sz w:val="18"/>
              <w:szCs w:val="18"/>
              <w:lang w:val="en-GB" w:eastAsia="en-US"/>
            </w:rPr>
            <w:t>EXAMPLE OF ECA CALCULATION</w:t>
          </w:r>
          <w:r>
            <w:rPr>
              <w:b w:val="false"/>
              <w:sz w:val="18"/>
              <w:szCs w:val="18"/>
              <w:lang w:val="en-US" w:eastAsia="en-US"/>
            </w:rPr>
            <w:tab/>
          </w:r>
          <w:hyperlink w:anchor="__RefHeading___Toc152558742">
            <w:r>
              <w:rPr>
                <w:rStyle w:val="IndexLink"/>
                <w:b w:val="false"/>
                <w:sz w:val="18"/>
                <w:szCs w:val="18"/>
                <w:lang w:val="en-US" w:eastAsia="en-US"/>
              </w:rPr>
              <w:t>3</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spacing w:before="0" w:after="0"/>
        <w:jc w:val="both"/>
        <w:rPr>
          <w:sz w:val="18"/>
          <w:szCs w:val="22"/>
          <w:lang w:val="en-GB"/>
        </w:rPr>
      </w:pPr>
      <w:r>
        <w:rPr>
          <w:sz w:val="18"/>
          <w:szCs w:val="22"/>
          <w:lang w:val="en-GB"/>
        </w:rPr>
      </w:r>
    </w:p>
    <w:p>
      <w:pPr>
        <w:pStyle w:val="Heading1Numbered"/>
        <w:numPr>
          <w:ilvl w:val="0"/>
          <w:numId w:val="2"/>
        </w:numPr>
        <w:ind w:hanging="0" w:start="0"/>
        <w:jc w:val="both"/>
        <w:rPr>
          <w:rFonts w:ascii="Times New Roman" w:hAnsi="Times New Roman" w:cs="Times New Roman"/>
          <w:sz w:val="22"/>
          <w:szCs w:val="22"/>
          <w:lang w:val="en-GB"/>
        </w:rPr>
      </w:pPr>
      <w:bookmarkStart w:id="0" w:name="__RefHeading___Toc152558735"/>
      <w:bookmarkEnd w:id="0"/>
      <w:r>
        <w:rPr>
          <w:rFonts w:cs="Times New Roman" w:ascii="Times New Roman" w:hAnsi="Times New Roman"/>
          <w:sz w:val="22"/>
          <w:szCs w:val="22"/>
          <w:lang w:val="en-GB"/>
        </w:rPr>
        <w:t>ECONOMIC CHANGE ADJUSTMENT</w:t>
      </w:r>
    </w:p>
    <w:p>
      <w:pPr>
        <w:pStyle w:val="Heading2Numbered"/>
        <w:numPr>
          <w:ilvl w:val="1"/>
          <w:numId w:val="2"/>
        </w:numPr>
        <w:ind w:hanging="0" w:start="0"/>
        <w:jc w:val="both"/>
        <w:rPr>
          <w:rFonts w:ascii="Times New Roman" w:hAnsi="Times New Roman" w:cs="Times New Roman"/>
          <w:sz w:val="22"/>
          <w:szCs w:val="22"/>
          <w:lang w:val="en-GB"/>
        </w:rPr>
      </w:pPr>
      <w:bookmarkStart w:id="1" w:name="__RefHeading___Toc152558736"/>
      <w:bookmarkEnd w:id="1"/>
      <w:r>
        <w:rPr>
          <w:rFonts w:cs="Times New Roman" w:ascii="Times New Roman" w:hAnsi="Times New Roman"/>
          <w:sz w:val="22"/>
          <w:szCs w:val="22"/>
          <w:lang w:val="en-GB"/>
        </w:rPr>
        <w:t>Definitions</w:t>
      </w:r>
    </w:p>
    <w:p>
      <w:pPr>
        <w:pStyle w:val="Normal"/>
        <w:spacing w:before="0" w:after="0"/>
        <w:ind w:hanging="720" w:start="720" w:end="0"/>
        <w:jc w:val="both"/>
        <w:rPr/>
      </w:pPr>
      <w:r>
        <w:rPr>
          <w:szCs w:val="22"/>
          <w:lang w:val="en-GB"/>
        </w:rPr>
        <w:t>1.1.1</w:t>
        <w:tab/>
        <w:t>“</w:t>
      </w:r>
      <w:r>
        <w:rPr>
          <w:b/>
          <w:i/>
          <w:szCs w:val="22"/>
          <w:lang w:val="en-GB"/>
        </w:rPr>
        <w:t>Economic Change Factor</w:t>
      </w:r>
      <w:r>
        <w:rPr>
          <w:szCs w:val="22"/>
          <w:lang w:val="en-GB"/>
        </w:rPr>
        <w:t>” means the result of the Weighted Inflation multiplied by the Inflation Sensitivity.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1.1.2</w:t>
        <w:tab/>
        <w:t>“</w:t>
      </w:r>
      <w:r>
        <w:rPr>
          <w:b/>
          <w:i/>
          <w:szCs w:val="22"/>
          <w:lang w:val="en-GB"/>
        </w:rPr>
        <w:t>Inflation Factor</w:t>
      </w:r>
      <w:r>
        <w:rPr>
          <w:szCs w:val="22"/>
          <w:lang w:val="en-GB"/>
        </w:rPr>
        <w:t>” means the cumulative inflation percentage calculated for each country outlined in Section 2.1.  The cumulative Inflation Factor is calculated as outlined in Section 2.2.</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1.1.3</w:t>
        <w:tab/>
        <w:t>“</w:t>
      </w:r>
      <w:r>
        <w:rPr>
          <w:b/>
          <w:i/>
          <w:szCs w:val="22"/>
          <w:lang w:val="en-GB"/>
        </w:rPr>
        <w:t>Inflation Sensitivity</w:t>
      </w:r>
      <w:r>
        <w:rPr>
          <w:szCs w:val="22"/>
          <w:lang w:val="en-GB"/>
        </w:rPr>
        <w:t>” is established at a percentage to be determined to reflect the inflationary impact on PST Supplier’s delivery of Services. This percentage is that part of the Services that is composed of salary costs within PST. Notwithstanding this conceptual definition, the sole Charges impacted by inflation and or deemed to have Inflation Sensitivity are specifically outlined in Section 1.2.1.</w:t>
      </w:r>
    </w:p>
    <w:p>
      <w:pPr>
        <w:pStyle w:val="Normal"/>
        <w:spacing w:before="0" w:after="0"/>
        <w:jc w:val="both"/>
        <w:rPr>
          <w:szCs w:val="22"/>
          <w:lang w:val="en-GB"/>
        </w:rPr>
      </w:pPr>
      <w:r>
        <w:rPr>
          <w:szCs w:val="22"/>
          <w:lang w:val="en-GB"/>
        </w:rPr>
      </w:r>
    </w:p>
    <w:p>
      <w:pPr>
        <w:pStyle w:val="Heading2Numbered"/>
        <w:numPr>
          <w:ilvl w:val="1"/>
          <w:numId w:val="2"/>
        </w:numPr>
        <w:ind w:hanging="0" w:start="0"/>
        <w:jc w:val="both"/>
        <w:rPr>
          <w:rFonts w:ascii="Times New Roman" w:hAnsi="Times New Roman" w:cs="Times New Roman"/>
          <w:bCs/>
          <w:sz w:val="22"/>
          <w:szCs w:val="22"/>
          <w:lang w:val="en-GB"/>
        </w:rPr>
      </w:pPr>
      <w:bookmarkStart w:id="2" w:name="__RefHeading___Toc152558737"/>
      <w:bookmarkEnd w:id="2"/>
      <w:r>
        <w:rPr>
          <w:rFonts w:cs="Times New Roman" w:ascii="Times New Roman" w:hAnsi="Times New Roman"/>
          <w:bCs/>
          <w:sz w:val="22"/>
          <w:szCs w:val="22"/>
          <w:lang w:val="en-GB"/>
        </w:rPr>
        <w:t>General</w:t>
      </w:r>
    </w:p>
    <w:p>
      <w:pPr>
        <w:pStyle w:val="Normal"/>
        <w:spacing w:before="0" w:after="0"/>
        <w:ind w:hanging="720" w:start="720" w:end="0"/>
        <w:jc w:val="both"/>
        <w:rPr>
          <w:szCs w:val="22"/>
          <w:lang w:val="en-GB"/>
        </w:rPr>
      </w:pPr>
      <w:r>
        <w:rPr>
          <w:szCs w:val="22"/>
          <w:lang w:val="en-GB"/>
        </w:rPr>
        <w:t>1.2.1</w:t>
        <w:tab/>
        <w:t xml:space="preserve">Economic Change Adjustments (as defined below) will not be applied to the Charges, </w:t>
      </w:r>
      <w:r>
        <w:rPr>
          <w:szCs w:val="22"/>
          <w:u w:val="single"/>
          <w:lang w:val="en-GB"/>
        </w:rPr>
        <w:t>except</w:t>
      </w:r>
      <w:r>
        <w:rPr>
          <w:szCs w:val="22"/>
          <w:lang w:val="en-GB"/>
        </w:rPr>
        <w:t xml:space="preserve"> in relation to: </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 xml:space="preserve">Charges invoiced to EuroBank by the 2IM, specifically only for 2IM Charges;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the Project rates set out in Attachment 4-E (</w:t>
      </w:r>
      <w:r>
        <w:rPr>
          <w:i/>
          <w:szCs w:val="22"/>
          <w:lang w:val="en-GB"/>
        </w:rPr>
        <w:t>Project Rate Card</w:t>
      </w:r>
      <w:r>
        <w:rPr>
          <w:szCs w:val="22"/>
          <w:lang w:val="en-GB"/>
        </w:rPr>
        <w:t>) (excluding the Project Pool rates);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the Charges invoiced to EuroBank by all the PST Suppliers from Year 6 onwards.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1.2.2</w:t>
        <w:tab/>
        <w:t>As inflation only has effect on salary costs, only that part of the Service fee directly related to salary costs as specifically outlined in Section 1.2.1, will be affected by the “</w:t>
      </w:r>
      <w:r>
        <w:rPr>
          <w:i/>
          <w:szCs w:val="22"/>
          <w:lang w:val="en-GB"/>
        </w:rPr>
        <w:t>Economic Change Adjustment</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1.2.3</w:t>
        <w:tab/>
        <w:t>PST Supplier will calculate and only apply an adjustment to the PST Supplier monthly Base Charges on a country-by-country basis based upon economic changes (an “</w:t>
      </w:r>
      <w:r>
        <w:rPr>
          <w:b/>
          <w:i/>
          <w:szCs w:val="22"/>
          <w:lang w:val="en-GB"/>
        </w:rPr>
        <w:t>Economic Change Adjustment</w:t>
      </w:r>
      <w:r>
        <w:rPr>
          <w:szCs w:val="22"/>
          <w:lang w:val="en-GB"/>
        </w:rPr>
        <w:t>” or “</w:t>
      </w:r>
      <w:r>
        <w:rPr>
          <w:b/>
          <w:i/>
          <w:szCs w:val="22"/>
          <w:lang w:val="en-GB"/>
        </w:rPr>
        <w:t>ECA</w:t>
      </w:r>
      <w:r>
        <w:rPr>
          <w:szCs w:val="22"/>
          <w:lang w:val="en-GB"/>
        </w:rPr>
        <w:t xml:space="preserve">”) in accordance with this Section 1.2.3. For Charges only as outlined in Section 1.2.1, the ECAs will be payable on a prospective basis (for example, the actual inflation for the first calendar year will determine the ECA for the second calendar year, and so on).  The ECAs will be determined as soon as practicable after the end of each calendar year, using the formulas set forth below.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1.2.4</w:t>
        <w:tab/>
        <w:t>The first ECA calculation for the exceptions in Section 1.2.1 (i) and (ii) above. shall be valid from January 1</w:t>
      </w:r>
      <w:r>
        <w:rPr>
          <w:szCs w:val="22"/>
          <w:vertAlign w:val="superscript"/>
          <w:lang w:val="en-GB"/>
        </w:rPr>
        <w:t>st</w:t>
      </w:r>
      <w:r>
        <w:rPr>
          <w:szCs w:val="22"/>
          <w:lang w:val="en-GB"/>
        </w:rPr>
        <w:t xml:space="preserve"> 2007 taking into account inflation from the January 1</w:t>
      </w:r>
      <w:r>
        <w:rPr>
          <w:szCs w:val="22"/>
          <w:vertAlign w:val="superscript"/>
          <w:lang w:val="en-GB"/>
        </w:rPr>
        <w:t>st</w:t>
      </w:r>
      <w:r>
        <w:rPr>
          <w:szCs w:val="22"/>
          <w:lang w:val="en-GB"/>
        </w:rPr>
        <w:t xml:space="preserve"> 2006. Thereafter, the ECA will be calculated each anniversary based on inflation during the previous contract Year.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1.2.5</w:t>
        <w:tab/>
        <w:t>The first ECA calculation for the exception in Section 1.2.1 (iii) above shall be valid from January 1</w:t>
      </w:r>
      <w:r>
        <w:rPr>
          <w:szCs w:val="22"/>
          <w:vertAlign w:val="superscript"/>
          <w:lang w:val="en-GB"/>
        </w:rPr>
        <w:t>st</w:t>
      </w:r>
      <w:r>
        <w:rPr>
          <w:szCs w:val="22"/>
          <w:lang w:val="en-GB"/>
        </w:rPr>
        <w:t xml:space="preserve"> 2012 taking into account inflation from the January 1</w:t>
      </w:r>
      <w:r>
        <w:rPr>
          <w:szCs w:val="22"/>
          <w:vertAlign w:val="superscript"/>
          <w:lang w:val="en-GB"/>
        </w:rPr>
        <w:t>st</w:t>
      </w:r>
      <w:r>
        <w:rPr>
          <w:szCs w:val="22"/>
          <w:lang w:val="en-GB"/>
        </w:rPr>
        <w:t xml:space="preserve"> 2011. Thereafter the ECA will be calculated each anniversary based on inflation during the previous contract Year.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1.2.6</w:t>
        <w:tab/>
        <w:t>ECAs (if any are applicable under Section 1.2.1 above) will become part of the PST Supplier Charges for each country beginning with invoices for the dates given in Sections 1.2.4 and 1.2.5 above, as appropriate.  Prior to those dates in each case, there shall be no ECA. PST Supplier will invoice the ECA on a separate line on the monthly invoices.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1.2.7</w:t>
        <w:tab/>
        <w:t>PST Supplier will provide EuroBank with its calculation of the ECA at least ten (10) business days prior to invoicing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1.2.8</w:t>
        <w:tab/>
        <w:t>Any fluctuations will be contained within the Base Charges set forth in Attachment 4-A (</w:t>
      </w:r>
      <w:r>
        <w:rPr>
          <w:i/>
          <w:szCs w:val="22"/>
          <w:lang w:val="en-GB"/>
        </w:rPr>
        <w:t>Pricing Forms</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1.2.9</w:t>
        <w:tab/>
        <w:t>Examples of ECA calculations are set forth in Section 3 below.</w:t>
      </w:r>
    </w:p>
    <w:p>
      <w:pPr>
        <w:pStyle w:val="Normal"/>
        <w:spacing w:before="0" w:after="0"/>
        <w:jc w:val="both"/>
        <w:rPr>
          <w:szCs w:val="22"/>
          <w:lang w:val="en-GB"/>
        </w:rPr>
      </w:pPr>
      <w:r>
        <w:rPr>
          <w:szCs w:val="22"/>
          <w:lang w:val="en-GB"/>
        </w:rPr>
      </w:r>
    </w:p>
    <w:p>
      <w:pPr>
        <w:pStyle w:val="Heading2Numbered"/>
        <w:numPr>
          <w:ilvl w:val="1"/>
          <w:numId w:val="2"/>
        </w:numPr>
        <w:ind w:hanging="0" w:start="0"/>
        <w:jc w:val="both"/>
        <w:rPr>
          <w:rFonts w:ascii="Times New Roman" w:hAnsi="Times New Roman" w:cs="Times New Roman"/>
          <w:bCs/>
          <w:sz w:val="22"/>
          <w:szCs w:val="22"/>
          <w:lang w:val="en-GB"/>
        </w:rPr>
      </w:pPr>
      <w:bookmarkStart w:id="3" w:name="__RefHeading___Toc152558738"/>
      <w:bookmarkEnd w:id="3"/>
      <w:r>
        <w:rPr>
          <w:rFonts w:cs="Times New Roman" w:ascii="Times New Roman" w:hAnsi="Times New Roman"/>
          <w:bCs/>
          <w:sz w:val="22"/>
          <w:szCs w:val="22"/>
          <w:lang w:val="en-GB"/>
        </w:rPr>
        <w:t>Economic Change Adjustment Calculation</w:t>
      </w:r>
    </w:p>
    <w:p>
      <w:pPr>
        <w:pStyle w:val="Normal"/>
        <w:spacing w:before="0" w:after="0"/>
        <w:ind w:hanging="720" w:start="720" w:end="0"/>
        <w:jc w:val="both"/>
        <w:rPr/>
      </w:pPr>
      <w:r>
        <w:rPr>
          <w:szCs w:val="22"/>
          <w:lang w:val="en-GB"/>
        </w:rPr>
        <w:t>1.3.1</w:t>
        <w:tab/>
        <w:t xml:space="preserve">The ECA will be equal to the Economic Change Factor multiplied by the applicable Charges.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1.3.2</w:t>
        <w:tab/>
        <w:t>The Economic Change Factor equals the Weighted Inflation multiplied by the Inflation Sensitivity.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1.3.3</w:t>
        <w:tab/>
        <w:t>The chronological order of yearly ECA calculations is as follows: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(a)</w:t>
        <w:tab/>
        <w:t>Calculate cumulative Inflation Factors for each country as outlined in Section 2.2 below;</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(b)</w:t>
        <w:tab/>
        <w:t>Calculate “</w:t>
      </w:r>
      <w:r>
        <w:rPr>
          <w:b/>
          <w:i/>
          <w:szCs w:val="22"/>
          <w:lang w:val="en-GB"/>
        </w:rPr>
        <w:t>Weighted Inflation</w:t>
      </w:r>
      <w:r>
        <w:rPr>
          <w:b/>
          <w:szCs w:val="22"/>
          <w:lang w:val="en-GB"/>
        </w:rPr>
        <w:t>”</w:t>
      </w:r>
      <w:r>
        <w:rPr>
          <w:szCs w:val="22"/>
          <w:lang w:val="en-GB"/>
        </w:rPr>
        <w:t xml:space="preserve"> by multiplying the weighting factors by country with the appropriate Inflation Factors calculated in (a) above;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t>Multiply resulting product of above calculation by the Inflation Sensitivity factor. The result is the Economic Change Factor;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(d)</w:t>
        <w:tab/>
        <w:t>Calculate ECA, which is the result of the Economic Change Factor multiplied by the Charges.</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4" w:name="__RefHeading___Toc152558739"/>
      <w:bookmarkEnd w:id="4"/>
      <w:r>
        <w:rPr>
          <w:rFonts w:cs="Times New Roman" w:ascii="Times New Roman" w:hAnsi="Times New Roman"/>
          <w:bCs/>
          <w:sz w:val="22"/>
          <w:szCs w:val="22"/>
          <w:lang w:val="en-GB"/>
        </w:rPr>
        <w:t>CALCULATING INFLATION FACTORS</w:t>
      </w:r>
    </w:p>
    <w:p>
      <w:pPr>
        <w:pStyle w:val="Heading2Numbered"/>
        <w:numPr>
          <w:ilvl w:val="1"/>
          <w:numId w:val="2"/>
        </w:numPr>
        <w:ind w:hanging="0" w:start="0"/>
        <w:jc w:val="both"/>
        <w:rPr>
          <w:rFonts w:ascii="Times New Roman" w:hAnsi="Times New Roman" w:cs="Times New Roman"/>
          <w:bCs/>
          <w:sz w:val="22"/>
          <w:szCs w:val="22"/>
          <w:lang w:val="en-GB"/>
        </w:rPr>
      </w:pPr>
      <w:bookmarkStart w:id="5" w:name="__RefHeading___Toc152558740"/>
      <w:bookmarkEnd w:id="5"/>
      <w:r>
        <w:rPr>
          <w:rFonts w:cs="Times New Roman" w:ascii="Times New Roman" w:hAnsi="Times New Roman"/>
          <w:bCs/>
          <w:sz w:val="22"/>
          <w:szCs w:val="22"/>
          <w:lang w:val="en-GB"/>
        </w:rPr>
        <w:t>Indices</w:t>
      </w:r>
    </w:p>
    <w:p>
      <w:pPr>
        <w:pStyle w:val="Normal"/>
        <w:spacing w:before="0" w:after="0"/>
        <w:jc w:val="both"/>
        <w:rPr>
          <w:szCs w:val="22"/>
          <w:lang w:val="en-GB"/>
        </w:rPr>
      </w:pPr>
      <w:r>
        <w:rPr>
          <w:szCs w:val="22"/>
          <w:lang w:val="en-GB"/>
        </w:rPr>
        <w:t>Below are the indices and calculated inflation sources for each country, which represent the Inflation Factors portion of the ECA calculation. The methodology for calculation is set forth in Sections 2.2 below</w:t>
      </w:r>
    </w:p>
    <w:p>
      <w:pPr>
        <w:pStyle w:val="Normal"/>
        <w:spacing w:before="0" w:after="0"/>
        <w:jc w:val="both"/>
        <w:rPr/>
      </w:pPr>
      <w:r>
        <w:rPr/>
        <w:tab/>
      </w:r>
    </w:p>
    <w:tbl>
      <w:tblPr>
        <w:tblW w:w="5335" w:type="dxa"/>
        <w:jc w:val="start"/>
        <w:tblInd w:w="2628" w:type="dxa"/>
        <w:tblLayout w:type="fixed"/>
        <w:tblCellMar>
          <w:top w:w="0" w:type="dxa"/>
          <w:start w:w="108" w:type="dxa"/>
          <w:bottom w:w="0" w:type="dxa"/>
          <w:end w:w="108" w:type="dxa"/>
        </w:tblCellMar>
      </w:tblPr>
      <w:tblGrid>
        <w:gridCol w:w="1377"/>
        <w:gridCol w:w="3958"/>
      </w:tblGrid>
      <w:tr>
        <w:trPr>
          <w:tblHeader w:val="true"/>
          <w:cantSplit w:val="true"/>
        </w:trPr>
        <w:tc>
          <w:tcPr>
            <w:tcW w:w="5335" w:type="dxa"/>
            <w:gridSpan w:val="2"/>
            <w:tcBorders>
              <w:top w:val="single" w:sz="6" w:space="0" w:color="000000"/>
              <w:start w:val="single" w:sz="6" w:space="0" w:color="000000"/>
              <w:bottom w:val="single" w:sz="6" w:space="0" w:color="000000"/>
              <w:end w:val="single" w:sz="6" w:space="0" w:color="000000"/>
            </w:tcBorders>
            <w:shd w:fill="CCCCCC" w:val="clear"/>
          </w:tcPr>
          <w:p>
            <w:pPr>
              <w:pStyle w:val="TableHead"/>
              <w:numPr>
                <w:ilvl w:val="0"/>
                <w:numId w:val="0"/>
              </w:numPr>
              <w:ind w:hanging="0" w:start="0"/>
              <w:jc w:val="both"/>
              <w:rPr>
                <w:rFonts w:ascii="Times New Roman" w:hAnsi="Times New Roman" w:cs="Times New Roman"/>
                <w:sz w:val="22"/>
                <w:szCs w:val="22"/>
              </w:rPr>
            </w:pPr>
            <w:r>
              <w:rPr>
                <w:rFonts w:cs="Times New Roman" w:ascii="Times New Roman" w:hAnsi="Times New Roman"/>
                <w:sz w:val="22"/>
                <w:szCs w:val="22"/>
              </w:rPr>
              <w:t>Indices to be used by country</w:t>
            </w:r>
          </w:p>
        </w:tc>
      </w:tr>
      <w:tr>
        <w:trPr/>
        <w:tc>
          <w:tcPr>
            <w:tcW w:w="1377" w:type="dxa"/>
            <w:tcBorders>
              <w:top w:val="single" w:sz="6" w:space="0" w:color="000000"/>
              <w:start w:val="single" w:sz="6" w:space="0" w:color="000000"/>
              <w:bottom w:val="single" w:sz="6" w:space="0" w:color="000000"/>
              <w:end w:val="single" w:sz="6" w:space="0" w:color="000000"/>
            </w:tcBorders>
          </w:tcPr>
          <w:p>
            <w:pPr>
              <w:pStyle w:val="ListBullet"/>
              <w:numPr>
                <w:ilvl w:val="0"/>
                <w:numId w:val="0"/>
              </w:numPr>
              <w:spacing w:before="0" w:after="120"/>
              <w:ind w:hanging="0" w:start="0"/>
              <w:jc w:val="both"/>
              <w:rPr>
                <w:sz w:val="22"/>
                <w:szCs w:val="22"/>
              </w:rPr>
            </w:pPr>
            <w:r>
              <w:rPr>
                <w:sz w:val="22"/>
                <w:szCs w:val="22"/>
              </w:rPr>
              <w:t>Country</w:t>
            </w:r>
          </w:p>
        </w:tc>
        <w:tc>
          <w:tcPr>
            <w:tcW w:w="3958" w:type="dxa"/>
            <w:tcBorders>
              <w:top w:val="single" w:sz="6" w:space="0" w:color="000000"/>
              <w:start w:val="single" w:sz="6" w:space="0" w:color="000000"/>
              <w:bottom w:val="single" w:sz="6" w:space="0" w:color="000000"/>
              <w:end w:val="single" w:sz="6" w:space="0" w:color="000000"/>
            </w:tcBorders>
          </w:tcPr>
          <w:p>
            <w:pPr>
              <w:pStyle w:val="ListBullet"/>
              <w:numPr>
                <w:ilvl w:val="0"/>
                <w:numId w:val="0"/>
              </w:numPr>
              <w:spacing w:before="0" w:after="120"/>
              <w:ind w:hanging="0" w:start="0"/>
              <w:jc w:val="both"/>
              <w:rPr>
                <w:sz w:val="22"/>
                <w:szCs w:val="22"/>
              </w:rPr>
            </w:pPr>
            <w:r>
              <w:rPr>
                <w:sz w:val="22"/>
                <w:szCs w:val="22"/>
              </w:rPr>
              <w:t>Index</w:t>
            </w:r>
          </w:p>
        </w:tc>
      </w:tr>
      <w:tr>
        <w:trPr/>
        <w:tc>
          <w:tcPr>
            <w:tcW w:w="1377" w:type="dxa"/>
            <w:tcBorders>
              <w:top w:val="single" w:sz="6" w:space="0" w:color="000000"/>
              <w:start w:val="single" w:sz="6" w:space="0" w:color="000000"/>
              <w:bottom w:val="single" w:sz="6" w:space="0" w:color="000000"/>
              <w:end w:val="single" w:sz="6" w:space="0" w:color="000000"/>
            </w:tcBorders>
          </w:tcPr>
          <w:p>
            <w:pPr>
              <w:pStyle w:val="ListBullet"/>
              <w:numPr>
                <w:ilvl w:val="0"/>
                <w:numId w:val="0"/>
              </w:numPr>
              <w:spacing w:before="0" w:after="120"/>
              <w:ind w:hanging="0" w:start="0"/>
              <w:jc w:val="both"/>
              <w:rPr>
                <w:sz w:val="22"/>
                <w:szCs w:val="22"/>
              </w:rPr>
            </w:pPr>
            <w:r>
              <w:rPr>
                <w:sz w:val="22"/>
                <w:szCs w:val="22"/>
              </w:rPr>
              <w:t>Netherlands</w:t>
            </w:r>
          </w:p>
        </w:tc>
        <w:tc>
          <w:tcPr>
            <w:tcW w:w="3958" w:type="dxa"/>
            <w:tcBorders>
              <w:top w:val="single" w:sz="6" w:space="0" w:color="000000"/>
              <w:start w:val="single" w:sz="6" w:space="0" w:color="000000"/>
              <w:bottom w:val="single" w:sz="6" w:space="0" w:color="000000"/>
              <w:end w:val="single" w:sz="6" w:space="0" w:color="000000"/>
            </w:tcBorders>
          </w:tcPr>
          <w:p>
            <w:pPr>
              <w:pStyle w:val="ListBullet"/>
              <w:numPr>
                <w:ilvl w:val="0"/>
                <w:numId w:val="0"/>
              </w:numPr>
              <w:spacing w:before="0" w:after="120"/>
              <w:ind w:hanging="0" w:start="0"/>
              <w:jc w:val="both"/>
              <w:rPr>
                <w:sz w:val="22"/>
                <w:szCs w:val="22"/>
                <w:lang w:val="nl-NL"/>
              </w:rPr>
            </w:pPr>
            <w:r>
              <w:rPr>
                <w:color w:val="000000"/>
                <w:sz w:val="22"/>
                <w:szCs w:val="22"/>
                <w:lang w:val="nl-NL"/>
              </w:rPr>
              <w:t>Index Zakelijke Dienstverlening, published by CBS</w:t>
            </w:r>
          </w:p>
        </w:tc>
      </w:tr>
      <w:tr>
        <w:trPr/>
        <w:tc>
          <w:tcPr>
            <w:tcW w:w="1377" w:type="dxa"/>
            <w:tcBorders>
              <w:top w:val="single" w:sz="6" w:space="0" w:color="000000"/>
              <w:start w:val="single" w:sz="6" w:space="0" w:color="000000"/>
              <w:bottom w:val="single" w:sz="6" w:space="0" w:color="000000"/>
              <w:end w:val="single" w:sz="6" w:space="0" w:color="000000"/>
            </w:tcBorders>
            <w:vAlign w:val="bottom"/>
          </w:tcPr>
          <w:p>
            <w:pPr>
              <w:pStyle w:val="Normal"/>
              <w:spacing w:before="120" w:after="120"/>
              <w:jc w:val="both"/>
              <w:rPr>
                <w:szCs w:val="22"/>
              </w:rPr>
            </w:pPr>
            <w:r>
              <w:rPr>
                <w:szCs w:val="22"/>
              </w:rPr>
              <w:t>Belgium</w:t>
            </w:r>
          </w:p>
        </w:tc>
        <w:tc>
          <w:tcPr>
            <w:tcW w:w="3958" w:type="dxa"/>
            <w:tcBorders>
              <w:top w:val="single" w:sz="6" w:space="0" w:color="000000"/>
              <w:start w:val="single" w:sz="6" w:space="0" w:color="000000"/>
              <w:bottom w:val="single" w:sz="6" w:space="0" w:color="000000"/>
              <w:end w:val="single" w:sz="6" w:space="0" w:color="000000"/>
            </w:tcBorders>
          </w:tcPr>
          <w:p>
            <w:pPr>
              <w:pStyle w:val="Normal"/>
              <w:spacing w:before="120" w:after="120"/>
              <w:jc w:val="both"/>
              <w:rPr/>
            </w:pPr>
            <w:r>
              <w:rPr>
                <w:szCs w:val="22"/>
              </w:rPr>
              <w:t>Agoria Index Industrie.</w:t>
            </w:r>
            <w:r>
              <w:rPr>
                <w:color w:val="000000"/>
                <w:szCs w:val="22"/>
              </w:rPr>
              <w:t xml:space="preserve"> </w:t>
            </w:r>
          </w:p>
        </w:tc>
      </w:tr>
    </w:tbl>
    <w:p>
      <w:pPr>
        <w:pStyle w:val="Normal"/>
        <w:spacing w:before="0" w:after="0"/>
        <w:jc w:val="both"/>
        <w:rPr>
          <w:szCs w:val="22"/>
          <w:lang w:val="en-GB"/>
        </w:rPr>
      </w:pPr>
      <w:r>
        <w:rPr>
          <w:szCs w:val="22"/>
          <w:lang w:val="en-GB"/>
        </w:rPr>
      </w:r>
    </w:p>
    <w:p>
      <w:pPr>
        <w:pStyle w:val="Heading2Numbered"/>
        <w:numPr>
          <w:ilvl w:val="1"/>
          <w:numId w:val="2"/>
        </w:numPr>
        <w:ind w:hanging="0" w:start="0"/>
        <w:jc w:val="both"/>
        <w:rPr>
          <w:rFonts w:ascii="Times New Roman" w:hAnsi="Times New Roman" w:cs="Times New Roman"/>
          <w:bCs/>
          <w:sz w:val="22"/>
          <w:szCs w:val="22"/>
          <w:lang w:val="en-GB"/>
        </w:rPr>
      </w:pPr>
      <w:bookmarkStart w:id="6" w:name="__RefHeading___Toc152558741"/>
      <w:bookmarkEnd w:id="6"/>
      <w:r>
        <w:rPr>
          <w:rFonts w:cs="Times New Roman" w:ascii="Times New Roman" w:hAnsi="Times New Roman"/>
          <w:bCs/>
          <w:sz w:val="22"/>
          <w:szCs w:val="22"/>
          <w:lang w:val="en-GB"/>
        </w:rPr>
        <w:t>Calculating the Inflation Factor for the Weighted Inflation Calculation</w:t>
      </w:r>
    </w:p>
    <w:p>
      <w:pPr>
        <w:pStyle w:val="Normal"/>
        <w:spacing w:before="0" w:after="0"/>
        <w:ind w:hanging="720" w:start="720" w:end="0"/>
        <w:jc w:val="both"/>
        <w:rPr>
          <w:szCs w:val="22"/>
          <w:lang w:val="en-GB"/>
        </w:rPr>
      </w:pPr>
      <w:r>
        <w:rPr>
          <w:szCs w:val="22"/>
          <w:lang w:val="en-GB"/>
        </w:rPr>
        <w:t>2.2.1</w:t>
        <w:tab/>
        <w:t>Inflation Factor for countries with an inflation index:</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(a)</w:t>
        <w:tab/>
        <w:t>Prior to the beginning of each calendar year of the Term after the first calendar year (the “</w:t>
      </w:r>
      <w:r>
        <w:rPr>
          <w:b/>
          <w:i/>
          <w:szCs w:val="22"/>
          <w:lang w:val="en-GB"/>
        </w:rPr>
        <w:t>ECA Year</w:t>
      </w:r>
      <w:r>
        <w:rPr>
          <w:szCs w:val="22"/>
          <w:lang w:val="en-GB"/>
        </w:rPr>
        <w:t>”), the Inflation Factor for each country with an index shall be determined by comparing (a) such country’s inflation index for December of the calendar year prior to the ECA Year (the “</w:t>
      </w:r>
      <w:r>
        <w:rPr>
          <w:b/>
          <w:i/>
          <w:szCs w:val="22"/>
          <w:lang w:val="en-GB"/>
        </w:rPr>
        <w:t>Inflation Index</w:t>
      </w:r>
      <w:r>
        <w:rPr>
          <w:szCs w:val="22"/>
          <w:lang w:val="en-GB"/>
        </w:rPr>
        <w:t>”) to (b) the Economic Change Index for December, 2005 (the “</w:t>
      </w:r>
      <w:r>
        <w:rPr>
          <w:b/>
          <w:i/>
          <w:szCs w:val="22"/>
          <w:lang w:val="en-GB"/>
        </w:rPr>
        <w:t>Base Year Index</w:t>
      </w:r>
      <w:r>
        <w:rPr>
          <w:szCs w:val="22"/>
          <w:lang w:val="en-GB"/>
        </w:rPr>
        <w:t xml:space="preserv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Specifically, the Inflation Factor is calculated for each country as (a) the Inflation Index minus the Base Year Index, with the resulting value divided by (b) the Base Year Index (ECA Factor = (Inflation Index – Base Year Index) / Base Year Index)).</w:t>
      </w:r>
    </w:p>
    <w:p>
      <w:pPr>
        <w:pStyle w:val="Normal"/>
        <w:spacing w:before="0" w:after="0"/>
        <w:ind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 xml:space="preserve">If the Inflation Index is: </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(1)</w:t>
        <w:tab/>
      </w:r>
      <w:r>
        <w:rPr>
          <w:szCs w:val="22"/>
          <w:u w:val="single"/>
          <w:lang w:val="en-GB"/>
        </w:rPr>
        <w:t>equal to the Base Year Index</w:t>
      </w:r>
      <w:r>
        <w:rPr>
          <w:szCs w:val="22"/>
          <w:lang w:val="en-GB"/>
        </w:rPr>
        <w:t xml:space="preserve">, then the Inflation Factor shall be zero;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(2)</w:t>
        <w:tab/>
      </w:r>
      <w:r>
        <w:rPr>
          <w:szCs w:val="22"/>
          <w:u w:val="single"/>
          <w:lang w:val="en-GB"/>
        </w:rPr>
        <w:t>greater than the Base Year Index</w:t>
      </w:r>
      <w:r>
        <w:rPr>
          <w:szCs w:val="22"/>
          <w:lang w:val="en-GB"/>
        </w:rPr>
        <w:t>, then the Inflation Factor shall be positive; or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(3)</w:t>
        <w:tab/>
      </w:r>
      <w:r>
        <w:rPr>
          <w:szCs w:val="22"/>
          <w:u w:val="single"/>
          <w:lang w:val="en-GB"/>
        </w:rPr>
        <w:t>less than the Base Year Index</w:t>
      </w:r>
      <w:r>
        <w:rPr>
          <w:szCs w:val="22"/>
          <w:lang w:val="en-GB"/>
        </w:rPr>
        <w:t>, then the Inflation Factor shall be zero for the purposes of the ECA calculation.</w:t>
      </w:r>
    </w:p>
    <w:p>
      <w:pPr>
        <w:pStyle w:val="Normal"/>
        <w:spacing w:before="0" w:after="0"/>
        <w:jc w:val="both"/>
        <w:rPr>
          <w:szCs w:val="22"/>
          <w:lang w:val="en-GB"/>
        </w:rPr>
      </w:pPr>
      <w:r>
        <w:rPr>
          <w:szCs w:val="22"/>
          <w:lang w:val="en-GB"/>
        </w:rPr>
        <w:t xml:space="preserve"> </w:t>
      </w:r>
    </w:p>
    <w:p>
      <w:pPr>
        <w:pStyle w:val="Heading1Numbered"/>
        <w:numPr>
          <w:ilvl w:val="0"/>
          <w:numId w:val="2"/>
        </w:numPr>
        <w:ind w:hanging="0" w:start="0"/>
        <w:jc w:val="both"/>
        <w:rPr>
          <w:rFonts w:ascii="Times New Roman" w:hAnsi="Times New Roman" w:cs="Times New Roman"/>
          <w:bCs/>
          <w:sz w:val="22"/>
          <w:szCs w:val="22"/>
          <w:lang w:val="en-GB"/>
        </w:rPr>
      </w:pPr>
      <w:bookmarkStart w:id="7" w:name="__RefHeading___Toc152558742"/>
      <w:bookmarkEnd w:id="7"/>
      <w:r>
        <w:rPr>
          <w:rFonts w:cs="Times New Roman" w:ascii="Times New Roman" w:hAnsi="Times New Roman"/>
          <w:bCs/>
          <w:sz w:val="22"/>
          <w:szCs w:val="22"/>
          <w:lang w:val="en-GB"/>
        </w:rPr>
        <w:t>EXAMPLE OF ECA CALCULATION</w:t>
      </w:r>
    </w:p>
    <w:p>
      <w:pPr>
        <w:pStyle w:val="Normal"/>
        <w:tabs>
          <w:tab w:val="left" w:pos="720" w:leader="none"/>
        </w:tabs>
        <w:autoSpaceDE w:val="false"/>
        <w:spacing w:before="0" w:after="0"/>
        <w:ind w:start="720" w:end="0"/>
        <w:rPr>
          <w:szCs w:val="22"/>
          <w:lang w:val="en-GB" w:eastAsia="nl-BE"/>
        </w:rPr>
      </w:pPr>
      <w:r>
        <w:rPr>
          <w:szCs w:val="22"/>
          <w:lang w:val="en-GB"/>
        </w:rPr>
        <w:t>A</w:t>
      </w:r>
      <w:r>
        <w:rPr>
          <w:szCs w:val="22"/>
          <w:lang w:val="en-GB" w:eastAsia="nl-BE"/>
        </w:rPr>
        <w:t>ccording the following formula for the Netherlands</w:t>
      </w:r>
    </w:p>
    <w:p>
      <w:pPr>
        <w:pStyle w:val="Normal"/>
        <w:tabs>
          <w:tab w:val="left" w:pos="720" w:leader="none"/>
        </w:tabs>
        <w:autoSpaceDE w:val="false"/>
        <w:spacing w:before="0" w:after="0"/>
        <w:ind w:start="720" w:end="0"/>
        <w:rPr>
          <w:szCs w:val="22"/>
          <w:lang w:val="en-GB" w:eastAsia="nl-BE"/>
        </w:rPr>
      </w:pPr>
      <w:r>
        <w:rPr>
          <w:szCs w:val="22"/>
          <w:lang w:val="en-GB" w:eastAsia="nl-BE"/>
        </w:rPr>
      </w:r>
    </w:p>
    <w:p>
      <w:pPr>
        <w:pStyle w:val="Normal"/>
        <w:tabs>
          <w:tab w:val="left" w:pos="720" w:leader="none"/>
        </w:tabs>
        <w:autoSpaceDE w:val="false"/>
        <w:spacing w:before="0" w:after="0"/>
        <w:ind w:start="720" w:end="0"/>
        <w:rPr>
          <w:szCs w:val="22"/>
          <w:lang w:val="en-GB" w:eastAsia="nl-BE"/>
        </w:rPr>
      </w:pPr>
      <w:r>
        <w:rPr>
          <w:szCs w:val="22"/>
          <w:lang w:val="nl-BE" w:eastAsia="nl-BE"/>
        </w:rPr>
      </w:r>
      <m:oMathPara xmlns:m="http://schemas.openxmlformats.org/officeDocument/2006/math">
        <m:oMathParaPr>
          <m:jc m:val="left"/>
        </m:oMathParaPr>
        <m:oMath>
          <m:r>
            <m:t xml:space="preserve">R</m:t>
          </m:r>
          <m:r>
            <m:t xml:space="preserve">=</m:t>
          </m:r>
          <m:r>
            <m:t xml:space="preserve">R</m:t>
          </m:r>
          <m:r>
            <m:t xml:space="preserve">0</m:t>
          </m:r>
          <m:r>
            <m:t xml:space="preserve">∗</m:t>
          </m:r>
          <m:f>
            <m:num>
              <m:r>
                <m:t xml:space="preserve">S</m:t>
              </m:r>
            </m:num>
            <m:den>
              <m:r>
                <m:t xml:space="preserve">S</m:t>
              </m:r>
              <m:r>
                <m:t xml:space="preserve">0</m:t>
              </m:r>
            </m:den>
          </m:f>
        </m:oMath>
      </m:oMathPara>
    </w:p>
    <w:p>
      <w:pPr>
        <w:pStyle w:val="Normal"/>
        <w:tabs>
          <w:tab w:val="left" w:pos="720" w:leader="none"/>
        </w:tabs>
        <w:autoSpaceDE w:val="false"/>
        <w:spacing w:before="0" w:after="0"/>
        <w:ind w:start="720" w:end="0"/>
        <w:rPr>
          <w:szCs w:val="22"/>
          <w:lang w:val="en-GB" w:eastAsia="nl-BE"/>
        </w:rPr>
      </w:pPr>
      <w:r>
        <w:rPr>
          <w:szCs w:val="22"/>
          <w:lang w:val="en-GB" w:eastAsia="nl-BE"/>
        </w:rPr>
      </w:r>
    </w:p>
    <w:p>
      <w:pPr>
        <w:pStyle w:val="Normal"/>
        <w:tabs>
          <w:tab w:val="left" w:pos="720" w:leader="none"/>
        </w:tabs>
        <w:autoSpaceDE w:val="false"/>
        <w:spacing w:before="0" w:after="0"/>
        <w:ind w:start="720" w:end="0"/>
        <w:rPr>
          <w:szCs w:val="22"/>
          <w:lang w:val="en-GB" w:eastAsia="nl-BE"/>
        </w:rPr>
      </w:pPr>
      <w:r>
        <w:rPr>
          <w:szCs w:val="22"/>
          <w:lang w:val="en-GB" w:eastAsia="nl-BE"/>
        </w:rPr>
        <w:t>R:</w:t>
        <w:tab/>
        <w:t>the adjusted price.</w:t>
      </w:r>
    </w:p>
    <w:p>
      <w:pPr>
        <w:pStyle w:val="Normal"/>
        <w:tabs>
          <w:tab w:val="left" w:pos="720" w:leader="none"/>
        </w:tabs>
        <w:autoSpaceDE w:val="false"/>
        <w:spacing w:before="0" w:after="0"/>
        <w:ind w:start="720" w:end="0"/>
        <w:rPr>
          <w:szCs w:val="22"/>
          <w:lang w:val="en-GB" w:eastAsia="nl-BE"/>
        </w:rPr>
      </w:pPr>
      <w:r>
        <w:rPr>
          <w:szCs w:val="22"/>
          <w:lang w:val="en-GB" w:eastAsia="nl-BE"/>
        </w:rPr>
        <w:t>R</w:t>
      </w:r>
      <w:r>
        <w:rPr>
          <w:szCs w:val="22"/>
          <w:vertAlign w:val="subscript"/>
          <w:lang w:val="en-GB" w:eastAsia="nl-BE"/>
        </w:rPr>
        <w:t>0</w:t>
      </w:r>
      <w:r>
        <w:rPr>
          <w:szCs w:val="22"/>
          <w:lang w:val="en-GB" w:eastAsia="nl-BE"/>
        </w:rPr>
        <w:t>:</w:t>
        <w:tab/>
        <w:t>the current price.</w:t>
      </w:r>
    </w:p>
    <w:p>
      <w:pPr>
        <w:pStyle w:val="Normal"/>
        <w:tabs>
          <w:tab w:val="clear" w:pos="720"/>
          <w:tab w:val="left" w:pos="709" w:leader="none"/>
        </w:tabs>
        <w:autoSpaceDE w:val="false"/>
        <w:spacing w:before="0" w:after="0"/>
        <w:ind w:hanging="705" w:start="1426" w:end="0"/>
        <w:rPr>
          <w:szCs w:val="22"/>
          <w:lang w:val="en-GB" w:eastAsia="nl-BE"/>
        </w:rPr>
      </w:pPr>
      <w:r>
        <w:rPr>
          <w:szCs w:val="22"/>
          <w:lang w:val="en-GB" w:eastAsia="nl-BE"/>
        </w:rPr>
      </w:r>
    </w:p>
    <w:p>
      <w:pPr>
        <w:pStyle w:val="Normal"/>
        <w:tabs>
          <w:tab w:val="clear" w:pos="720"/>
          <w:tab w:val="left" w:pos="709" w:leader="none"/>
        </w:tabs>
        <w:autoSpaceDE w:val="false"/>
        <w:spacing w:before="0" w:after="0"/>
        <w:ind w:hanging="705" w:start="1426" w:end="0"/>
        <w:rPr/>
      </w:pPr>
      <w:r>
        <w:rPr>
          <w:szCs w:val="22"/>
          <w:lang w:val="en-GB" w:eastAsia="nl-BE"/>
        </w:rPr>
        <w:t>S:</w:t>
        <w:tab/>
        <w:t xml:space="preserve">the national wage index (wage and social costs) as published </w:t>
      </w:r>
      <w:r>
        <w:rPr>
          <w:color w:val="000000"/>
          <w:szCs w:val="22"/>
          <w:lang w:val="en-GB"/>
        </w:rPr>
        <w:t>Index Zakelijke Dienstverlening, published by CBS</w:t>
      </w:r>
      <w:r>
        <w:rPr>
          <w:szCs w:val="22"/>
          <w:lang w:val="en-GB" w:eastAsia="nl-BE"/>
        </w:rPr>
        <w:t xml:space="preserve">   valid for the month preceding the revision date.</w:t>
      </w:r>
    </w:p>
    <w:p>
      <w:pPr>
        <w:pStyle w:val="Normal"/>
        <w:spacing w:before="0" w:after="0"/>
        <w:ind w:firstLine="720" w:end="0"/>
        <w:jc w:val="both"/>
        <w:rPr>
          <w:szCs w:val="22"/>
          <w:lang w:val="en-GB" w:eastAsia="nl-BE"/>
        </w:rPr>
      </w:pPr>
      <w:r>
        <w:rPr>
          <w:szCs w:val="22"/>
          <w:lang w:val="en-GB" w:eastAsia="nl-BE"/>
        </w:rPr>
        <w:t>S</w:t>
      </w:r>
      <w:r>
        <w:rPr>
          <w:szCs w:val="22"/>
          <w:vertAlign w:val="subscript"/>
          <w:lang w:val="en-GB" w:eastAsia="nl-BE"/>
        </w:rPr>
        <w:t>0</w:t>
      </w:r>
      <w:r>
        <w:rPr>
          <w:szCs w:val="22"/>
          <w:lang w:val="en-GB" w:eastAsia="nl-BE"/>
        </w:rPr>
        <w:t>:</w:t>
        <w:tab/>
        <w:t>the same wage index valid for the month preceding the previous revision date.</w:t>
      </w:r>
    </w:p>
    <w:p>
      <w:pPr>
        <w:pStyle w:val="Normal"/>
        <w:spacing w:before="0" w:after="0"/>
        <w:ind w:firstLine="720" w:end="0"/>
        <w:jc w:val="both"/>
        <w:rPr>
          <w:szCs w:val="22"/>
          <w:lang w:val="en-GB" w:eastAsia="nl-BE"/>
        </w:rPr>
      </w:pPr>
      <w:r>
        <w:rPr>
          <w:szCs w:val="22"/>
          <w:lang w:val="en-GB" w:eastAsia="nl-BE"/>
        </w:rPr>
      </w:r>
    </w:p>
    <w:p>
      <w:pPr>
        <w:pStyle w:val="Normal"/>
        <w:tabs>
          <w:tab w:val="left" w:pos="720" w:leader="none"/>
        </w:tabs>
        <w:autoSpaceDE w:val="false"/>
        <w:spacing w:before="0" w:after="0"/>
        <w:ind w:start="720" w:end="0"/>
        <w:rPr>
          <w:szCs w:val="22"/>
          <w:lang w:val="en-GB" w:eastAsia="nl-BE"/>
        </w:rPr>
      </w:pPr>
      <w:r>
        <w:rPr>
          <w:szCs w:val="22"/>
          <w:lang w:val="en-GB"/>
        </w:rPr>
        <w:t>A</w:t>
      </w:r>
      <w:r>
        <w:rPr>
          <w:szCs w:val="22"/>
          <w:lang w:val="en-GB" w:eastAsia="nl-BE"/>
        </w:rPr>
        <w:t>ccording the following formula for Belgium according to local law:</w:t>
      </w:r>
    </w:p>
    <w:p>
      <w:pPr>
        <w:pStyle w:val="Normal"/>
        <w:tabs>
          <w:tab w:val="left" w:pos="720" w:leader="none"/>
        </w:tabs>
        <w:autoSpaceDE w:val="false"/>
        <w:spacing w:before="0" w:after="0"/>
        <w:ind w:start="720" w:end="0"/>
        <w:rPr>
          <w:szCs w:val="22"/>
          <w:lang w:val="en-GB" w:eastAsia="nl-BE"/>
        </w:rPr>
      </w:pPr>
      <w:r>
        <w:rPr>
          <w:szCs w:val="22"/>
          <w:lang w:val="en-GB" w:eastAsia="nl-BE"/>
        </w:rPr>
      </w:r>
    </w:p>
    <w:p>
      <w:pPr>
        <w:pStyle w:val="Normal"/>
        <w:tabs>
          <w:tab w:val="left" w:pos="720" w:leader="none"/>
        </w:tabs>
        <w:autoSpaceDE w:val="false"/>
        <w:spacing w:before="0" w:after="0"/>
        <w:ind w:start="720" w:end="0"/>
        <w:rPr>
          <w:szCs w:val="22"/>
          <w:lang w:val="en-GB" w:eastAsia="nl-BE"/>
        </w:rPr>
      </w:pPr>
      <w:r>
        <w:rPr>
          <w:szCs w:val="22"/>
          <w:lang w:val="nl-BE" w:eastAsia="nl-BE"/>
        </w:rPr>
      </w:r>
      <m:oMathPara xmlns:m="http://schemas.openxmlformats.org/officeDocument/2006/math">
        <m:oMathParaPr>
          <m:jc m:val="left"/>
        </m:oMathParaPr>
        <m:oMath>
          <m:r>
            <m:t xml:space="preserve">R</m:t>
          </m:r>
          <m:r>
            <m:t xml:space="preserve">=</m:t>
          </m:r>
          <m:r>
            <m:t xml:space="preserve">R</m:t>
          </m:r>
          <m:r>
            <m:t xml:space="preserve">0</m:t>
          </m:r>
          <m:r>
            <m:t xml:space="preserve">∗</m:t>
          </m:r>
          <m:r>
            <m:t xml:space="preserve">(</m:t>
          </m:r>
          <m:r>
            <m:t xml:space="preserve">0</m:t>
          </m:r>
          <m:r>
            <m:rPr>
              <m:lit/>
              <m:nor/>
            </m:rPr>
            <m:t xml:space="preserve">.</m:t>
          </m:r>
          <m:r>
            <m:t xml:space="preserve">2</m:t>
          </m:r>
          <m:r>
            <m:t xml:space="preserve">+</m:t>
          </m:r>
          <m:r>
            <m:t xml:space="preserve">0</m:t>
          </m:r>
          <m:r>
            <m:rPr>
              <m:lit/>
              <m:nor/>
            </m:rPr>
            <m:t xml:space="preserve">.</m:t>
          </m:r>
          <m:r>
            <m:t xml:space="preserve">8</m:t>
          </m:r>
          <m:r>
            <m:t xml:space="preserve">∗</m:t>
          </m:r>
          <m:f>
            <m:num>
              <m:r>
                <m:t xml:space="preserve">S</m:t>
              </m:r>
            </m:num>
            <m:den>
              <m:r>
                <m:t xml:space="preserve">S</m:t>
              </m:r>
              <m:r>
                <m:t xml:space="preserve">0</m:t>
              </m:r>
            </m:den>
          </m:f>
          <m:r>
            <m:t xml:space="preserve">)</m:t>
          </m:r>
        </m:oMath>
      </m:oMathPara>
    </w:p>
    <w:p>
      <w:pPr>
        <w:pStyle w:val="Normal"/>
        <w:tabs>
          <w:tab w:val="left" w:pos="720" w:leader="none"/>
        </w:tabs>
        <w:autoSpaceDE w:val="false"/>
        <w:spacing w:before="0" w:after="0"/>
        <w:ind w:start="720" w:end="0"/>
        <w:rPr>
          <w:szCs w:val="22"/>
          <w:lang w:val="en-GB" w:eastAsia="nl-BE"/>
        </w:rPr>
      </w:pPr>
      <w:r>
        <w:rPr>
          <w:szCs w:val="22"/>
          <w:lang w:val="en-GB" w:eastAsia="nl-BE"/>
        </w:rPr>
      </w:r>
    </w:p>
    <w:p>
      <w:pPr>
        <w:pStyle w:val="Normal"/>
        <w:tabs>
          <w:tab w:val="left" w:pos="720" w:leader="none"/>
        </w:tabs>
        <w:autoSpaceDE w:val="false"/>
        <w:spacing w:before="0" w:after="0"/>
        <w:ind w:start="720" w:end="0"/>
        <w:rPr>
          <w:szCs w:val="22"/>
          <w:lang w:val="en-GB" w:eastAsia="nl-BE"/>
        </w:rPr>
      </w:pPr>
      <w:r>
        <w:rPr>
          <w:szCs w:val="22"/>
          <w:lang w:val="en-GB" w:eastAsia="nl-BE"/>
        </w:rPr>
        <w:t>R:</w:t>
        <w:tab/>
        <w:t>the adjusted price.</w:t>
      </w:r>
    </w:p>
    <w:p>
      <w:pPr>
        <w:pStyle w:val="Normal"/>
        <w:tabs>
          <w:tab w:val="left" w:pos="720" w:leader="none"/>
        </w:tabs>
        <w:autoSpaceDE w:val="false"/>
        <w:spacing w:before="0" w:after="0"/>
        <w:ind w:start="720" w:end="0"/>
        <w:rPr/>
      </w:pPr>
      <w:r>
        <w:rPr>
          <w:szCs w:val="22"/>
          <w:lang w:val="en-GB" w:eastAsia="nl-BE"/>
        </w:rPr>
        <w:t>R</w:t>
      </w:r>
      <w:r>
        <w:rPr>
          <w:szCs w:val="22"/>
          <w:vertAlign w:val="subscript"/>
          <w:lang w:val="en-GB" w:eastAsia="nl-BE"/>
        </w:rPr>
        <w:t>0</w:t>
      </w:r>
      <w:r>
        <w:rPr>
          <w:szCs w:val="22"/>
          <w:lang w:val="en-GB" w:eastAsia="nl-BE"/>
        </w:rPr>
        <w:t>:</w:t>
        <w:tab/>
        <w:t>the current price.</w:t>
      </w:r>
    </w:p>
    <w:p>
      <w:pPr>
        <w:pStyle w:val="Normal"/>
        <w:tabs>
          <w:tab w:val="clear" w:pos="720"/>
          <w:tab w:val="left" w:pos="709" w:leader="none"/>
        </w:tabs>
        <w:autoSpaceDE w:val="false"/>
        <w:spacing w:before="0" w:after="0"/>
        <w:ind w:hanging="705" w:start="1426" w:end="0"/>
        <w:rPr>
          <w:szCs w:val="22"/>
          <w:lang w:val="en-GB" w:eastAsia="nl-BE"/>
        </w:rPr>
      </w:pPr>
      <w:r>
        <w:rPr>
          <w:szCs w:val="22"/>
          <w:lang w:val="en-GB" w:eastAsia="nl-BE"/>
        </w:rPr>
      </w:r>
    </w:p>
    <w:p>
      <w:pPr>
        <w:pStyle w:val="Normal"/>
        <w:tabs>
          <w:tab w:val="clear" w:pos="720"/>
          <w:tab w:val="left" w:pos="709" w:leader="none"/>
        </w:tabs>
        <w:autoSpaceDE w:val="false"/>
        <w:spacing w:before="0" w:after="0"/>
        <w:ind w:hanging="705" w:start="1426" w:end="0"/>
        <w:rPr>
          <w:szCs w:val="22"/>
          <w:lang w:val="en-GB" w:eastAsia="nl-BE"/>
        </w:rPr>
      </w:pPr>
      <w:r>
        <w:rPr>
          <w:szCs w:val="22"/>
          <w:lang w:val="en-GB" w:eastAsia="nl-BE"/>
        </w:rPr>
        <w:t>S:</w:t>
        <w:tab/>
        <w:t>the national wage index (wage and social costs) as published by Agoria , valid for the month preceding the revision date.</w:t>
      </w:r>
    </w:p>
    <w:p>
      <w:pPr>
        <w:pStyle w:val="Normal"/>
        <w:spacing w:before="0" w:after="0"/>
        <w:ind w:firstLine="720" w:end="0"/>
        <w:jc w:val="both"/>
        <w:rPr>
          <w:szCs w:val="22"/>
          <w:lang w:val="en-GB"/>
        </w:rPr>
      </w:pPr>
      <w:r>
        <w:rPr>
          <w:szCs w:val="22"/>
          <w:lang w:val="en-GB" w:eastAsia="nl-BE"/>
        </w:rPr>
        <w:t>S</w:t>
      </w:r>
      <w:r>
        <w:rPr>
          <w:szCs w:val="22"/>
          <w:vertAlign w:val="subscript"/>
          <w:lang w:val="en-GB" w:eastAsia="nl-BE"/>
        </w:rPr>
        <w:t>0</w:t>
      </w:r>
      <w:r>
        <w:rPr>
          <w:szCs w:val="22"/>
          <w:lang w:val="en-GB" w:eastAsia="nl-BE"/>
        </w:rPr>
        <w:t>:</w:t>
        <w:tab/>
        <w:t>the same wage index valid for the month preceding the previous revision date.</w:t>
      </w:r>
    </w:p>
    <w:p>
      <w:pPr>
        <w:pStyle w:val="Normal"/>
        <w:spacing w:before="0" w:after="0"/>
        <w:ind w:firstLine="720" w:end="0"/>
        <w:jc w:val="both"/>
        <w:rPr>
          <w:szCs w:val="22"/>
          <w:lang w:val="en-GB"/>
        </w:rPr>
      </w:pPr>
      <w:r>
        <w:rPr>
          <w:szCs w:val="22"/>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right" w:pos="8460" w:leader="none"/>
      </w:tabs>
      <w:spacing w:before="120" w:after="120"/>
      <w:rPr/>
    </w:pPr>
    <w:r>
      <w:rPr>
        <w:sz w:val="16"/>
        <w:szCs w:val="16"/>
      </w:rPr>
      <w:t>Ops&amp;IT Banking Confidential</w:t>
      <w:tab/>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4-G (COLA) Final v1.9.doc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4-G (COLA) Final v1.9.doc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4-G (COLA) Final v1.9.doc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360"/>
        </w:tabs>
        <w:ind w:start="1800" w:hanging="360"/>
      </w:pPr>
    </w:lvl>
  </w:abstractNum>
  <w:abstractNum w:abstractNumId="5">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6">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4"/>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6"/>
      </w:numPr>
    </w:pPr>
    <w:rPr>
      <w:bCs/>
    </w:rPr>
  </w:style>
  <w:style w:type="paragraph" w:styleId="TableLevel3Numbered">
    <w:name w:val="Table Level 3 Numbered"/>
    <w:basedOn w:val="Normal"/>
    <w:qFormat/>
    <w:pPr>
      <w:numPr>
        <w:ilvl w:val="0"/>
        <w:numId w:val="6"/>
      </w:numPr>
    </w:pPr>
    <w:rPr/>
  </w:style>
  <w:style w:type="paragraph" w:styleId="TableLevel4Numbered">
    <w:name w:val="Table Level 4 Numbered"/>
    <w:basedOn w:val="Normal"/>
    <w:qFormat/>
    <w:pPr>
      <w:numPr>
        <w:ilvl w:val="0"/>
        <w:numId w:val="6"/>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5"/>
      </w:numPr>
      <w:spacing w:before="240" w:after="240"/>
    </w:pPr>
    <w:rPr/>
  </w:style>
  <w:style w:type="paragraph" w:styleId="BodyLevel2Numbered">
    <w:name w:val="Body Level 2 Numbered"/>
    <w:basedOn w:val="Normal"/>
    <w:qFormat/>
    <w:pPr>
      <w:numPr>
        <w:ilvl w:val="0"/>
        <w:numId w:val="5"/>
      </w:numPr>
      <w:spacing w:before="240" w:after="240"/>
    </w:pPr>
    <w:rPr/>
  </w:style>
  <w:style w:type="paragraph" w:styleId="BodyLevel3Numbered">
    <w:name w:val="Body Level 3 Numbered"/>
    <w:basedOn w:val="Normal"/>
    <w:qFormat/>
    <w:pPr>
      <w:numPr>
        <w:ilvl w:val="0"/>
        <w:numId w:val="5"/>
      </w:numPr>
      <w:spacing w:before="240" w:after="240"/>
    </w:pPr>
    <w:rPr/>
  </w:style>
  <w:style w:type="paragraph" w:styleId="BodyLevel4Numbered">
    <w:name w:val="Body Level 4 Numbered"/>
    <w:basedOn w:val="Normal"/>
    <w:qFormat/>
    <w:pPr>
      <w:numPr>
        <w:ilvl w:val="0"/>
        <w:numId w:val="5"/>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TableHead">
    <w:name w:val="TableHead"/>
    <w:basedOn w:val="Normal"/>
    <w:next w:val="Normal"/>
    <w:qFormat/>
    <w:pPr>
      <w:spacing w:before="0" w:after="0"/>
      <w:jc w:val="center"/>
    </w:pPr>
    <w:rPr>
      <w:rFonts w:ascii="Arial" w:hAnsi="Arial" w:cs="Arial"/>
      <w:b/>
      <w:bCs/>
      <w:sz w:val="20"/>
      <w:szCs w:val="20"/>
    </w:rPr>
  </w:style>
  <w:style w:type="paragraph" w:styleId="ListBullet">
    <w:name w:val="List Bullet"/>
    <w:pPr>
      <w:widowControl/>
      <w:numPr>
        <w:ilvl w:val="0"/>
        <w:numId w:val="4"/>
      </w:numPr>
      <w:bidi w:val="0"/>
      <w:spacing w:before="0" w:after="120"/>
    </w:pPr>
    <w:rPr>
      <w:rFonts w:ascii="Times New Roman" w:hAnsi="Times New Roman" w:eastAsia="Times New Roman" w:cs="Times New Roman"/>
      <w:color w:val="auto"/>
      <w:sz w:val="24"/>
      <w:szCs w:val="20"/>
      <w:lang w:val="en-US" w:bidi="ar-SA" w:eastAsia="zh-CN"/>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2006-12-13T14:07:00Z</dcterms:created>
  <dc:creator> </dc:creator>
  <dc:description/>
  <cp:keywords/>
  <dc:language>en-US</dc:language>
  <cp:lastModifiedBy>Stuart Johnson</cp:lastModifiedBy>
  <cp:lastPrinted>2005-07-04T16:19:00Z</cp:lastPrinted>
  <dcterms:modified xsi:type="dcterms:W3CDTF">2006-12-13T14:09:00Z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1837693952</vt:r8>
  </property>
  <property fmtid="{D5CDD505-2E9C-101B-9397-08002B2CF9AE}" pid="3" name="_AuthorEmail">
    <vt:lpwstr>ilse.persoons@ing.be</vt:lpwstr>
  </property>
  <property fmtid="{D5CDD505-2E9C-101B-9397-08002B2CF9AE}" pid="4" name="_AuthorEmailDisplayName">
    <vt:lpwstr>Persoons, I. (Ilse)</vt:lpwstr>
  </property>
  <property fmtid="{D5CDD505-2E9C-101B-9397-08002B2CF9AE}" pid="5" name="_EmailSubject">
    <vt:lpwstr>Attament 4-G</vt:lpwstr>
  </property>
  <property fmtid="{D5CDD505-2E9C-101B-9397-08002B2CF9AE}" pid="6" name="_ReviewingToolsShownOnce">
    <vt:lpwstr/>
  </property>
</Properties>
</file>