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240" w:after="240"/>
        <w:jc w:val="center"/>
        <w:rPr/>
      </w:pPr>
      <w:r>
        <w:rPr/>
      </w:r>
    </w:p>
    <w:p>
      <w:pPr>
        <w:pStyle w:val="Title"/>
        <w:rPr/>
      </w:pPr>
      <w:r>
        <w:rPr/>
      </w:r>
    </w:p>
    <w:p>
      <w:pPr>
        <w:pStyle w:val="Title"/>
        <w:rPr/>
      </w:pPr>
      <w:r>
        <w:rPr/>
      </w:r>
    </w:p>
    <w:p>
      <w:pPr>
        <w:pStyle w:val="Title"/>
        <w:rPr>
          <w:lang w:val="en-GB"/>
        </w:rPr>
      </w:pPr>
      <w:r>
        <w:rPr>
          <w:lang w:val="en-GB"/>
        </w:rPr>
      </w:r>
    </w:p>
    <w:p>
      <w:pPr>
        <w:pStyle w:val="Title"/>
        <w:rPr>
          <w:lang w:val="en-GB"/>
        </w:rPr>
      </w:pPr>
      <w:r>
        <w:rPr>
          <w:lang w:val="en-GB"/>
        </w:rPr>
        <w:t>EuroBank</w:t>
      </w:r>
    </w:p>
    <w:p>
      <w:pPr>
        <w:pStyle w:val="Title"/>
        <w:rPr>
          <w:lang w:val="en-GB"/>
        </w:rPr>
      </w:pPr>
      <w:r>
        <w:rPr>
          <w:lang w:val="en-GB"/>
        </w:rPr>
      </w:r>
    </w:p>
    <w:p>
      <w:pPr>
        <w:pStyle w:val="Title"/>
        <w:rPr>
          <w:lang w:val="en-GB"/>
        </w:rPr>
      </w:pPr>
      <w:r>
        <w:rPr>
          <w:lang w:val="en-GB"/>
        </w:rPr>
        <w:t>Attachment 4-J</w:t>
      </w:r>
    </w:p>
    <w:p>
      <w:pPr>
        <w:pStyle w:val="Title"/>
        <w:rPr>
          <w:lang w:val="en-GB"/>
        </w:rPr>
      </w:pPr>
      <w:r>
        <w:rPr>
          <w:lang w:val="en-GB"/>
        </w:rPr>
      </w:r>
    </w:p>
    <w:p>
      <w:pPr>
        <w:pStyle w:val="Title"/>
        <w:rPr>
          <w:lang w:val="en-GB"/>
        </w:rPr>
      </w:pPr>
      <w:bookmarkStart w:id="0" w:name="OLE_LINK3"/>
      <w:bookmarkEnd w:id="0"/>
      <w:r>
        <w:rPr>
          <w:lang w:val="en-GB"/>
        </w:rPr>
        <w:t>Seat Pricing Mechanism</w:t>
      </w:r>
    </w:p>
    <w:p>
      <w:pPr>
        <w:pStyle w:val="Title"/>
        <w:rPr>
          <w:lang w:val="en-GB"/>
        </w:rPr>
      </w:pPr>
      <w:r>
        <w:rPr>
          <w:lang w:val="en-GB"/>
        </w:rPr>
      </w:r>
      <w:bookmarkStart w:id="1" w:name="OLE_LINK3"/>
      <w:bookmarkStart w:id="2" w:name="OLE_LINK3"/>
      <w:bookmarkEnd w:id="2"/>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pStyle w:val="Title"/>
        <w:rPr>
          <w:lang w:val="en-GB"/>
        </w:rPr>
      </w:pPr>
      <w:r>
        <w:rPr>
          <w:lang w:val="en-GB"/>
        </w:rPr>
      </w:r>
    </w:p>
    <w:p>
      <w:pPr>
        <w:sectPr>
          <w:headerReference w:type="default" r:id="rId2"/>
          <w:footerReference w:type="default" r:id="rId3"/>
          <w:type w:val="nextPage"/>
          <w:pgSz w:w="11906" w:h="16838"/>
          <w:pgMar w:left="1729" w:right="1729" w:gutter="0" w:header="720" w:top="776" w:footer="72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le"/>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sz w:val="18"/>
              <w:szCs w:val="18"/>
              <w:lang w:val="en-US" w:eastAsia="en-US"/>
            </w:rPr>
          </w:pPr>
          <w:r>
            <w:fldChar w:fldCharType="begin"/>
          </w:r>
          <w:r>
            <w:rPr>
              <w:sz w:val="18"/>
              <w:szCs w:val="18"/>
              <w:lang w:val="en-GB" w:eastAsia="en-US"/>
            </w:rPr>
            <w:instrText xml:space="preserve"> TOC \t "Heading 1 Numbered,1" </w:instrText>
          </w:r>
          <w:r>
            <w:rPr>
              <w:sz w:val="18"/>
              <w:szCs w:val="18"/>
              <w:lang w:val="en-GB" w:eastAsia="en-US"/>
            </w:rPr>
            <w:fldChar w:fldCharType="separate"/>
          </w:r>
          <w:r>
            <w:rPr>
              <w:sz w:val="18"/>
              <w:szCs w:val="18"/>
              <w:lang w:val="en-GB" w:eastAsia="en-US"/>
            </w:rPr>
            <w:t>1.</w:t>
          </w:r>
          <w:r>
            <w:rPr>
              <w:b w:val="false"/>
              <w:sz w:val="18"/>
              <w:szCs w:val="18"/>
              <w:lang w:val="en-US" w:eastAsia="en-US"/>
            </w:rPr>
            <w:tab/>
          </w:r>
          <w:r>
            <w:rPr>
              <w:sz w:val="18"/>
              <w:szCs w:val="18"/>
              <w:lang w:val="en-GB" w:eastAsia="en-US"/>
            </w:rPr>
            <w:t>Introduction.</w:t>
          </w:r>
          <w:r>
            <w:rPr>
              <w:sz w:val="18"/>
              <w:szCs w:val="18"/>
              <w:lang w:val="en-US" w:eastAsia="en-US"/>
            </w:rPr>
            <w:tab/>
          </w:r>
          <w:hyperlink w:anchor="__RefHeading___Toc152387193">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2.</w:t>
          </w:r>
          <w:r>
            <w:rPr>
              <w:b w:val="false"/>
              <w:sz w:val="18"/>
              <w:szCs w:val="18"/>
              <w:lang w:val="en-US" w:eastAsia="en-US"/>
            </w:rPr>
            <w:tab/>
          </w:r>
          <w:r>
            <w:rPr>
              <w:sz w:val="18"/>
              <w:szCs w:val="18"/>
              <w:lang w:val="en-GB" w:eastAsia="en-US"/>
            </w:rPr>
            <w:t>Definitions</w:t>
          </w:r>
          <w:r>
            <w:rPr>
              <w:sz w:val="18"/>
              <w:szCs w:val="18"/>
              <w:lang w:val="en-US" w:eastAsia="en-US"/>
            </w:rPr>
            <w:tab/>
          </w:r>
          <w:hyperlink w:anchor="__RefHeading___Toc152387194">
            <w:r>
              <w:rPr>
                <w:rStyle w:val="IndexLink"/>
                <w:sz w:val="18"/>
                <w:szCs w:val="18"/>
                <w:lang w:val="en-US" w:eastAsia="en-US"/>
              </w:rPr>
              <w:t>1</w:t>
            </w:r>
          </w:hyperlink>
        </w:p>
        <w:p>
          <w:pPr>
            <w:pStyle w:val="TOC1"/>
            <w:tabs>
              <w:tab w:val="clear" w:pos="720"/>
              <w:tab w:val="left" w:pos="440" w:leader="none"/>
              <w:tab w:val="right" w:pos="8441" w:leader="dot"/>
            </w:tabs>
            <w:rPr>
              <w:b w:val="false"/>
              <w:sz w:val="18"/>
              <w:szCs w:val="18"/>
              <w:lang w:val="en-US" w:eastAsia="en-US"/>
            </w:rPr>
          </w:pPr>
          <w:r>
            <w:rPr>
              <w:sz w:val="18"/>
              <w:szCs w:val="18"/>
              <w:lang w:val="en-GB" w:eastAsia="en-US"/>
            </w:rPr>
            <w:t>3.</w:t>
          </w:r>
          <w:r>
            <w:rPr>
              <w:b w:val="false"/>
              <w:sz w:val="18"/>
              <w:szCs w:val="18"/>
              <w:lang w:val="en-US" w:eastAsia="en-US"/>
            </w:rPr>
            <w:tab/>
          </w:r>
          <w:r>
            <w:rPr>
              <w:sz w:val="18"/>
              <w:szCs w:val="18"/>
              <w:lang w:val="en-GB" w:eastAsia="en-US"/>
            </w:rPr>
            <w:t>Seat Pricing Conversion Model</w:t>
          </w:r>
          <w:r>
            <w:rPr>
              <w:sz w:val="18"/>
              <w:szCs w:val="18"/>
              <w:lang w:val="en-US" w:eastAsia="en-US"/>
            </w:rPr>
            <w:tab/>
          </w:r>
          <w:hyperlink w:anchor="__RefHeading___Toc152387195">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4.</w:t>
          </w:r>
          <w:r>
            <w:rPr>
              <w:b w:val="false"/>
              <w:sz w:val="18"/>
              <w:szCs w:val="18"/>
              <w:lang w:val="en-US" w:eastAsia="en-US"/>
            </w:rPr>
            <w:tab/>
          </w:r>
          <w:r>
            <w:rPr>
              <w:bCs/>
              <w:sz w:val="18"/>
              <w:szCs w:val="18"/>
              <w:lang w:val="en-GB" w:eastAsia="en-US"/>
            </w:rPr>
            <w:t>Clarifications:</w:t>
          </w:r>
          <w:r>
            <w:rPr>
              <w:sz w:val="18"/>
              <w:szCs w:val="18"/>
              <w:lang w:val="en-US" w:eastAsia="en-US"/>
            </w:rPr>
            <w:tab/>
          </w:r>
          <w:hyperlink w:anchor="__RefHeading___Toc152387196">
            <w:r>
              <w:rPr>
                <w:rStyle w:val="IndexLink"/>
                <w:sz w:val="18"/>
                <w:szCs w:val="18"/>
                <w:lang w:val="en-US" w:eastAsia="en-US"/>
              </w:rPr>
              <w:t>2</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5.</w:t>
          </w:r>
          <w:r>
            <w:rPr>
              <w:b w:val="false"/>
              <w:sz w:val="18"/>
              <w:szCs w:val="18"/>
              <w:lang w:val="en-US" w:eastAsia="en-US"/>
            </w:rPr>
            <w:tab/>
          </w:r>
          <w:r>
            <w:rPr>
              <w:bCs/>
              <w:sz w:val="18"/>
              <w:szCs w:val="18"/>
              <w:lang w:val="en-GB" w:eastAsia="en-US"/>
            </w:rPr>
            <w:t>Seat Price Model - Charges.</w:t>
          </w:r>
          <w:r>
            <w:rPr>
              <w:sz w:val="18"/>
              <w:szCs w:val="18"/>
              <w:lang w:val="en-US" w:eastAsia="en-US"/>
            </w:rPr>
            <w:tab/>
          </w:r>
          <w:hyperlink w:anchor="__RefHeading___Toc152387197">
            <w:r>
              <w:rPr>
                <w:rStyle w:val="IndexLink"/>
                <w:sz w:val="18"/>
                <w:szCs w:val="18"/>
                <w:lang w:val="en-US" w:eastAsia="en-US"/>
              </w:rPr>
              <w:t>3</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6.</w:t>
          </w:r>
          <w:r>
            <w:rPr>
              <w:b w:val="false"/>
              <w:sz w:val="18"/>
              <w:szCs w:val="18"/>
              <w:lang w:val="en-US" w:eastAsia="en-US"/>
            </w:rPr>
            <w:tab/>
          </w:r>
          <w:r>
            <w:rPr>
              <w:bCs/>
              <w:sz w:val="18"/>
              <w:szCs w:val="18"/>
              <w:lang w:val="en-GB" w:eastAsia="en-US"/>
            </w:rPr>
            <w:t>Charges during First Year</w:t>
          </w:r>
          <w:r>
            <w:rPr>
              <w:sz w:val="18"/>
              <w:szCs w:val="18"/>
              <w:lang w:val="en-US" w:eastAsia="en-US"/>
            </w:rPr>
            <w:tab/>
          </w:r>
          <w:hyperlink w:anchor="__RefHeading___Toc152387198">
            <w:r>
              <w:rPr>
                <w:rStyle w:val="IndexLink"/>
                <w:sz w:val="18"/>
                <w:szCs w:val="18"/>
                <w:lang w:val="en-US" w:eastAsia="en-US"/>
              </w:rPr>
              <w:t>4</w:t>
            </w:r>
          </w:hyperlink>
        </w:p>
        <w:p>
          <w:pPr>
            <w:pStyle w:val="TOC1"/>
            <w:tabs>
              <w:tab w:val="clear" w:pos="720"/>
              <w:tab w:val="left" w:pos="440" w:leader="none"/>
              <w:tab w:val="right" w:pos="8441" w:leader="dot"/>
            </w:tabs>
            <w:rPr>
              <w:b w:val="false"/>
              <w:sz w:val="18"/>
              <w:szCs w:val="18"/>
              <w:lang w:val="en-US" w:eastAsia="en-US"/>
            </w:rPr>
          </w:pPr>
          <w:r>
            <w:rPr>
              <w:bCs/>
              <w:sz w:val="18"/>
              <w:szCs w:val="18"/>
              <w:lang w:val="en-GB" w:eastAsia="en-US"/>
            </w:rPr>
            <w:t>7.</w:t>
          </w:r>
          <w:r>
            <w:rPr>
              <w:b w:val="false"/>
              <w:sz w:val="18"/>
              <w:szCs w:val="18"/>
              <w:lang w:val="en-US" w:eastAsia="en-US"/>
            </w:rPr>
            <w:tab/>
          </w:r>
          <w:r>
            <w:rPr>
              <w:bCs/>
              <w:sz w:val="18"/>
              <w:szCs w:val="18"/>
              <w:lang w:val="en-GB" w:eastAsia="en-US"/>
            </w:rPr>
            <w:t>First and Last Months Charges.</w:t>
          </w:r>
          <w:r>
            <w:rPr>
              <w:sz w:val="18"/>
              <w:szCs w:val="18"/>
              <w:lang w:val="en-US" w:eastAsia="en-US"/>
            </w:rPr>
            <w:tab/>
          </w:r>
          <w:hyperlink w:anchor="__RefHeading___Toc152387199">
            <w:r>
              <w:rPr>
                <w:rStyle w:val="IndexLink"/>
                <w:sz w:val="18"/>
                <w:szCs w:val="18"/>
                <w:lang w:val="en-US" w:eastAsia="en-US"/>
              </w:rPr>
              <w:t>5</w:t>
            </w:r>
          </w:hyperlink>
        </w:p>
        <w:p>
          <w:pPr>
            <w:pStyle w:val="TOC1"/>
            <w:tabs>
              <w:tab w:val="clear" w:pos="720"/>
              <w:tab w:val="left" w:pos="440" w:leader="none"/>
              <w:tab w:val="right" w:pos="8441" w:leader="dot"/>
            </w:tabs>
            <w:rPr>
              <w:sz w:val="18"/>
              <w:szCs w:val="18"/>
              <w:lang w:val="en-US" w:eastAsia="en-US"/>
            </w:rPr>
          </w:pPr>
          <w:r>
            <w:rPr>
              <w:b w:val="false"/>
              <w:bCs/>
              <w:sz w:val="18"/>
              <w:szCs w:val="18"/>
              <w:lang w:val="en-GB" w:eastAsia="en-US"/>
            </w:rPr>
            <w:t>8.</w:t>
          </w:r>
          <w:r>
            <w:rPr>
              <w:b w:val="false"/>
              <w:sz w:val="18"/>
              <w:szCs w:val="18"/>
              <w:lang w:val="en-US" w:eastAsia="en-US"/>
            </w:rPr>
            <w:tab/>
          </w:r>
          <w:r>
            <w:rPr>
              <w:b w:val="false"/>
              <w:bCs/>
              <w:sz w:val="18"/>
              <w:szCs w:val="18"/>
              <w:lang w:val="en-GB" w:eastAsia="en-US"/>
            </w:rPr>
            <w:t>Monthly Base Charge.</w:t>
          </w:r>
          <w:r>
            <w:rPr>
              <w:b w:val="false"/>
              <w:sz w:val="18"/>
              <w:szCs w:val="18"/>
              <w:lang w:val="en-US" w:eastAsia="en-US"/>
            </w:rPr>
            <w:tab/>
          </w:r>
          <w:hyperlink w:anchor="__RefHeading___Toc152387200">
            <w:r>
              <w:rPr>
                <w:rStyle w:val="IndexLink"/>
                <w:b w:val="false"/>
                <w:sz w:val="18"/>
                <w:szCs w:val="18"/>
                <w:lang w:val="en-US" w:eastAsia="en-US"/>
              </w:rPr>
              <w:t>5</w:t>
            </w:r>
          </w:hyperlink>
          <w:r>
            <w:rPr>
              <w:rStyle w:val="IndexLink"/>
              <w:sz w:val="18"/>
              <w:b w:val="false"/>
              <w:szCs w:val="18"/>
              <w:lang w:val="en-US" w:eastAsia="en-US"/>
            </w:rPr>
            <w:fldChar w:fldCharType="end"/>
          </w:r>
        </w:p>
      </w:sdtContent>
    </w:sdt>
    <w:p>
      <w:pPr>
        <w:pStyle w:val="Normal"/>
        <w:rPr>
          <w:b/>
          <w:caps/>
          <w:sz w:val="18"/>
          <w:szCs w:val="18"/>
          <w:lang w:val="en-GB" w:eastAsia="en-US"/>
        </w:rPr>
      </w:pPr>
      <w:r>
        <w:rPr>
          <w:b/>
          <w:caps/>
          <w:sz w:val="18"/>
          <w:szCs w:val="18"/>
          <w:lang w:val="en-GB" w:eastAsia="en-US"/>
        </w:rPr>
      </w:r>
    </w:p>
    <w:p>
      <w:pPr>
        <w:sectPr>
          <w:headerReference w:type="default" r:id="rId4"/>
          <w:headerReference w:type="first" r:id="rId5"/>
          <w:footerReference w:type="default" r:id="rId6"/>
          <w:footerReference w:type="first" r:id="rId7"/>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sz w:val="18"/>
          <w:szCs w:val="18"/>
          <w:lang w:val="en-GB"/>
        </w:rPr>
      </w:pPr>
      <w:r>
        <w:rPr>
          <w:sz w:val="18"/>
          <w:szCs w:val="18"/>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3" w:name="__RefHeading___Toc152387193"/>
      <w:bookmarkEnd w:id="3"/>
      <w:r>
        <w:rPr>
          <w:sz w:val="22"/>
          <w:szCs w:val="22"/>
          <w:lang w:val="en-GB"/>
        </w:rPr>
        <w:t>Introduction.</w:t>
      </w:r>
    </w:p>
    <w:p>
      <w:pPr>
        <w:pStyle w:val="Normal"/>
        <w:spacing w:before="0" w:after="0"/>
        <w:ind w:hanging="720" w:start="720" w:end="0"/>
        <w:jc w:val="both"/>
        <w:rPr/>
      </w:pPr>
      <w:r>
        <w:rPr>
          <w:szCs w:val="22"/>
          <w:lang w:val="en-GB"/>
        </w:rPr>
        <w:t>(a)</w:t>
        <w:tab/>
        <w:t>This Attachment to Exhibit 4 (</w:t>
      </w:r>
      <w:r>
        <w:rPr>
          <w:i/>
          <w:szCs w:val="22"/>
          <w:lang w:val="en-GB"/>
        </w:rPr>
        <w:t>Pricing and Financial Provisions</w:t>
      </w:r>
      <w:r>
        <w:rPr>
          <w:szCs w:val="22"/>
          <w:lang w:val="en-GB"/>
        </w:rPr>
        <w:t xml:space="preserve">) describes the methodology and charging mechanism for the Seat Price model.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The pricing approach is based on the specific needs of the EuroBank Group and seeks to consolidate and simplify the pricing provided by the PST Supplier in Attachment 4-A (Pricing Forms). This Attachment is to be read in conjunction with Attachments 4-A (Pricing Forms) and 4-K (Seat Pricing Conversion Model) In the event that, at the Commencement Date, there is a conflict in the interpretation or operation of the Seat pricing model between (i) these two Attachments and (ii) Exhibit 4 and the other Attachments to that exhibit, then for the purposes only of resolving that Seat pricing issue, Attachments 4-J and 4-K shall prevail over Exhibit 4 and its other Attachments. In all other circumstances, including conflicts arising after Commencement Date, Exhibit 4 shall prevail.</w:t>
      </w:r>
      <w:r>
        <w:rPr>
          <w:i/>
          <w:szCs w:val="22"/>
          <w:lang w:val="en-GB"/>
        </w:rPr>
      </w:r>
      <w:r>
        <w:rPr>
          <w:szCs w:val="22"/>
          <w:lang w:val="en-GB"/>
        </w:rPr>
      </w:r>
      <w:r>
        <w:rPr>
          <w:i/>
          <w:szCs w:val="22"/>
          <w:lang w:val="en-GB"/>
        </w:rPr>
      </w:r>
      <w:r>
        <w:rPr>
          <w:szCs w:val="22"/>
          <w:lang w:val="en-GB"/>
        </w:rPr>
      </w:r>
      <w:r>
        <w:rPr>
          <w:i/>
          <w:szCs w:val="22"/>
          <w:lang w:val="en-GB"/>
        </w:rPr>
      </w:r>
      <w:r>
        <w:rPr>
          <w:szCs w:val="22"/>
          <w:lang w:val="en-GB"/>
        </w:rPr>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As at Effective Date, there will be two classifications of Seats: Mobile Seat and Standard Seat. Due to EuroBank’s changing business and Service requirements, the Seat classifications may change during the Term and will be addressed via the Change Control Procedure.</w:t>
      </w:r>
    </w:p>
    <w:p>
      <w:pPr>
        <w:pStyle w:val="Heading1Numbered"/>
        <w:numPr>
          <w:ilvl w:val="0"/>
          <w:numId w:val="2"/>
        </w:numPr>
        <w:ind w:hanging="0" w:start="0"/>
        <w:rPr>
          <w:sz w:val="22"/>
          <w:szCs w:val="22"/>
          <w:lang w:val="en-GB"/>
        </w:rPr>
      </w:pPr>
      <w:bookmarkStart w:id="4" w:name="__RefHeading___Toc152387194"/>
      <w:r>
        <w:rPr>
          <w:sz w:val="22"/>
          <w:szCs w:val="22"/>
          <w:lang w:val="en-GB"/>
        </w:rPr>
        <w:t>Definitions</w:t>
      </w:r>
      <w:bookmarkEnd w:id="4"/>
      <w:r>
        <w:rPr>
          <w:sz w:val="22"/>
          <w:szCs w:val="22"/>
          <w:lang w:val="en-GB"/>
        </w:rPr>
        <w:t xml:space="preserve"> </w:t>
      </w:r>
    </w:p>
    <w:p>
      <w:pPr>
        <w:pStyle w:val="Normal"/>
        <w:spacing w:before="0" w:after="0"/>
        <w:ind w:hanging="720" w:start="720" w:end="0"/>
        <w:jc w:val="both"/>
        <w:rPr/>
      </w:pPr>
      <w:r>
        <w:rPr>
          <w:szCs w:val="22"/>
          <w:lang w:val="en-GB"/>
        </w:rPr>
        <w:t>(a)</w:t>
        <w:tab/>
      </w:r>
      <w:r>
        <w:rPr>
          <w:b/>
          <w:szCs w:val="22"/>
          <w:lang w:val="en-GB"/>
        </w:rPr>
        <w:t>Seat</w:t>
      </w:r>
      <w:r>
        <w:rPr>
          <w:szCs w:val="22"/>
          <w:lang w:val="en-GB"/>
        </w:rPr>
        <w:t>: refers to each physical user who satisfies all of the following criteria:</w:t>
      </w:r>
    </w:p>
    <w:p>
      <w:pPr>
        <w:pStyle w:val="Normal"/>
        <w:spacing w:before="0" w:after="0"/>
        <w:ind w:hanging="720" w:start="720" w:end="0"/>
        <w:jc w:val="both"/>
        <w:rPr>
          <w:szCs w:val="22"/>
          <w:lang w:val="en-GB"/>
        </w:rPr>
      </w:pPr>
      <w:r>
        <w:rPr>
          <w:szCs w:val="22"/>
          <w:lang w:val="en-GB"/>
        </w:rPr>
      </w:r>
    </w:p>
    <w:p>
      <w:pPr>
        <w:pStyle w:val="Normal"/>
        <w:numPr>
          <w:ilvl w:val="0"/>
          <w:numId w:val="4"/>
        </w:numPr>
        <w:tabs>
          <w:tab w:val="clear" w:pos="720"/>
          <w:tab w:val="left" w:pos="1440" w:leader="none"/>
        </w:tabs>
        <w:spacing w:before="0" w:after="0"/>
        <w:ind w:hanging="720" w:start="1440" w:end="0"/>
        <w:jc w:val="both"/>
        <w:rPr>
          <w:szCs w:val="22"/>
          <w:lang w:val="en-GB"/>
        </w:rPr>
      </w:pPr>
      <w:r>
        <w:rPr>
          <w:szCs w:val="22"/>
          <w:lang w:val="en-GB"/>
        </w:rPr>
        <w:t xml:space="preserve">is entitled to use the SWS Function </w:t>
      </w:r>
    </w:p>
    <w:p>
      <w:pPr>
        <w:pStyle w:val="Normal"/>
        <w:numPr>
          <w:ilvl w:val="0"/>
          <w:numId w:val="4"/>
        </w:numPr>
        <w:tabs>
          <w:tab w:val="clear" w:pos="720"/>
          <w:tab w:val="left" w:pos="1440" w:leader="none"/>
        </w:tabs>
        <w:spacing w:before="0" w:after="0"/>
        <w:ind w:hanging="720" w:start="1440" w:end="0"/>
        <w:jc w:val="both"/>
        <w:rPr>
          <w:szCs w:val="22"/>
          <w:lang w:val="en-GB"/>
        </w:rPr>
      </w:pPr>
      <w:r>
        <w:rPr>
          <w:szCs w:val="22"/>
          <w:lang w:val="en-GB"/>
        </w:rPr>
        <w:t>is either an internal, external or part-time user;</w:t>
      </w:r>
    </w:p>
    <w:p>
      <w:pPr>
        <w:pStyle w:val="Normal"/>
        <w:numPr>
          <w:ilvl w:val="0"/>
          <w:numId w:val="4"/>
        </w:numPr>
        <w:tabs>
          <w:tab w:val="clear" w:pos="720"/>
          <w:tab w:val="left" w:pos="1440" w:leader="none"/>
        </w:tabs>
        <w:spacing w:before="0" w:after="0"/>
        <w:ind w:hanging="720" w:start="1440" w:end="0"/>
        <w:jc w:val="both"/>
        <w:rPr>
          <w:szCs w:val="22"/>
          <w:lang w:val="en-GB"/>
        </w:rPr>
      </w:pPr>
      <w:r>
        <w:rPr>
          <w:szCs w:val="22"/>
          <w:lang w:val="en-GB"/>
        </w:rPr>
        <w:t xml:space="preserve">has been allocated a unique identifier (such as an Active Directory ID or an EuroBank corporate key); </w:t>
      </w:r>
    </w:p>
    <w:p>
      <w:pPr>
        <w:pStyle w:val="Normal"/>
        <w:numPr>
          <w:ilvl w:val="0"/>
          <w:numId w:val="4"/>
        </w:numPr>
        <w:tabs>
          <w:tab w:val="clear" w:pos="720"/>
          <w:tab w:val="left" w:pos="1440" w:leader="none"/>
        </w:tabs>
        <w:spacing w:before="0" w:after="0"/>
        <w:ind w:hanging="720" w:start="1440" w:end="0"/>
        <w:jc w:val="both"/>
        <w:rPr>
          <w:szCs w:val="22"/>
          <w:lang w:val="en-GB"/>
        </w:rPr>
      </w:pPr>
      <w:r>
        <w:rPr>
          <w:szCs w:val="22"/>
          <w:lang w:val="en-GB"/>
        </w:rPr>
        <w:t>has logged into System Software within 60 days from the date on which they last logged in to the same software;</w:t>
      </w:r>
    </w:p>
    <w:p>
      <w:pPr>
        <w:pStyle w:val="Normal"/>
        <w:numPr>
          <w:ilvl w:val="0"/>
          <w:numId w:val="4"/>
        </w:numPr>
        <w:tabs>
          <w:tab w:val="clear" w:pos="720"/>
          <w:tab w:val="left" w:pos="1440" w:leader="none"/>
        </w:tabs>
        <w:spacing w:before="0" w:after="0"/>
        <w:ind w:hanging="720" w:start="1440" w:end="0"/>
        <w:jc w:val="both"/>
        <w:rPr>
          <w:szCs w:val="22"/>
          <w:lang w:val="en-GB"/>
        </w:rPr>
      </w:pPr>
      <w:r>
        <w:rPr>
          <w:szCs w:val="22"/>
          <w:lang w:val="en-GB"/>
        </w:rPr>
        <w:t>does not include user groups;</w:t>
      </w:r>
    </w:p>
    <w:p>
      <w:pPr>
        <w:pStyle w:val="Normal"/>
        <w:spacing w:before="0" w:after="0"/>
        <w:ind w:start="108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 xml:space="preserve"> </w:t>
      </w:r>
      <w:r>
        <w:rPr>
          <w:szCs w:val="22"/>
          <w:lang w:val="en-GB"/>
        </w:rPr>
        <w:t>(b)</w:t>
      </w:r>
      <w:r>
        <w:rPr>
          <w:b/>
          <w:szCs w:val="22"/>
          <w:lang w:val="en-GB"/>
        </w:rPr>
        <w:tab/>
      </w:r>
      <w:r>
        <w:rPr>
          <w:rStyle w:val="Strong"/>
          <w:szCs w:val="22"/>
          <w:lang w:val="en-GB"/>
        </w:rPr>
        <w:t>Seat Price</w:t>
      </w:r>
      <w:r>
        <w:rPr>
          <w:szCs w:val="22"/>
          <w:lang w:val="en-GB"/>
        </w:rPr>
        <w:t>: means the monthly Charge (in Euros) to be paid for a Standard Seat, Mobile Seat or, if applicable, Optional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r>
      <w:r>
        <w:rPr>
          <w:b/>
          <w:szCs w:val="22"/>
          <w:lang w:val="en-GB"/>
        </w:rPr>
        <w:t>Mobile Seat</w:t>
      </w:r>
      <w:r>
        <w:rPr>
          <w:szCs w:val="22"/>
          <w:lang w:val="en-GB"/>
        </w:rPr>
        <w:t xml:space="preserve">: means each Seat with a CEDS laptop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r>
      <w:r>
        <w:rPr>
          <w:b/>
          <w:szCs w:val="22"/>
          <w:lang w:val="en-GB"/>
        </w:rPr>
        <w:t>Standard Seat</w:t>
      </w:r>
      <w:r>
        <w:rPr>
          <w:szCs w:val="22"/>
          <w:lang w:val="en-GB"/>
        </w:rPr>
        <w:t xml:space="preserve">: means a Seat entitled to use a personal computer, other than a Mobile Seat;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r>
      <w:r>
        <w:rPr>
          <w:b/>
          <w:szCs w:val="22"/>
          <w:lang w:val="en-GB"/>
        </w:rPr>
        <w:t>Optional Services</w:t>
      </w:r>
      <w:r>
        <w:rPr>
          <w:szCs w:val="22"/>
          <w:lang w:val="en-GB"/>
        </w:rPr>
        <w:t>: means Services listed in Table B below that may be required from time to time by Standard or Mobile Seats;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r>
      <w:r>
        <w:rPr>
          <w:b/>
          <w:szCs w:val="22"/>
          <w:lang w:val="en-GB"/>
        </w:rPr>
        <w:t>Baseline Ratio</w:t>
      </w:r>
      <w:r>
        <w:rPr>
          <w:szCs w:val="22"/>
          <w:lang w:val="en-GB"/>
        </w:rPr>
        <w:t>: means the relationship between the Resource Baseline volumes in Attachment 4-D (</w:t>
      </w:r>
      <w:r>
        <w:rPr>
          <w:i/>
          <w:szCs w:val="22"/>
          <w:lang w:val="en-GB"/>
        </w:rPr>
        <w:t>Resource Baselines</w:t>
      </w:r>
      <w:r>
        <w:rPr>
          <w:szCs w:val="22"/>
          <w:lang w:val="en-GB"/>
        </w:rPr>
        <w:t>) and the number of Seats as calculated in Attachment 4-K (</w:t>
      </w:r>
      <w:r>
        <w:rPr>
          <w:i/>
          <w:szCs w:val="22"/>
          <w:lang w:val="en-GB"/>
        </w:rPr>
        <w:t>Seat Pricing Conversion Model</w:t>
      </w:r>
      <w:r>
        <w:rPr>
          <w:szCs w:val="22"/>
          <w:lang w:val="en-GB"/>
        </w:rPr>
        <w:t>), such ratios initially being those in place as at Effective Date and thereafter re-calculated in accordance with the provisions of this Attachment 4-J;</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bookmarkStart w:id="5" w:name="OLE_LINK2"/>
      <w:bookmarkStart w:id="6" w:name="OLE_LINK1"/>
      <w:bookmarkEnd w:id="5"/>
      <w:bookmarkEnd w:id="6"/>
      <w:r>
        <w:rPr>
          <w:szCs w:val="22"/>
          <w:lang w:val="en-GB"/>
        </w:rPr>
        <w:t>(g)</w:t>
        <w:tab/>
      </w:r>
      <w:r>
        <w:rPr>
          <w:b/>
          <w:szCs w:val="22"/>
          <w:lang w:val="en-GB"/>
        </w:rPr>
        <w:t>Dead Band</w:t>
      </w:r>
      <w:r>
        <w:rPr>
          <w:szCs w:val="22"/>
          <w:lang w:val="en-GB"/>
        </w:rPr>
        <w:t>: means each of the bands above and below the Baseline Ratio equivalent to +/- 10% of the Baseline Ratio;</w:t>
      </w:r>
    </w:p>
    <w:p>
      <w:pPr>
        <w:pStyle w:val="Normal"/>
        <w:spacing w:before="0" w:after="0"/>
        <w:ind w:hanging="720" w:start="720" w:end="0"/>
        <w:jc w:val="both"/>
        <w:rPr>
          <w:szCs w:val="22"/>
          <w:lang w:val="en-GB"/>
        </w:rPr>
      </w:pPr>
      <w:r>
        <w:rPr>
          <w:szCs w:val="22"/>
          <w:lang w:val="en-GB"/>
        </w:rPr>
      </w:r>
      <w:bookmarkStart w:id="7" w:name="OLE_LINK2"/>
      <w:bookmarkStart w:id="8" w:name="OLE_LINK1"/>
      <w:bookmarkStart w:id="9" w:name="OLE_LINK2"/>
      <w:bookmarkStart w:id="10" w:name="OLE_LINK1"/>
      <w:bookmarkEnd w:id="9"/>
      <w:bookmarkEnd w:id="10"/>
    </w:p>
    <w:p>
      <w:pPr>
        <w:pStyle w:val="Normal"/>
        <w:numPr>
          <w:ilvl w:val="0"/>
          <w:numId w:val="8"/>
        </w:numPr>
        <w:spacing w:before="0" w:after="0"/>
        <w:ind w:hanging="720" w:start="720" w:end="0"/>
        <w:jc w:val="both"/>
        <w:rPr>
          <w:szCs w:val="22"/>
          <w:lang w:val="en-GB"/>
        </w:rPr>
      </w:pPr>
      <w:r>
        <w:rPr>
          <w:b/>
          <w:szCs w:val="22"/>
          <w:lang w:val="en-GB"/>
        </w:rPr>
        <w:t>Conversion Model</w:t>
      </w:r>
      <w:r>
        <w:rPr>
          <w:szCs w:val="22"/>
          <w:lang w:val="en-GB"/>
        </w:rPr>
        <w:t>: means the conversion model set out in Section 3 below and Attachment 4-K which describes the algorithm used to calculate a Seat Price based on the pricing sheets in Attachment 4-A;</w:t>
      </w:r>
    </w:p>
    <w:p>
      <w:pPr>
        <w:pStyle w:val="Normal"/>
        <w:spacing w:before="0" w:after="0"/>
        <w:ind w:hanging="720" w:start="360" w:end="0"/>
        <w:jc w:val="both"/>
        <w:rPr>
          <w:szCs w:val="22"/>
          <w:lang w:val="en-GB"/>
        </w:rPr>
      </w:pPr>
      <w:r>
        <w:rPr>
          <w:szCs w:val="22"/>
          <w:lang w:val="en-GB"/>
        </w:rPr>
      </w:r>
    </w:p>
    <w:p>
      <w:pPr>
        <w:pStyle w:val="Normal"/>
        <w:numPr>
          <w:ilvl w:val="0"/>
          <w:numId w:val="8"/>
        </w:numPr>
        <w:spacing w:before="0" w:after="0"/>
        <w:ind w:hanging="720" w:start="720" w:end="0"/>
        <w:jc w:val="both"/>
        <w:rPr>
          <w:szCs w:val="22"/>
          <w:lang w:val="en-GB"/>
        </w:rPr>
      </w:pPr>
      <w:r>
        <w:rPr>
          <w:b/>
          <w:szCs w:val="22"/>
          <w:lang w:val="en-GB"/>
        </w:rPr>
        <w:t>Consumption-based Resource Units</w:t>
      </w:r>
      <w:r>
        <w:rPr>
          <w:szCs w:val="22"/>
          <w:lang w:val="en-GB"/>
        </w:rPr>
        <w:t>: means Resource Units associated with voice minutes and regulated telecommunication items ;</w:t>
      </w:r>
    </w:p>
    <w:p>
      <w:pPr>
        <w:pStyle w:val="Normal"/>
        <w:spacing w:before="0" w:after="0"/>
        <w:jc w:val="both"/>
        <w:rPr>
          <w:szCs w:val="22"/>
          <w:lang w:val="en-GB"/>
        </w:rPr>
      </w:pPr>
      <w:r>
        <w:rPr>
          <w:szCs w:val="22"/>
          <w:lang w:val="en-GB"/>
        </w:rPr>
      </w:r>
    </w:p>
    <w:p>
      <w:pPr>
        <w:pStyle w:val="Normal"/>
        <w:numPr>
          <w:ilvl w:val="0"/>
          <w:numId w:val="8"/>
        </w:numPr>
        <w:spacing w:before="0" w:after="0"/>
        <w:ind w:hanging="720" w:start="720" w:end="0"/>
        <w:jc w:val="both"/>
        <w:rPr>
          <w:szCs w:val="22"/>
          <w:lang w:val="en-GB"/>
        </w:rPr>
      </w:pPr>
      <w:r>
        <w:rPr>
          <w:b/>
          <w:szCs w:val="22"/>
          <w:lang w:val="en-GB"/>
        </w:rPr>
        <w:t>Monthly Ratio:</w:t>
      </w:r>
      <w:r>
        <w:rPr>
          <w:szCs w:val="22"/>
          <w:lang w:val="en-GB"/>
        </w:rPr>
        <w:t xml:space="preserve"> means the ratio achieved (for each of the two Seat types) by dividing the Resource Unit volumes consumed in any given month by the number of Standard Seats or Mobile Seats as appropriate in that same month.</w:t>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11" w:name="__RefHeading___Toc152387195"/>
      <w:bookmarkEnd w:id="11"/>
      <w:r>
        <w:rPr>
          <w:sz w:val="22"/>
          <w:szCs w:val="22"/>
          <w:lang w:val="en-GB"/>
        </w:rPr>
        <w:t>Seat Pricing Conversion Model</w:t>
      </w:r>
    </w:p>
    <w:p>
      <w:pPr>
        <w:pStyle w:val="Normal"/>
        <w:spacing w:before="0" w:after="0"/>
        <w:jc w:val="both"/>
        <w:rPr>
          <w:szCs w:val="22"/>
          <w:lang w:val="en-GB"/>
        </w:rPr>
      </w:pPr>
      <w:r>
        <w:rPr>
          <w:szCs w:val="22"/>
          <w:lang w:val="en-GB"/>
        </w:rPr>
        <w:t>Attachment 4-K contains the detail for the Seat Pricing Conversion Model, including the Baseline Ratios, the Dead Bands, the Optional Services and Seat Prices. The process behind the calculations is as follows:</w:t>
      </w:r>
    </w:p>
    <w:p>
      <w:pPr>
        <w:pStyle w:val="Normal"/>
        <w:spacing w:before="0" w:after="0"/>
        <w:ind w:hanging="720" w:start="720" w:end="0"/>
        <w:jc w:val="both"/>
        <w:rPr>
          <w:szCs w:val="22"/>
          <w:lang w:val="en-GB"/>
        </w:rPr>
      </w:pPr>
      <w:r>
        <w:rPr>
          <w:szCs w:val="22"/>
          <w:lang w:val="en-GB"/>
        </w:rPr>
      </w:r>
    </w:p>
    <w:p>
      <w:pPr>
        <w:pStyle w:val="Normal"/>
        <w:spacing w:before="0" w:after="0"/>
        <w:ind w:hanging="360" w:start="360" w:end="0"/>
        <w:jc w:val="both"/>
        <w:rPr>
          <w:szCs w:val="22"/>
          <w:lang w:val="en-GB"/>
        </w:rPr>
      </w:pPr>
      <w:r>
        <w:rPr>
          <w:szCs w:val="22"/>
          <w:lang w:val="en-GB"/>
        </w:rPr>
        <w:t>a)</w:t>
        <w:tab/>
        <w:t>The initial inputs are the country-level pricing sheets from Attachment 4-A and their corresponding Resource Baseline volumes from Attachment 4-D;</w:t>
      </w:r>
    </w:p>
    <w:p>
      <w:pPr>
        <w:pStyle w:val="Normal"/>
        <w:spacing w:before="0" w:after="0"/>
        <w:ind w:hanging="360" w:start="720" w:end="0"/>
        <w:jc w:val="both"/>
        <w:rPr>
          <w:szCs w:val="22"/>
          <w:lang w:val="en-GB"/>
        </w:rPr>
      </w:pPr>
      <w:r>
        <w:rPr>
          <w:szCs w:val="22"/>
          <w:lang w:val="en-GB"/>
        </w:rPr>
      </w:r>
    </w:p>
    <w:p>
      <w:pPr>
        <w:pStyle w:val="Normal"/>
        <w:spacing w:before="0" w:after="0"/>
        <w:ind w:hanging="360" w:start="360" w:end="0"/>
        <w:jc w:val="both"/>
        <w:rPr/>
      </w:pPr>
      <w:r>
        <w:rPr>
          <w:szCs w:val="22"/>
          <w:lang w:val="en-GB"/>
        </w:rPr>
        <w:t>b)</w:t>
        <w:tab/>
        <w:t>The total Base Charges for each Year and on a per-country basis are then mapped to one of five groupings:</w:t>
      </w:r>
    </w:p>
    <w:p>
      <w:pPr>
        <w:pStyle w:val="Normal"/>
        <w:spacing w:before="0" w:after="0"/>
        <w:ind w:hanging="720" w:start="1080" w:end="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Standard Seats</w:t>
      </w:r>
    </w:p>
    <w:p>
      <w:pPr>
        <w:pStyle w:val="Normal"/>
        <w:spacing w:before="0" w:after="0"/>
        <w:ind w:hanging="720" w:start="1080" w:end="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 xml:space="preserve">Mobile Seats </w:t>
      </w:r>
    </w:p>
    <w:p>
      <w:pPr>
        <w:pStyle w:val="Normal"/>
        <w:spacing w:before="0" w:after="0"/>
        <w:ind w:hanging="720" w:start="1080" w:end="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Optional Services</w:t>
      </w:r>
    </w:p>
    <w:p>
      <w:pPr>
        <w:pStyle w:val="Normal"/>
        <w:spacing w:before="0" w:after="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Consumption-based Resource Units</w:t>
      </w:r>
    </w:p>
    <w:p>
      <w:pPr>
        <w:pStyle w:val="Normal"/>
        <w:spacing w:before="0" w:after="0"/>
        <w:jc w:val="both"/>
        <w:rPr>
          <w:szCs w:val="22"/>
          <w:lang w:val="en-GB"/>
        </w:rPr>
      </w:pPr>
      <w:r>
        <w:rPr>
          <w:szCs w:val="22"/>
          <w:lang w:val="en-GB"/>
        </w:rPr>
      </w:r>
    </w:p>
    <w:p>
      <w:pPr>
        <w:pStyle w:val="Normal"/>
        <w:numPr>
          <w:ilvl w:val="0"/>
          <w:numId w:val="10"/>
        </w:numPr>
        <w:tabs>
          <w:tab w:val="clear" w:pos="720"/>
          <w:tab w:val="left" w:pos="1080" w:leader="none"/>
        </w:tabs>
        <w:spacing w:before="0" w:after="0"/>
        <w:ind w:hanging="360" w:start="1080" w:end="0"/>
        <w:jc w:val="both"/>
        <w:rPr>
          <w:szCs w:val="22"/>
          <w:lang w:val="en-GB"/>
        </w:rPr>
      </w:pPr>
      <w:r>
        <w:rPr>
          <w:szCs w:val="22"/>
          <w:lang w:val="en-GB"/>
        </w:rPr>
        <w:t>Other Charges (as described in Section 5(b) below).</w:t>
      </w:r>
    </w:p>
    <w:p>
      <w:pPr>
        <w:pStyle w:val="Normal"/>
        <w:spacing w:before="0" w:after="0"/>
        <w:ind w:hanging="720" w:start="1080" w:end="0"/>
        <w:jc w:val="both"/>
        <w:rPr>
          <w:szCs w:val="22"/>
          <w:lang w:val="en-GB"/>
        </w:rPr>
      </w:pPr>
      <w:r>
        <w:rPr>
          <w:szCs w:val="22"/>
          <w:lang w:val="en-GB"/>
        </w:rPr>
      </w:r>
    </w:p>
    <w:p>
      <w:pPr>
        <w:pStyle w:val="Normal"/>
        <w:spacing w:before="0" w:after="0"/>
        <w:ind w:hanging="360" w:start="360" w:end="0"/>
        <w:jc w:val="both"/>
        <w:rPr>
          <w:szCs w:val="22"/>
          <w:lang w:val="en-GB"/>
        </w:rPr>
      </w:pPr>
      <w:r>
        <w:rPr>
          <w:szCs w:val="22"/>
          <w:lang w:val="en-GB"/>
        </w:rPr>
        <w:t>c)</w:t>
        <w:tab/>
        <w:t>For the Standard and Mobile Seats, annual Seat Prices are derived based on the number of Standard and Mobile Seats for each country;</w:t>
      </w:r>
    </w:p>
    <w:p>
      <w:pPr>
        <w:pStyle w:val="Normal"/>
        <w:spacing w:before="0" w:after="0"/>
        <w:ind w:hanging="360" w:start="720" w:end="0"/>
        <w:jc w:val="both"/>
        <w:rPr>
          <w:szCs w:val="22"/>
          <w:lang w:val="en-GB"/>
        </w:rPr>
      </w:pPr>
      <w:r>
        <w:rPr>
          <w:szCs w:val="22"/>
          <w:lang w:val="en-GB"/>
        </w:rPr>
      </w:r>
    </w:p>
    <w:p>
      <w:pPr>
        <w:pStyle w:val="Normal"/>
        <w:spacing w:before="0" w:after="0"/>
        <w:ind w:hanging="360" w:start="360" w:end="0"/>
        <w:jc w:val="both"/>
        <w:rPr>
          <w:szCs w:val="22"/>
          <w:lang w:val="en-GB"/>
        </w:rPr>
      </w:pPr>
      <w:r>
        <w:rPr>
          <w:szCs w:val="22"/>
          <w:lang w:val="en-GB"/>
        </w:rPr>
        <w:t>d)</w:t>
        <w:tab/>
        <w:t>Thereafter, a monthly blended Seat Price (one each for a Mobile Seat and a Standard Seat) for both countries the Netherlands and Belgium are computed for both Standard and Mobile Seats, using the weighted average of the number of Seats. In case this blended Seat pricing would become subject to an audit by a tax authority, both EuroBank and the PST Suppliers will cooperate to support the party that is being subject to such audit in order to resolve the audit issue under the explicit reference that the MSA is a commercial arrangement.</w:t>
      </w:r>
    </w:p>
    <w:p>
      <w:pPr>
        <w:pStyle w:val="Normal"/>
        <w:spacing w:before="0" w:after="0"/>
        <w:ind w:hanging="360" w:start="360" w:end="0"/>
        <w:jc w:val="both"/>
        <w:rPr>
          <w:szCs w:val="22"/>
          <w:lang w:val="en-GB"/>
        </w:rPr>
      </w:pPr>
      <w:r>
        <w:rPr>
          <w:szCs w:val="22"/>
          <w:lang w:val="en-GB"/>
        </w:rPr>
      </w:r>
    </w:p>
    <w:p>
      <w:pPr>
        <w:pStyle w:val="Normal"/>
        <w:spacing w:before="0" w:after="0"/>
        <w:ind w:hanging="360" w:start="360" w:end="0"/>
        <w:jc w:val="both"/>
        <w:rPr>
          <w:szCs w:val="22"/>
          <w:lang w:val="en-GB"/>
        </w:rPr>
      </w:pPr>
      <w:r>
        <w:rPr>
          <w:szCs w:val="22"/>
          <w:lang w:val="en-GB"/>
        </w:rPr>
        <w:t>e)</w:t>
        <w:tab/>
        <w:t>The pricing given in Attachment 4-K for Optional Services and Consumption-based Resource Units is then applied as appropriate</w:t>
      </w:r>
    </w:p>
    <w:p>
      <w:pPr>
        <w:pStyle w:val="Normal"/>
        <w:spacing w:before="0" w:after="0"/>
        <w:ind w:hanging="720" w:start="720" w:end="0"/>
        <w:jc w:val="both"/>
        <w:rPr>
          <w:szCs w:val="22"/>
          <w:lang w:val="en-GB"/>
        </w:rPr>
      </w:pPr>
      <w:r>
        <w:rPr>
          <w:szCs w:val="22"/>
          <w:lang w:val="en-GB"/>
        </w:rPr>
      </w:r>
    </w:p>
    <w:p>
      <w:pPr>
        <w:pStyle w:val="Heading1Numbered"/>
        <w:numPr>
          <w:ilvl w:val="0"/>
          <w:numId w:val="2"/>
        </w:numPr>
        <w:ind w:hanging="0" w:start="0"/>
        <w:rPr>
          <w:bCs/>
          <w:sz w:val="22"/>
          <w:lang w:val="en-GB"/>
        </w:rPr>
      </w:pPr>
      <w:bookmarkStart w:id="12" w:name="__RefHeading___Toc152387196"/>
      <w:bookmarkEnd w:id="12"/>
      <w:r>
        <w:rPr>
          <w:bCs/>
          <w:sz w:val="22"/>
          <w:lang w:val="en-GB"/>
        </w:rPr>
        <w:t>Clarifications:</w:t>
      </w:r>
    </w:p>
    <w:p>
      <w:pPr>
        <w:pStyle w:val="Normal"/>
        <w:numPr>
          <w:ilvl w:val="0"/>
          <w:numId w:val="5"/>
        </w:numPr>
        <w:spacing w:before="0" w:after="0"/>
        <w:jc w:val="both"/>
        <w:rPr>
          <w:szCs w:val="22"/>
          <w:lang w:val="en-GB"/>
        </w:rPr>
      </w:pPr>
      <w:r>
        <w:rPr>
          <w:szCs w:val="22"/>
          <w:lang w:val="en-GB"/>
        </w:rPr>
        <w:t>No Charge shall be raised for a Seat from the month following the expiry of a 60-day period since a Seat last logged into any System Software;</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The number of Mobile Seats shall be calculated by the number of CEDS laptops given in Attachment 4-D (Resource Baselines), as updated by the PST on a month-by-month basis;</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The total number of Seats shall be defined as always being equal to the total number of physical users (as specified in the definition of “Seat”).</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The total number of physical users shall be defined as always being equal to the aggregate Resource Baseline volumes for the Netherlands and Belgium (as per Attachment 4-D) of the Service Desk, as updated by the PST on a month-by-month basis;</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Optional Services can be either added to a Standard Seat or a Mobile Seat or both.</w:t>
      </w:r>
    </w:p>
    <w:p>
      <w:pPr>
        <w:pStyle w:val="Normal"/>
        <w:spacing w:before="0" w:after="0"/>
        <w:jc w:val="both"/>
        <w:rPr>
          <w:szCs w:val="22"/>
          <w:lang w:val="en-GB"/>
        </w:rPr>
      </w:pPr>
      <w:r>
        <w:rPr>
          <w:szCs w:val="22"/>
          <w:lang w:val="en-GB"/>
        </w:rPr>
      </w:r>
    </w:p>
    <w:p>
      <w:pPr>
        <w:pStyle w:val="Normal"/>
        <w:numPr>
          <w:ilvl w:val="0"/>
          <w:numId w:val="5"/>
        </w:numPr>
        <w:spacing w:before="0" w:after="0"/>
        <w:jc w:val="both"/>
        <w:rPr>
          <w:szCs w:val="22"/>
          <w:lang w:val="en-GB"/>
        </w:rPr>
      </w:pPr>
      <w:r>
        <w:rPr>
          <w:szCs w:val="22"/>
          <w:lang w:val="en-GB"/>
        </w:rPr>
        <w:t>If each Monthly Ratio stays within the Dead Band and the Resource Baseline Units stay within ARC/RRC bandwidth of 25%, the Seat Price will not change and the PST Supplier will deliver the Services for the same Seat Price.</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3" w:name="__RefHeading___Toc152387197"/>
      <w:bookmarkEnd w:id="13"/>
      <w:r>
        <w:rPr>
          <w:bCs/>
          <w:sz w:val="22"/>
          <w:lang w:val="en-GB"/>
        </w:rPr>
        <w:t>Seat Price Model - Charges.</w:t>
      </w:r>
    </w:p>
    <w:p>
      <w:pPr>
        <w:pStyle w:val="Normal"/>
        <w:spacing w:before="0" w:after="0"/>
        <w:jc w:val="both"/>
        <w:rPr/>
      </w:pPr>
      <w:r>
        <w:rPr>
          <w:szCs w:val="22"/>
          <w:lang w:val="en-GB"/>
        </w:rPr>
        <w:t>(a)</w:t>
        <w:tab/>
        <w:t xml:space="preserve">The Charges for seat-pricing shall consist of the appropriate monthly Seat Price being applied to the following components listed in Table A: </w:t>
      </w:r>
    </w:p>
    <w:p>
      <w:pPr>
        <w:pStyle w:val="Normal"/>
        <w:spacing w:before="0" w:after="0"/>
        <w:ind w:hanging="720" w:start="1440" w:end="0"/>
        <w:jc w:val="both"/>
        <w:rPr>
          <w:szCs w:val="22"/>
          <w:lang w:val="en-GB"/>
        </w:rPr>
      </w:pPr>
      <w:r>
        <w:rPr>
          <w:szCs w:val="22"/>
          <w:lang w:val="en-GB"/>
        </w:rPr>
      </w:r>
    </w:p>
    <w:p>
      <w:pPr>
        <w:pStyle w:val="Normal"/>
        <w:spacing w:before="0" w:after="0"/>
        <w:jc w:val="center"/>
        <w:rPr/>
      </w:pPr>
      <w:r>
        <w:rPr/>
        <w:t>Table A</w:t>
      </w:r>
    </w:p>
    <w:tbl>
      <w:tblPr>
        <w:tblW w:w="8667" w:type="dxa"/>
        <w:jc w:val="start"/>
        <w:tblInd w:w="0" w:type="dxa"/>
        <w:tblLayout w:type="fixed"/>
        <w:tblCellMar>
          <w:top w:w="0" w:type="dxa"/>
          <w:start w:w="108" w:type="dxa"/>
          <w:bottom w:w="0" w:type="dxa"/>
          <w:end w:w="108" w:type="dxa"/>
        </w:tblCellMar>
      </w:tblPr>
      <w:tblGrid>
        <w:gridCol w:w="6048"/>
        <w:gridCol w:w="1440"/>
        <w:gridCol w:w="1179"/>
      </w:tblGrid>
      <w:tr>
        <w:trPr/>
        <w:tc>
          <w:tcPr>
            <w:tcW w:w="6048"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0" w:after="0"/>
              <w:jc w:val="both"/>
              <w:rPr>
                <w:b/>
                <w:sz w:val="18"/>
                <w:szCs w:val="18"/>
                <w:u w:val="single"/>
                <w:lang w:val="en-GB"/>
              </w:rPr>
            </w:pPr>
            <w:r>
              <w:rPr>
                <w:b/>
                <w:sz w:val="18"/>
                <w:szCs w:val="18"/>
                <w:u w:val="single"/>
                <w:lang w:val="en-GB"/>
              </w:rPr>
              <w:t>Services included in the Seat pricing</w:t>
            </w:r>
          </w:p>
        </w:tc>
        <w:tc>
          <w:tcPr>
            <w:tcW w:w="1440"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0" w:after="0"/>
              <w:jc w:val="center"/>
              <w:rPr>
                <w:b/>
                <w:sz w:val="18"/>
                <w:szCs w:val="18"/>
                <w:u w:val="single"/>
                <w:lang w:val="en-GB"/>
              </w:rPr>
            </w:pPr>
            <w:r>
              <w:rPr>
                <w:b/>
                <w:sz w:val="18"/>
                <w:szCs w:val="18"/>
                <w:u w:val="single"/>
                <w:lang w:val="en-GB"/>
              </w:rPr>
              <w:t>Standard Seat</w:t>
            </w:r>
          </w:p>
        </w:tc>
        <w:tc>
          <w:tcPr>
            <w:tcW w:w="1179"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0" w:after="0"/>
              <w:jc w:val="center"/>
              <w:rPr>
                <w:b/>
                <w:sz w:val="18"/>
                <w:szCs w:val="18"/>
                <w:u w:val="single"/>
                <w:lang w:val="en-GB"/>
              </w:rPr>
            </w:pPr>
            <w:r>
              <w:rPr>
                <w:b/>
                <w:sz w:val="18"/>
                <w:szCs w:val="18"/>
                <w:u w:val="single"/>
                <w:lang w:val="en-GB"/>
              </w:rPr>
              <w:t>Mobile Seat</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both"/>
              <w:rPr>
                <w:b/>
                <w:sz w:val="18"/>
                <w:szCs w:val="18"/>
                <w:u w:val="single"/>
                <w:lang w:val="en-GB"/>
              </w:rPr>
            </w:pPr>
            <w:r>
              <w:rPr>
                <w:b/>
                <w:sz w:val="18"/>
                <w:szCs w:val="18"/>
                <w:u w:val="single"/>
                <w:lang w:val="en-GB"/>
              </w:rPr>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sz w:val="18"/>
                <w:szCs w:val="18"/>
                <w:lang w:val="en-GB"/>
              </w:rPr>
            </w:pPr>
            <w:r>
              <w:rPr>
                <w:sz w:val="18"/>
                <w:szCs w:val="18"/>
                <w:lang w:val="en-GB"/>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sz w:val="18"/>
                <w:szCs w:val="18"/>
                <w:lang w:val="en-GB"/>
              </w:rPr>
            </w:pPr>
            <w:r>
              <w:rPr>
                <w:sz w:val="18"/>
                <w:szCs w:val="18"/>
                <w:lang w:val="en-GB"/>
              </w:rPr>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sz w:val="18"/>
                <w:szCs w:val="18"/>
                <w:lang w:val="en-GB"/>
              </w:rPr>
            </w:pPr>
            <w:r>
              <w:rPr>
                <w:bCs/>
                <w:sz w:val="18"/>
                <w:szCs w:val="18"/>
              </w:rPr>
              <w:t>EUC Desktop Services incl. Security (Standard and Non-Standard)</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sz w:val="18"/>
                <w:szCs w:val="18"/>
                <w:lang w:val="en-GB"/>
              </w:rPr>
            </w:pPr>
            <w:r>
              <w:rPr>
                <w:b/>
                <w:sz w:val="18"/>
                <w:szCs w:val="18"/>
                <w:lang w:val="en-GB"/>
              </w:rPr>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EUC Laptop Services incl. Security (Standard and Non-Standard)</w:t>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bCs/>
                <w:sz w:val="18"/>
                <w:szCs w:val="18"/>
                <w:lang w:val="en-GB"/>
              </w:rPr>
            </w:pPr>
            <w:r>
              <w:rPr>
                <w:b/>
                <w:bCs/>
                <w:sz w:val="18"/>
                <w:szCs w:val="18"/>
                <w:lang w:val="en-GB"/>
              </w:rPr>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EUC Network Printer Services (Standard and Non-Standard)</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Other Peripherals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IMACs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Packaging &amp; Distribution</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Service Desk</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LAN Services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Videoconferencing</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PBX, Handsets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Cellular Phones</w:t>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bCs/>
                <w:sz w:val="18"/>
                <w:szCs w:val="18"/>
                <w:lang w:val="en-GB"/>
              </w:rPr>
            </w:pPr>
            <w:r>
              <w:rPr>
                <w:b/>
                <w:bCs/>
                <w:sz w:val="18"/>
                <w:szCs w:val="18"/>
                <w:lang w:val="en-GB"/>
              </w:rPr>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Pagers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Voice – Hard IMACs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Server Management (email, file/serving)</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Hardware Services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bl>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r>
    </w:p>
    <w:p>
      <w:pPr>
        <w:pStyle w:val="Normal"/>
        <w:numPr>
          <w:ilvl w:val="0"/>
          <w:numId w:val="7"/>
        </w:numPr>
        <w:spacing w:before="0" w:after="0"/>
        <w:ind w:hanging="720" w:start="720" w:end="0"/>
        <w:jc w:val="both"/>
        <w:rPr>
          <w:szCs w:val="22"/>
          <w:lang w:val="en-GB"/>
        </w:rPr>
      </w:pPr>
      <w:r>
        <w:rPr>
          <w:b/>
          <w:szCs w:val="22"/>
          <w:lang w:val="en-GB"/>
        </w:rPr>
        <w:t>Other Charges</w:t>
      </w:r>
      <w:r>
        <w:rPr>
          <w:szCs w:val="22"/>
          <w:lang w:val="en-GB"/>
        </w:rPr>
        <w:t>. Charges for the following will be charged for separately, in accordance with other provisions of the MSA:</w:t>
      </w:r>
    </w:p>
    <w:p>
      <w:pPr>
        <w:pStyle w:val="Normal"/>
        <w:spacing w:before="0" w:after="0"/>
        <w:ind w:start="1440" w:end="0"/>
        <w:jc w:val="both"/>
        <w:rPr>
          <w:szCs w:val="22"/>
          <w:lang w:val="en-GB"/>
        </w:rPr>
      </w:pPr>
      <w:r>
        <w:rPr>
          <w:szCs w:val="22"/>
          <w:lang w:val="en-GB"/>
        </w:rPr>
      </w:r>
    </w:p>
    <w:p>
      <w:pPr>
        <w:pStyle w:val="Normal"/>
        <w:spacing w:before="0" w:after="0"/>
        <w:ind w:start="1440" w:end="0"/>
        <w:jc w:val="both"/>
        <w:rPr>
          <w:szCs w:val="22"/>
          <w:lang w:val="en-GB"/>
        </w:rPr>
      </w:pPr>
      <w:r>
        <w:rPr>
          <w:szCs w:val="22"/>
          <w:lang w:val="en-GB"/>
        </w:rPr>
        <w:t>Projects;</w:t>
      </w:r>
    </w:p>
    <w:p>
      <w:pPr>
        <w:pStyle w:val="Normal"/>
        <w:spacing w:before="0" w:after="0"/>
        <w:ind w:start="1440" w:end="0"/>
        <w:jc w:val="both"/>
        <w:rPr>
          <w:szCs w:val="22"/>
          <w:lang w:val="en-GB"/>
        </w:rPr>
      </w:pPr>
      <w:r>
        <w:rPr>
          <w:szCs w:val="22"/>
          <w:lang w:val="en-GB"/>
        </w:rPr>
        <w:t>UAS Project Pool</w:t>
      </w:r>
    </w:p>
    <w:p>
      <w:pPr>
        <w:pStyle w:val="Normal"/>
        <w:spacing w:before="0" w:after="0"/>
        <w:ind w:start="1440" w:end="0"/>
        <w:jc w:val="both"/>
        <w:rPr>
          <w:szCs w:val="22"/>
          <w:lang w:val="en-GB"/>
        </w:rPr>
      </w:pPr>
      <w:r>
        <w:rPr>
          <w:szCs w:val="22"/>
          <w:lang w:val="en-GB"/>
        </w:rPr>
        <w:t>2IM Services</w:t>
      </w:r>
    </w:p>
    <w:p>
      <w:pPr>
        <w:pStyle w:val="Normal"/>
        <w:spacing w:before="0" w:after="0"/>
        <w:ind w:start="1440" w:end="0"/>
        <w:jc w:val="both"/>
        <w:rPr>
          <w:szCs w:val="22"/>
          <w:lang w:val="en-GB"/>
        </w:rPr>
      </w:pPr>
      <w:r>
        <w:rPr>
          <w:szCs w:val="22"/>
          <w:lang w:val="en-GB"/>
        </w:rPr>
        <w:t>Pass-Through Expenses;</w:t>
      </w:r>
    </w:p>
    <w:p>
      <w:pPr>
        <w:pStyle w:val="Normal"/>
        <w:spacing w:before="0" w:after="0"/>
        <w:ind w:start="1440" w:end="0"/>
        <w:jc w:val="both"/>
        <w:rPr>
          <w:bCs/>
        </w:rPr>
      </w:pPr>
      <w:r>
        <w:rPr>
          <w:bCs/>
        </w:rPr>
        <w:t>Consumption-based Services (such as voice);</w:t>
      </w:r>
    </w:p>
    <w:p>
      <w:pPr>
        <w:pStyle w:val="Normal"/>
        <w:spacing w:before="0" w:after="0"/>
        <w:ind w:start="1440" w:end="0"/>
        <w:jc w:val="both"/>
        <w:rPr>
          <w:bCs/>
        </w:rPr>
      </w:pPr>
      <w:r>
        <w:rPr>
          <w:bCs/>
        </w:rPr>
        <w:t>Subscription ISDN;</w:t>
      </w:r>
    </w:p>
    <w:p>
      <w:pPr>
        <w:pStyle w:val="Normal"/>
        <w:spacing w:before="0" w:after="0"/>
        <w:ind w:start="1440" w:end="0"/>
        <w:jc w:val="both"/>
        <w:rPr>
          <w:bCs/>
        </w:rPr>
      </w:pPr>
      <w:r>
        <w:rPr>
          <w:bCs/>
        </w:rPr>
        <w:t>Dual-homing telephony;</w:t>
      </w:r>
    </w:p>
    <w:p>
      <w:pPr>
        <w:pStyle w:val="Normal"/>
        <w:spacing w:before="0" w:after="0"/>
        <w:ind w:start="1440" w:end="0"/>
        <w:jc w:val="both"/>
        <w:rPr/>
      </w:pPr>
      <w:r>
        <w:rPr>
          <w:bCs/>
        </w:rPr>
        <w:t>DDI reserved numbers;</w:t>
      </w:r>
    </w:p>
    <w:p>
      <w:pPr>
        <w:pStyle w:val="Normal"/>
        <w:spacing w:before="0" w:after="0"/>
        <w:ind w:start="1440" w:end="0"/>
        <w:jc w:val="both"/>
        <w:rPr/>
      </w:pPr>
      <w:r>
        <w:rPr>
          <w:bCs/>
        </w:rPr>
        <w:t>Calamity Services;</w:t>
      </w:r>
    </w:p>
    <w:p>
      <w:pPr>
        <w:pStyle w:val="Normal"/>
        <w:spacing w:before="0" w:after="0"/>
        <w:ind w:start="1440" w:end="0"/>
        <w:jc w:val="both"/>
        <w:rPr/>
      </w:pPr>
      <w:r>
        <w:rPr>
          <w:bCs/>
        </w:rPr>
        <w:t>Infrastructure Services;</w:t>
      </w:r>
    </w:p>
    <w:p>
      <w:pPr>
        <w:pStyle w:val="Normal"/>
        <w:spacing w:before="0" w:after="0"/>
        <w:ind w:start="1440" w:end="0"/>
        <w:jc w:val="both"/>
        <w:rPr/>
      </w:pPr>
      <w:r>
        <w:rPr>
          <w:bCs/>
        </w:rPr>
        <w:t>ADSL;</w:t>
      </w:r>
    </w:p>
    <w:p>
      <w:pPr>
        <w:pStyle w:val="Normal"/>
        <w:spacing w:before="0" w:after="0"/>
        <w:ind w:start="1440" w:end="0"/>
        <w:jc w:val="both"/>
        <w:rPr>
          <w:bCs/>
        </w:rPr>
      </w:pPr>
      <w:r>
        <w:rPr>
          <w:bCs/>
        </w:rPr>
        <w:t>PSTN; and</w:t>
      </w:r>
    </w:p>
    <w:p>
      <w:pPr>
        <w:pStyle w:val="Normal"/>
        <w:spacing w:before="0" w:after="0"/>
        <w:ind w:start="1440" w:end="0"/>
        <w:jc w:val="both"/>
        <w:rPr>
          <w:szCs w:val="22"/>
          <w:lang w:val="en-GB"/>
        </w:rPr>
      </w:pPr>
      <w:r>
        <w:rPr>
          <w:bCs/>
        </w:rPr>
        <w:t>Telex</w:t>
      </w:r>
      <w:r>
        <w:rPr>
          <w:szCs w:val="22"/>
          <w:lang w:val="en-GB"/>
        </w:rPr>
        <w: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(c)</w:t>
        <w:tab/>
      </w:r>
      <w:r>
        <w:rPr>
          <w:b/>
          <w:szCs w:val="22"/>
          <w:lang w:val="en-GB"/>
        </w:rPr>
        <w:t>Optional Services</w:t>
      </w:r>
      <w:r>
        <w:rPr>
          <w:szCs w:val="22"/>
          <w:lang w:val="en-GB"/>
        </w:rPr>
        <w:t xml:space="preserve"> for Seats shall consist of the components in Table B below:</w:t>
      </w:r>
    </w:p>
    <w:p>
      <w:pPr>
        <w:pStyle w:val="Normal"/>
        <w:spacing w:before="0" w:after="0"/>
        <w:jc w:val="both"/>
        <w:rPr>
          <w:szCs w:val="22"/>
          <w:lang w:val="en-GB"/>
        </w:rPr>
      </w:pPr>
      <w:r>
        <w:rPr>
          <w:szCs w:val="22"/>
          <w:lang w:val="en-GB"/>
        </w:rPr>
      </w:r>
    </w:p>
    <w:p>
      <w:pPr>
        <w:pStyle w:val="Normal"/>
        <w:spacing w:before="0" w:after="0"/>
        <w:jc w:val="center"/>
        <w:rPr/>
      </w:pPr>
      <w:r>
        <w:rPr/>
        <w:t>Table B</w:t>
      </w:r>
    </w:p>
    <w:tbl>
      <w:tblPr>
        <w:tblW w:w="8667" w:type="dxa"/>
        <w:jc w:val="start"/>
        <w:tblInd w:w="0" w:type="dxa"/>
        <w:tblLayout w:type="fixed"/>
        <w:tblCellMar>
          <w:top w:w="0" w:type="dxa"/>
          <w:start w:w="108" w:type="dxa"/>
          <w:bottom w:w="0" w:type="dxa"/>
          <w:end w:w="108" w:type="dxa"/>
        </w:tblCellMar>
      </w:tblPr>
      <w:tblGrid>
        <w:gridCol w:w="6048"/>
        <w:gridCol w:w="1440"/>
        <w:gridCol w:w="1179"/>
      </w:tblGrid>
      <w:tr>
        <w:trPr/>
        <w:tc>
          <w:tcPr>
            <w:tcW w:w="6048"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0" w:after="0"/>
              <w:jc w:val="both"/>
              <w:rPr/>
            </w:pPr>
            <w:r>
              <w:rPr>
                <w:b/>
                <w:sz w:val="18"/>
                <w:szCs w:val="18"/>
                <w:u w:val="single"/>
                <w:lang w:val="en-GB"/>
              </w:rPr>
              <w:t>Optional Services</w:t>
            </w:r>
          </w:p>
        </w:tc>
        <w:tc>
          <w:tcPr>
            <w:tcW w:w="1440"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0" w:after="0"/>
              <w:jc w:val="center"/>
              <w:rPr>
                <w:b/>
                <w:sz w:val="18"/>
                <w:szCs w:val="18"/>
                <w:u w:val="single"/>
                <w:lang w:val="en-GB"/>
              </w:rPr>
            </w:pPr>
            <w:r>
              <w:rPr>
                <w:b/>
                <w:sz w:val="18"/>
                <w:szCs w:val="18"/>
                <w:u w:val="single"/>
                <w:lang w:val="en-GB"/>
              </w:rPr>
              <w:t>Standard Seat</w:t>
            </w:r>
          </w:p>
        </w:tc>
        <w:tc>
          <w:tcPr>
            <w:tcW w:w="1179" w:type="dxa"/>
            <w:tcBorders>
              <w:top w:val="single" w:sz="4" w:space="0" w:color="000000"/>
              <w:start w:val="single" w:sz="4" w:space="0" w:color="000000"/>
              <w:bottom w:val="single" w:sz="4" w:space="0" w:color="000000"/>
              <w:end w:val="single" w:sz="4" w:space="0" w:color="000000"/>
            </w:tcBorders>
            <w:shd w:fill="E0E0E0" w:val="clear"/>
          </w:tcPr>
          <w:p>
            <w:pPr>
              <w:pStyle w:val="Normal"/>
              <w:spacing w:before="0" w:after="0"/>
              <w:jc w:val="center"/>
              <w:rPr>
                <w:b/>
                <w:sz w:val="18"/>
                <w:szCs w:val="18"/>
                <w:u w:val="single"/>
                <w:lang w:val="en-GB"/>
              </w:rPr>
            </w:pPr>
            <w:r>
              <w:rPr>
                <w:b/>
                <w:sz w:val="18"/>
                <w:szCs w:val="18"/>
                <w:u w:val="single"/>
                <w:lang w:val="en-GB"/>
              </w:rPr>
              <w:t>Mobile Seat</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both"/>
              <w:rPr>
                <w:b/>
                <w:sz w:val="18"/>
                <w:szCs w:val="18"/>
                <w:u w:val="single"/>
                <w:lang w:val="en-GB"/>
              </w:rPr>
            </w:pPr>
            <w:r>
              <w:rPr>
                <w:b/>
                <w:sz w:val="18"/>
                <w:szCs w:val="18"/>
                <w:u w:val="single"/>
                <w:lang w:val="en-GB"/>
              </w:rPr>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sz w:val="18"/>
                <w:szCs w:val="18"/>
                <w:lang w:val="en-GB"/>
              </w:rPr>
            </w:pPr>
            <w:r>
              <w:rPr>
                <w:sz w:val="18"/>
                <w:szCs w:val="18"/>
                <w:lang w:val="en-GB"/>
              </w:rPr>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sz w:val="18"/>
                <w:szCs w:val="18"/>
                <w:lang w:val="en-GB"/>
              </w:rPr>
            </w:pPr>
            <w:r>
              <w:rPr>
                <w:sz w:val="18"/>
                <w:szCs w:val="18"/>
                <w:lang w:val="en-GB"/>
              </w:rPr>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sz w:val="18"/>
                <w:szCs w:val="18"/>
                <w:lang w:val="en-GB"/>
              </w:rPr>
            </w:pPr>
            <w:r>
              <w:rPr>
                <w:sz w:val="18"/>
                <w:szCs w:val="18"/>
                <w:lang w:val="en-GB"/>
              </w:rPr>
              <w:t>Standard Local Printers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Non-Standard Local Printers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sz w:val="18"/>
                <w:szCs w:val="18"/>
                <w:lang w:val="en-GB"/>
              </w:rPr>
            </w:pPr>
            <w:r>
              <w:rPr>
                <w:b/>
                <w:sz w:val="18"/>
                <w:szCs w:val="18"/>
                <w:lang w:val="en-GB"/>
              </w:rPr>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Call Center Supplement</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sz w:val="18"/>
                <w:szCs w:val="18"/>
                <w:lang w:val="en-GB"/>
              </w:rPr>
            </w:pPr>
            <w:r>
              <w:rPr>
                <w:b/>
                <w:sz w:val="18"/>
                <w:szCs w:val="18"/>
                <w:lang w:val="en-GB"/>
              </w:rPr>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ISDN</w:t>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bCs/>
                <w:sz w:val="18"/>
                <w:szCs w:val="18"/>
                <w:lang w:val="en-GB"/>
              </w:rPr>
            </w:pPr>
            <w:r>
              <w:rPr>
                <w:b/>
                <w:bCs/>
                <w:sz w:val="18"/>
                <w:szCs w:val="18"/>
                <w:lang w:val="en-GB"/>
              </w:rPr>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Cellular Phones</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sz w:val="18"/>
                <w:szCs w:val="18"/>
                <w:lang w:val="en-GB"/>
              </w:rPr>
            </w:pPr>
            <w:r>
              <w:rPr>
                <w:b/>
                <w:sz w:val="18"/>
                <w:szCs w:val="18"/>
                <w:lang w:val="en-GB"/>
              </w:rPr>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UMTS cards</w:t>
            </w:r>
          </w:p>
        </w:tc>
        <w:tc>
          <w:tcPr>
            <w:tcW w:w="1440"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bCs/>
                <w:sz w:val="18"/>
                <w:szCs w:val="18"/>
                <w:lang w:val="en-GB"/>
              </w:rPr>
            </w:pPr>
            <w:r>
              <w:rPr>
                <w:b/>
                <w:bCs/>
                <w:sz w:val="18"/>
                <w:szCs w:val="18"/>
                <w:lang w:val="en-GB"/>
              </w:rPr>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Blackberry</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Extended hours (upgrade low to medium)</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r>
      <w:tr>
        <w:trPr/>
        <w:tc>
          <w:tcPr>
            <w:tcW w:w="6048" w:type="dxa"/>
            <w:tcBorders>
              <w:top w:val="single" w:sz="4" w:space="0" w:color="000000"/>
              <w:start w:val="single" w:sz="4" w:space="0" w:color="000000"/>
              <w:bottom w:val="single" w:sz="4" w:space="0" w:color="000000"/>
              <w:end w:val="single" w:sz="4" w:space="0" w:color="000000"/>
            </w:tcBorders>
          </w:tcPr>
          <w:p>
            <w:pPr>
              <w:pStyle w:val="Normal"/>
              <w:spacing w:before="0" w:after="0"/>
              <w:jc w:val="both"/>
              <w:rPr>
                <w:bCs/>
                <w:sz w:val="18"/>
                <w:szCs w:val="18"/>
              </w:rPr>
            </w:pPr>
            <w:r>
              <w:rPr>
                <w:bCs/>
                <w:sz w:val="18"/>
                <w:szCs w:val="18"/>
              </w:rPr>
              <w:t>Dealing Room Supplement</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sz w:val="18"/>
                <w:szCs w:val="18"/>
                <w:lang w:val="en-GB"/>
              </w:rPr>
            </w:pPr>
            <w:r>
              <w:rPr>
                <w:b/>
                <w:sz w:val="18"/>
                <w:szCs w:val="18"/>
                <w:lang w:val="en-GB"/>
              </w:rPr>
              <w:t>X</w:t>
            </w:r>
          </w:p>
        </w:tc>
        <w:tc>
          <w:tcPr>
            <w:tcW w:w="1179" w:type="dxa"/>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sz w:val="18"/>
                <w:szCs w:val="18"/>
                <w:lang w:val="en-GB"/>
              </w:rPr>
            </w:pPr>
            <w:r>
              <w:rPr>
                <w:b/>
                <w:sz w:val="18"/>
                <w:szCs w:val="18"/>
                <w:lang w:val="en-GB"/>
              </w:rPr>
            </w:r>
          </w:p>
        </w:tc>
      </w:tr>
    </w:tbl>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The Charges specified in this Section 5 shall fully compensate PST Supplier for providing the Services.  EuroBank shall not be required to pay PST Supplier any amounts for the Services in addition to the foregoing.  PST Supplier is responsible for the accuracy and completeness of the operational and financial assumptions and dependencies underlying its pricing, and if such assumptions are incorrect or incomplete, PST Supplier shall not be entitled to adjust its pricing or any other terms of the MSA, or to assess additional fees for the Services.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4" w:name="__RefHeading___Toc152387198"/>
      <w:bookmarkEnd w:id="14"/>
      <w:r>
        <w:rPr>
          <w:bCs/>
          <w:sz w:val="22"/>
          <w:lang w:val="en-GB"/>
        </w:rPr>
        <w:t>Charges during First Year</w:t>
      </w:r>
    </w:p>
    <w:p>
      <w:pPr>
        <w:pStyle w:val="Normal"/>
        <w:spacing w:before="0" w:after="0"/>
        <w:ind w:hanging="720" w:start="720" w:end="0"/>
        <w:jc w:val="both"/>
        <w:rPr>
          <w:szCs w:val="22"/>
          <w:lang w:val="en-GB"/>
        </w:rPr>
      </w:pPr>
      <w:r>
        <w:rPr>
          <w:szCs w:val="22"/>
          <w:lang w:val="en-GB"/>
        </w:rPr>
        <w:t>During the first Year, a special pricing framework will apply, as follows: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w:t>
        <w:tab/>
        <w:t xml:space="preserve">The parties acknowledge that during the first 12 months from Commencement Date, there will be an inherent anomaly in the unit Seat Price as calculated in the rest of this Section 6 due to the impact of the EuroBank retained contracts and the delay in the commencement of Services in Belgium. To deal with the anomaly, it is agreed that EuroBank, the PST Supplier(s) and 2IM will consult together in good faith to rationalize the monthly Charges and ensure that EuroBank’s payments are correct and take account of the interim factors as above. </w:t>
      </w:r>
    </w:p>
    <w:p>
      <w:pPr>
        <w:pStyle w:val="Normal"/>
        <w:spacing w:before="0" w:after="0"/>
        <w:ind w:start="144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(2)</w:t>
        <w:tab/>
        <w:t>Subject to (1) above, PST will invoice according to the Seat Price model from the Commencement Date as specified in Section 5 of Exhibit 4;</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(3)</w:t>
        <w:tab/>
        <w:t>Within 6 months after the Commencement Date, PST shall:</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(i)</w:t>
        <w:tab/>
        <w:t>perform an inventory of the Resource Units (other than the Consumption-based Resource Units) and provide EuroBank with a copy of the results.  EuroBank and the PST shall agree on the differences between the Resource Baseline volumes (other than the Consumption-based Resource Units) and the actual Resource Unit counts disclosed by such inventory on a country-by-country basis;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pPr>
      <w:r>
        <w:rPr>
          <w:szCs w:val="22"/>
          <w:lang w:val="en-GB"/>
        </w:rPr>
        <w:t>(ii)</w:t>
        <w:tab/>
        <w:t>count and validate the Resource Baseline volumes and Baseline Ratios in the Seat Price model, and then validate them with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(4)</w:t>
        <w:tab/>
        <w:t xml:space="preserve">PST will then calculate and 2IM will then validate the difference in Base Charges for the initial 6-month period under (2) above between (i) what was actually paid by EuroBank and (ii) what should have been paid based on the agreed inventoried resources, and EuroBank will then either settle or be entitled to receive the difference to or from the PST Supplier;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(5)</w:t>
        <w:tab/>
        <w:t>After the initial 6-month period in (2) above, EuroBank and PST will recalibrate the unit Seat Prices based on agreed inventoried resources and actual consumption for that initial 6-month period (with all analyses to be validated by the 2IM);</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(6)</w:t>
        <w:tab/>
        <w:t xml:space="preserve">Subject to the outcome of the re-calibration in (5) above, the revised Seat Prices will be applied in invoices from month 7 of Year 1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(7)</w:t>
        <w:tab/>
        <w:t>At the end of Year one, the parties will repeat the procedure described in (1) to (5) above and fix the Seat Prices for Year two. To be validated by the 2IM.</w:t>
      </w:r>
    </w:p>
    <w:p>
      <w:pPr>
        <w:pStyle w:val="Normal"/>
        <w:spacing w:before="0" w:after="0"/>
        <w:ind w:hanging="720" w:start="720" w:end="0"/>
        <w:jc w:val="both"/>
        <w:rPr>
          <w:szCs w:val="22"/>
          <w:lang w:val="en-GB"/>
        </w:rPr>
      </w:pPr>
      <w:r>
        <w:rPr>
          <w:szCs w:val="22"/>
          <w:lang w:val="en-GB"/>
        </w:rPr>
      </w:r>
    </w:p>
    <w:p>
      <w:pPr>
        <w:pStyle w:val="Heading1Numbered"/>
        <w:numPr>
          <w:ilvl w:val="0"/>
          <w:numId w:val="2"/>
        </w:numPr>
        <w:ind w:hanging="0" w:start="0"/>
        <w:rPr>
          <w:bCs/>
          <w:sz w:val="22"/>
          <w:lang w:val="en-GB"/>
        </w:rPr>
      </w:pPr>
      <w:bookmarkStart w:id="15" w:name="__RefHeading___Toc152387199"/>
      <w:bookmarkEnd w:id="15"/>
      <w:r>
        <w:rPr>
          <w:bCs/>
          <w:sz w:val="22"/>
          <w:lang w:val="en-GB"/>
        </w:rPr>
        <w:t>First and Last Months Charges.</w:t>
      </w:r>
    </w:p>
    <w:p>
      <w:pPr>
        <w:pStyle w:val="Normal"/>
        <w:spacing w:before="0" w:after="0"/>
        <w:jc w:val="both"/>
        <w:rPr/>
      </w:pPr>
      <w:r>
        <w:rPr>
          <w:szCs w:val="22"/>
          <w:lang w:val="en-GB"/>
        </w:rPr>
        <w:t xml:space="preserve">The monthly Base Charges and any ARCs and RRCs, other than Consumption-Based Resource Units, for the first and last months of the Term shall be prorated on a per diem basis based on the number of days the applicable Services are provided by PST to EuroBank in the relevant month.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6" w:name="__RefHeading___Toc152387200"/>
      <w:bookmarkEnd w:id="16"/>
      <w:r>
        <w:rPr>
          <w:bCs/>
          <w:sz w:val="22"/>
          <w:lang w:val="en-GB"/>
        </w:rPr>
        <w:t>Monthly Base Charge.</w:t>
      </w:r>
    </w:p>
    <w:p>
      <w:pPr>
        <w:pStyle w:val="Normal"/>
        <w:spacing w:before="0" w:after="0"/>
        <w:jc w:val="both"/>
        <w:rPr/>
      </w:pPr>
      <w:r>
        <w:rPr>
          <w:szCs w:val="22"/>
          <w:lang w:val="en-GB"/>
        </w:rPr>
        <w:t>The monthly Base Charges for each type of Service for each Year are set forth in Attachment 4-A.  The governing principles set out below determine the Charges under the Seat Price model:</w:t>
      </w:r>
    </w:p>
    <w:p>
      <w:pPr>
        <w:pStyle w:val="Normal"/>
        <w:spacing w:before="0" w:after="0"/>
        <w:ind w:hanging="720" w:start="1440" w:end="0"/>
        <w:jc w:val="both"/>
        <w:rPr>
          <w:szCs w:val="22"/>
          <w:lang w:val="en-GB"/>
        </w:rPr>
      </w:pPr>
      <w:r>
        <w:rPr>
          <w:szCs w:val="22"/>
          <w:lang w:val="en-GB"/>
        </w:rPr>
      </w:r>
    </w:p>
    <w:p>
      <w:pPr>
        <w:pStyle w:val="Normal"/>
        <w:spacing w:before="0" w:after="0"/>
        <w:ind w:hanging="720" w:start="720" w:end="0"/>
        <w:jc w:val="both"/>
        <w:rPr/>
      </w:pPr>
      <w:r>
        <w:rPr>
          <w:szCs w:val="22"/>
          <w:lang w:val="en-GB"/>
        </w:rPr>
        <w:t>(1)</w:t>
        <w:tab/>
        <w:t>There will be an aggregated Seat Price for each of the Mobile and Standard Seat types for the Netherlands and Belgium as described in Section 3(d) above.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(2)</w:t>
        <w:tab/>
        <w:t>Services as defined in Section 5(a) are allocated to Standard Seats and/or Mobile Seats on a pro-rata basis relative to the Resource Baseline volumes.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(3)</w:t>
        <w:tab/>
        <w:t>For Authorised Users who have both a laptop and desktop, the monthly Charges assessed will be the sum of the Seat Prices for a Mobile Seat and a Standard Seat.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(4)</w:t>
        <w:tab/>
        <w:t>If there is no desktop or laptop assigned to an Authorised User then the Seat will be treated and charged as a Standard Seat.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(5)</w:t>
        <w:tab/>
        <w:t>Optional Services will be calculated and priced according to ARCs and RRCs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(6)</w:t>
        <w:tab/>
        <w:t>Any fixed costs for Optional Services predefined in the Service Catalogue will be included in the Seat Prices for Standard Seats and Mobile Seats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(7)</w:t>
        <w:tab/>
        <w:t>Throughout the Term, consumption of Services will be monitored to justify any deviations from the Baseline Ratio. The objective will be to determine if such deviations are driven by any unique EuroBank business requirements. In the event of any such material deviations (defined as a 5% increase in the Seat Price) the most relevant Services may be charged as Optional Services for the following Year. This does not supplant Sections 8 (8) or (9) below.</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(8)</w:t>
        <w:tab/>
        <w:t>If a Monthly Ratio exceeds the Dead Band, then that part that resides outside the Dead Band up to +/- 25% of the current Resource Baseline Volumes will be priced with the ARCs/RRCs per Attachment 4-A (</w:t>
      </w:r>
      <w:r>
        <w:rPr>
          <w:i/>
          <w:szCs w:val="22"/>
          <w:lang w:val="en-GB"/>
        </w:rPr>
        <w:t>Pricing Forms</w:t>
      </w:r>
      <w:r>
        <w:rPr>
          <w:szCs w:val="22"/>
          <w:lang w:val="en-GB"/>
        </w:rPr>
        <w:t>) for each type of Service. This will hold true provided that the number of the corresponding monthly Resource Baseline volumes stay within the original +/- 25% ARC/RRC’s band as stated in Exhibit 4.</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(9)</w:t>
        <w:tab/>
        <w:t>If in each calendar quarter (or part thereof at the beginning and end of the Term), the trend of a Monthly Ratio deviates between 5% and 10% + or -, then the PST Supplier and/or EuroBank/2IM may adjust the value of the Baseline Ratio based on the projected trend for the next calendar quarter and calculated using the ARCs/RCCs. This will apply only to Network printers, Other Peripherals, IMACs, packaging &amp; distribution, Server management and mobile phones.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(10)</w:t>
        <w:tab/>
        <w:t>Every year the composition and Optional Services of the Seat price model will be adapted based on the previous year and EuroBank’s requirements (such as demand, technology and innovation).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(11)</w:t>
        <w:tab/>
        <w:t>Should significant activities (e.g. IMACs) occur, the cost will be attributed to the corresponding Project through the Change Control Procedure.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(12)</w:t>
        <w:tab/>
        <w:t>The Seat Prices, Monthly Ratios, Baseline Ratios and the Dead Bands shall be subject to the provisions of Exhibit 34 (Price Adjustment &amp; Benchmarking).</w:t>
      </w:r>
    </w:p>
    <w:p>
      <w:pPr>
        <w:pStyle w:val="Normal"/>
        <w:spacing w:before="0" w:after="0"/>
        <w:ind w:hanging="720" w:start="720" w:end="0"/>
        <w:jc w:val="both"/>
        <w:rPr>
          <w:szCs w:val="22"/>
          <w:lang w:val="en-GB"/>
        </w:rPr>
      </w:pPr>
      <w:r>
        <w:rPr>
          <w:szCs w:val="22"/>
          <w:lang w:val="en-GB"/>
        </w:rPr>
      </w:r>
    </w:p>
    <w:p>
      <w:pPr>
        <w:pStyle w:val="Normal"/>
        <w:spacing w:before="0" w:after="0"/>
        <w:jc w:val="both"/>
        <w:rPr>
          <w:szCs w:val="22"/>
        </w:rPr>
      </w:pPr>
      <w:r>
        <w:rPr>
          <w:szCs w:val="22"/>
        </w:rPr>
      </w:r>
    </w:p>
    <w:p>
      <w:pPr>
        <w:pStyle w:val="Normal"/>
        <w:spacing w:before="0" w:after="0"/>
        <w:rPr>
          <w:szCs w:val="22"/>
        </w:rPr>
      </w:pPr>
      <w:r>
        <w:rPr>
          <w:szCs w:val="22"/>
        </w:rPr>
      </w:r>
    </w:p>
    <w:sectPr>
      <w:headerReference w:type="default" r:id="rId8"/>
      <w:headerReference w:type="first" r:id="rId9"/>
      <w:footerReference w:type="default" r:id="rId10"/>
      <w:footerReference w:type="first" r:id="rId11"/>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right" w:pos="8460" w:leader="none"/>
      </w:tabs>
      <w:spacing w:before="120" w:after="120"/>
      <w:rPr/>
    </w:pPr>
    <w:r>
      <w:rPr>
        <w:sz w:val="16"/>
        <w:szCs w:val="16"/>
      </w:rPr>
      <w:t>Ops&amp;IT Banking Confidential</w:t>
      <w:tab/>
      <w:tab/>
      <w:t>30/11/06</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i</w:t>
    </w:r>
    <w:r>
      <w:rPr>
        <w:sz w:val="16"/>
        <w:szCs w:val="16"/>
      </w:rPr>
      <w:fldChar w:fldCharType="end"/>
    </w:r>
    <w:r>
      <w:rPr>
        <w:sz w:val="16"/>
        <w:szCs w:val="16"/>
      </w:rPr>
      <w:t xml:space="preserve"> -</w:t>
      <w:tab/>
      <w:t>30/11/2006</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spacing w:before="120" w:after="120"/>
      <w:rPr/>
    </w:pPr>
    <w:r>
      <w:rPr>
        <w:sz w:val="16"/>
        <w:szCs w:val="16"/>
      </w:rPr>
      <w:t>Ops&amp;IT Banking Confidential</w:t>
      <w:tab/>
      <w:t xml:space="preserve">- </w:t>
    </w:r>
    <w:r>
      <w:rPr>
        <w:sz w:val="16"/>
        <w:szCs w:val="16"/>
      </w:rPr>
      <w:fldChar w:fldCharType="begin"/>
    </w:r>
    <w:r>
      <w:rPr>
        <w:sz w:val="16"/>
        <w:szCs w:val="16"/>
      </w:rPr>
      <w:instrText xml:space="preserve"> PAGE </w:instrText>
    </w:r>
    <w:r>
      <w:rPr>
        <w:sz w:val="16"/>
        <w:szCs w:val="16"/>
      </w:rPr>
      <w:fldChar w:fldCharType="separate"/>
    </w:r>
    <w:r>
      <w:rPr>
        <w:sz w:val="16"/>
        <w:szCs w:val="16"/>
      </w:rPr>
      <w:t>6</w:t>
    </w:r>
    <w:r>
      <w:rPr>
        <w:sz w:val="16"/>
        <w:szCs w:val="16"/>
      </w:rPr>
      <w:fldChar w:fldCharType="end"/>
    </w:r>
    <w:r>
      <w:rPr>
        <w:sz w:val="16"/>
        <w:szCs w:val="16"/>
      </w:rPr>
      <w:t xml:space="preserve"> -</w:t>
      <w:tab/>
      <w:t>30/11/2006</w: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4-J (Seat Pricing Mechanism) Final v2.9.doc</w:t>
    </w:r>
    <w:r>
      <w:rPr>
        <w:sz w:val="16"/>
        <w:szCs w:val="16"/>
      </w:rPr>
      <w:fldChar w:fldCharType="end"/>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4-J (Seat Pricing Mechanism) Final v2.9.doc</w:t>
    </w:r>
    <w:r>
      <w:rPr>
        <w:sz w:val="16"/>
        <w:szCs w:val="16"/>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rPr>
        <w:sz w:val="20"/>
      </w:rPr>
      <w:drawing>
        <wp:inline distT="0" distB="0" distL="0" distR="0">
          <wp:extent cx="965200" cy="284480"/>
          <wp:effectExtent l="0" t="0" r="0" b="0"/>
          <wp:docPr id="3" name="Image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Copy 1" descr="" title=""/>
                  <pic:cNvPicPr>
                    <a:picLocks noChangeAspect="1" noChangeArrowheads="1"/>
                  </pic:cNvPicPr>
                </pic:nvPicPr>
                <pic:blipFill>
                  <a:blip r:embed="rId1"/>
                  <a:srcRect l="-28" t="-97" r="-28" b="-97"/>
                  <a:stretch>
                    <a:fillRect/>
                  </a:stretch>
                </pic:blipFill>
                <pic:spPr bwMode="auto">
                  <a:xfrm>
                    <a:off x="0" y="0"/>
                    <a:ext cx="965200" cy="284480"/>
                  </a:xfrm>
                  <a:prstGeom prst="rect">
                    <a:avLst/>
                  </a:prstGeom>
                  <a:noFill/>
                </pic:spPr>
              </pic:pic>
            </a:graphicData>
          </a:graphic>
        </wp:inline>
      </w:drawing>
    </w:r>
    <w:r>
      <w:rPr>
        <w:sz w:val="20"/>
      </w:rPr>
      <w:tab/>
      <w:tab/>
    </w:r>
    <w:r>
      <w:rPr>
        <w:sz w:val="16"/>
        <w:szCs w:val="16"/>
      </w:rPr>
      <w:fldChar w:fldCharType="begin"/>
    </w:r>
    <w:r>
      <w:rPr>
        <w:sz w:val="16"/>
        <w:szCs w:val="16"/>
      </w:rPr>
      <w:instrText xml:space="preserve"> FILENAME </w:instrText>
    </w:r>
    <w:r>
      <w:rPr>
        <w:sz w:val="16"/>
        <w:szCs w:val="16"/>
      </w:rPr>
      <w:fldChar w:fldCharType="separate"/>
    </w:r>
    <w:r>
      <w:rPr>
        <w:sz w:val="16"/>
        <w:szCs w:val="16"/>
      </w:rPr>
      <w:t>Attachment 4-J (Seat Pricing Mechanism) Final v2.9.doc</w:t>
    </w:r>
    <w:r>
      <w:rPr>
        <w:sz w:val="16"/>
        <w:szCs w:val="16"/>
      </w:rPr>
      <w:fldChar w:fldCharType="end"/>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lowerRoman"/>
      <w:lvlText w:val="(%1)"/>
      <w:lvlJc w:val="start"/>
      <w:pPr>
        <w:tabs>
          <w:tab w:val="num" w:pos="1080"/>
        </w:tabs>
        <w:ind w:start="1080" w:hanging="720"/>
      </w:pPr>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7">
    <w:lvl w:ilvl="0">
      <w:start w:val="2"/>
      <w:numFmt w:val="lowerLetter"/>
      <w:lvlText w:val="(%1)"/>
      <w:lvlJc w:val="start"/>
      <w:pPr>
        <w:tabs>
          <w:tab w:val="num" w:pos="720"/>
        </w:tabs>
        <w:ind w:start="720" w:hanging="360"/>
      </w:pPr>
      <w:rPr/>
    </w:lvl>
  </w:abstractNum>
  <w:abstractNum w:abstractNumId="8">
    <w:lvl w:ilvl="0">
      <w:start w:val="8"/>
      <w:numFmt w:val="lowerLetter"/>
      <w:lvlText w:val="(%1)"/>
      <w:lvlJc w:val="start"/>
      <w:pPr>
        <w:tabs>
          <w:tab w:val="num" w:pos="720"/>
        </w:tabs>
        <w:ind w:start="720" w:hanging="360"/>
      </w:pPr>
      <w:rPr/>
    </w:lvl>
  </w:abstractNum>
  <w:abstractNum w:abstractNumId="9">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0">
    <w:lvl w:ilvl="0">
      <w:start w:val="1"/>
      <w:numFmt w:val="bullet"/>
      <w:lvlText w:val=""/>
      <w:lvlJc w:val="start"/>
      <w:pPr>
        <w:tabs>
          <w:tab w:val="num" w:pos="1440"/>
        </w:tabs>
        <w:ind w:start="1440" w:hanging="360"/>
      </w:pPr>
      <w:rPr>
        <w:rFonts w:ascii="Symbol" w:hAnsi="Symbol" w:cs="Symbol" w:hint="default"/>
      </w:rPr>
    </w:lvl>
  </w:abstractNum>
  <w:abstractNum w:abstractNumId="11">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4z0">
    <w:name w:val="WW8Num4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Times New Roman" w:hAnsi="Times New Roman" w:cs="Times New Roman"/>
      <w:b w:val="false"/>
      <w:i w:val="false"/>
      <w:color w:val="000000"/>
      <w:sz w:val="22"/>
    </w:rPr>
  </w:style>
  <w:style w:type="character" w:styleId="WW8Num6z1">
    <w:name w:val="WW8Num6z1"/>
    <w:qFormat/>
    <w:rPr>
      <w:rFonts w:ascii="Times New Roman" w:hAnsi="Times New Roman" w:cs="Times New Roman"/>
      <w:b w:val="false"/>
      <w:i w:val="false"/>
      <w:sz w:val="22"/>
    </w:rPr>
  </w:style>
  <w:style w:type="character" w:styleId="WW8Num6z4">
    <w:name w:val="WW8Num6z4"/>
    <w:qFormat/>
    <w:rPr/>
  </w:style>
  <w:style w:type="character" w:styleId="WW8Num7z0">
    <w:name w:val="WW8Num7z0"/>
    <w:qFormat/>
    <w:rPr/>
  </w:style>
  <w:style w:type="character" w:styleId="WW8Num8z0">
    <w:name w:val="WW8Num8z0"/>
    <w:qFormat/>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DefaultParagraphFont">
    <w:name w:val="Default Paragraph Font"/>
    <w:qFormat/>
    <w:rPr/>
  </w:style>
  <w:style w:type="character" w:styleId="Hyperlink">
    <w:name w:val="Hyperlink"/>
    <w:basedOn w:val="DefaultParagraphFont"/>
    <w:rPr>
      <w:color w:val="0000FF"/>
      <w:u w:val="single"/>
    </w:rPr>
  </w:style>
  <w:style w:type="character" w:styleId="CharChar">
    <w:name w:val=" Char Char"/>
    <w:basedOn w:val="DefaultParagraphFont"/>
    <w:qFormat/>
    <w:rPr>
      <w:rFonts w:ascii="Times New Roman Bold;Times New Roman" w:hAnsi="Times New Roman Bold;Times New Roman" w:cs="Arial"/>
      <w:b/>
      <w:iCs/>
      <w:kern w:val="2"/>
      <w:sz w:val="28"/>
      <w:szCs w:val="28"/>
      <w:lang w:val="en-US" w:bidi="ar-SA"/>
    </w:rPr>
  </w:style>
  <w:style w:type="character" w:styleId="Strong">
    <w:name w:val="Strong"/>
    <w:basedOn w:val="DefaultParagraphFont"/>
    <w:qFormat/>
    <w:rPr>
      <w:b/>
      <w:bCs/>
    </w:rPr>
  </w:style>
  <w:style w:type="character" w:styleId="CommentReference">
    <w:name w:val="Comment Reference"/>
    <w:basedOn w:val="DefaultParagraphFont"/>
    <w:qFormat/>
    <w:rPr>
      <w:sz w:val="16"/>
      <w:szCs w:val="16"/>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le">
    <w:name w:val="Title"/>
    <w:basedOn w:val="Normal"/>
    <w:next w:val="BodyText"/>
    <w:qFormat/>
    <w:pPr>
      <w:spacing w:before="240" w:after="240"/>
      <w:jc w:val="center"/>
      <w:outlineLvl w:val="0"/>
    </w:pPr>
    <w:rPr>
      <w:rFonts w:cs="Arial"/>
      <w:b/>
      <w:bCs/>
      <w:caps/>
      <w:kern w:val="2"/>
      <w:sz w:val="32"/>
      <w:szCs w:val="32"/>
    </w:rPr>
  </w:style>
  <w:style w:type="paragraph" w:styleId="TOC1">
    <w:name w:val="toc 1"/>
    <w:basedOn w:val="Normal"/>
    <w:next w:val="Normal"/>
    <w:pPr/>
    <w:rPr>
      <w:b/>
      <w:sz w:val="24"/>
    </w:rPr>
  </w:style>
  <w:style w:type="paragraph" w:styleId="TOC2">
    <w:name w:val="toc 2"/>
    <w:basedOn w:val="Normal"/>
    <w:next w:val="Normal"/>
    <w:pPr>
      <w:ind w:hanging="0" w:start="220" w:end="0"/>
    </w:pPr>
    <w:rPr>
      <w:b/>
    </w:rPr>
  </w:style>
  <w:style w:type="paragraph" w:styleId="TOC3">
    <w:name w:val="toc 3"/>
    <w:basedOn w:val="Normal"/>
    <w:next w:val="Normal"/>
    <w:pPr>
      <w:ind w:hanging="0" w:start="440" w:end="0"/>
    </w:pPr>
    <w:rPr/>
  </w:style>
  <w:style w:type="paragraph" w:styleId="TOC4">
    <w:name w:val="toc 4"/>
    <w:basedOn w:val="Normal"/>
    <w:next w:val="Normal"/>
    <w:pPr>
      <w:ind w:hanging="0" w:start="660" w:end="0"/>
    </w:pPr>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ind w:hanging="0" w:start="880" w:end="0"/>
    </w:pPr>
    <w:rPr/>
  </w:style>
  <w:style w:type="paragraph" w:styleId="TOC6">
    <w:name w:val="toc 6"/>
    <w:basedOn w:val="Normal"/>
    <w:next w:val="Normal"/>
    <w:pPr>
      <w:ind w:hanging="0" w:start="1100" w:end="0"/>
    </w:pPr>
    <w:rPr/>
  </w:style>
  <w:style w:type="paragraph" w:styleId="TOC7">
    <w:name w:val="toc 7"/>
    <w:basedOn w:val="Normal"/>
    <w:next w:val="Normal"/>
    <w:pPr>
      <w:ind w:hanging="0" w:start="1320" w:end="0"/>
    </w:pPr>
    <w:rPr/>
  </w:style>
  <w:style w:type="paragraph" w:styleId="TOC8">
    <w:name w:val="toc 8"/>
    <w:basedOn w:val="Normal"/>
    <w:next w:val="Normal"/>
    <w:pPr>
      <w:ind w:hanging="0" w:start="1540" w:end="0"/>
    </w:pPr>
    <w:rPr/>
  </w:style>
  <w:style w:type="paragraph" w:styleId="TOC9">
    <w:name w:val="toc 9"/>
    <w:basedOn w:val="Normal"/>
    <w:next w:val="Normal"/>
    <w:pPr>
      <w:ind w:hanging="0" w:start="1760" w:end="0"/>
    </w:pPr>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11"/>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9"/>
      </w:numPr>
    </w:pPr>
    <w:rPr>
      <w:bCs/>
    </w:rPr>
  </w:style>
  <w:style w:type="paragraph" w:styleId="TableLevel3Numbered">
    <w:name w:val="Table Level 3 Numbered"/>
    <w:basedOn w:val="Normal"/>
    <w:qFormat/>
    <w:pPr>
      <w:numPr>
        <w:ilvl w:val="0"/>
        <w:numId w:val="9"/>
      </w:numPr>
    </w:pPr>
    <w:rPr/>
  </w:style>
  <w:style w:type="paragraph" w:styleId="TableLevel4Numbered">
    <w:name w:val="Table Level 4 Numbered"/>
    <w:basedOn w:val="Normal"/>
    <w:qFormat/>
    <w:pPr>
      <w:numPr>
        <w:ilvl w:val="0"/>
        <w:numId w:val="9"/>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6"/>
      </w:numPr>
      <w:spacing w:before="240" w:after="240"/>
    </w:pPr>
    <w:rPr/>
  </w:style>
  <w:style w:type="paragraph" w:styleId="BodyLevel2Numbered">
    <w:name w:val="Body Level 2 Numbered"/>
    <w:basedOn w:val="Normal"/>
    <w:qFormat/>
    <w:pPr>
      <w:numPr>
        <w:ilvl w:val="0"/>
        <w:numId w:val="6"/>
      </w:numPr>
      <w:spacing w:before="240" w:after="240"/>
    </w:pPr>
    <w:rPr/>
  </w:style>
  <w:style w:type="paragraph" w:styleId="BodyLevel3Numbered">
    <w:name w:val="Body Level 3 Numbered"/>
    <w:basedOn w:val="Normal"/>
    <w:qFormat/>
    <w:pPr>
      <w:numPr>
        <w:ilvl w:val="0"/>
        <w:numId w:val="6"/>
      </w:numPr>
      <w:spacing w:before="240" w:after="240"/>
    </w:pPr>
    <w:rPr/>
  </w:style>
  <w:style w:type="paragraph" w:styleId="BodyLevel4Numbered">
    <w:name w:val="Body Level 4 Numbered"/>
    <w:basedOn w:val="Normal"/>
    <w:qFormat/>
    <w:pPr>
      <w:numPr>
        <w:ilvl w:val="0"/>
        <w:numId w:val="6"/>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BalloonText">
    <w:name w:val="Balloon Text"/>
    <w:basedOn w:val="Normal"/>
    <w:qFormat/>
    <w:pPr/>
    <w:rPr>
      <w:rFonts w:ascii="Tahoma" w:hAnsi="Tahoma" w:cs="Tahoma"/>
      <w:sz w:val="16"/>
      <w:szCs w:val="16"/>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rPr>
  </w:style>
  <w:style w:type="paragraph" w:styleId="DocumentMap">
    <w:name w:val="Document Map"/>
    <w:basedOn w:val="Normal"/>
    <w:qFormat/>
    <w:pPr>
      <w:shd w:fill="000080" w:val="clear"/>
    </w:pPr>
    <w:rPr>
      <w:rFonts w:ascii="Tahoma" w:hAnsi="Tahoma" w:cs="Tahoma"/>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2</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2006-12-13T14:15:00Z</dcterms:created>
  <dc:creator> </dc:creator>
  <dc:description/>
  <cp:keywords/>
  <dc:language>en-US</dc:language>
  <cp:lastModifiedBy>Stuart Johnson</cp:lastModifiedBy>
  <cp:lastPrinted>2005-07-04T16:19:00Z</cp:lastPrinted>
  <dcterms:modified xsi:type="dcterms:W3CDTF">2006-12-13T14:16:00Z</dcterms:modified>
  <cp:revision>4</cp:revision>
  <dc:subject/>
  <dc:title> </dc:title>
</cp:coreProperties>
</file>