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528" w:type="dxa"/>
        <w:jc w:val="start"/>
        <w:tblInd w:w="0" w:type="dxa"/>
        <w:tblLayout w:type="fixed"/>
        <w:tblCellMar>
          <w:top w:w="0" w:type="dxa"/>
          <w:start w:w="108" w:type="dxa"/>
          <w:bottom w:w="0" w:type="dxa"/>
          <w:end w:w="108" w:type="dxa"/>
        </w:tblCellMar>
      </w:tblPr>
      <w:tblGrid>
        <w:gridCol w:w="1188"/>
        <w:gridCol w:w="1800"/>
        <w:gridCol w:w="5540"/>
      </w:tblGrid>
      <w:tr>
        <w:trPr/>
        <w:tc>
          <w:tcPr>
            <w:tcW w:w="1188" w:type="dxa"/>
            <w:tcBorders/>
          </w:tcPr>
          <w:p>
            <w:pPr>
              <w:pStyle w:val="BodyText"/>
              <w:spacing w:before="0" w:after="0"/>
              <w:ind w:start="0" w:end="0"/>
              <w:rPr>
                <w:b/>
                <w:bCs/>
                <w:i/>
                <w:i/>
                <w:iCs/>
                <w:color w:val="FF0000"/>
                <w:sz w:val="16"/>
                <w:szCs w:val="16"/>
              </w:rPr>
            </w:pPr>
            <w:r>
              <w:rPr>
                <w:b/>
                <w:bCs/>
                <w:i/>
                <w:iCs/>
                <w:color w:val="FF0000"/>
                <w:sz w:val="16"/>
                <w:szCs w:val="16"/>
              </w:rPr>
              <w:t>Version</w:t>
            </w:r>
          </w:p>
        </w:tc>
        <w:tc>
          <w:tcPr>
            <w:tcW w:w="1800" w:type="dxa"/>
            <w:tcBorders/>
          </w:tcPr>
          <w:p>
            <w:pPr>
              <w:pStyle w:val="BodyText"/>
              <w:spacing w:before="0" w:after="0"/>
              <w:ind w:start="0" w:end="0"/>
              <w:rPr>
                <w:b/>
                <w:bCs/>
                <w:i/>
                <w:i/>
                <w:iCs/>
                <w:color w:val="FF0000"/>
                <w:sz w:val="16"/>
                <w:szCs w:val="16"/>
              </w:rPr>
            </w:pPr>
            <w:r>
              <w:rPr>
                <w:b/>
                <w:bCs/>
                <w:i/>
                <w:iCs/>
                <w:color w:val="FF0000"/>
                <w:sz w:val="16"/>
                <w:szCs w:val="16"/>
              </w:rPr>
              <w:t>Date</w:t>
            </w:r>
          </w:p>
        </w:tc>
        <w:tc>
          <w:tcPr>
            <w:tcW w:w="5540" w:type="dxa"/>
            <w:tcBorders/>
          </w:tcPr>
          <w:p>
            <w:pPr>
              <w:pStyle w:val="BodyText"/>
              <w:spacing w:before="0" w:after="0"/>
              <w:ind w:start="0" w:end="0"/>
              <w:rPr>
                <w:b/>
                <w:bCs/>
                <w:i/>
                <w:i/>
                <w:iCs/>
                <w:color w:val="FF0000"/>
                <w:sz w:val="16"/>
                <w:szCs w:val="16"/>
              </w:rPr>
            </w:pPr>
            <w:r>
              <w:rPr>
                <w:b/>
                <w:bCs/>
                <w:i/>
                <w:iCs/>
                <w:color w:val="FF0000"/>
                <w:sz w:val="16"/>
                <w:szCs w:val="16"/>
              </w:rPr>
              <w:t>Changes</w:t>
            </w:r>
          </w:p>
        </w:tc>
      </w:tr>
      <w:tr>
        <w:trPr/>
        <w:tc>
          <w:tcPr>
            <w:tcW w:w="1188" w:type="dxa"/>
            <w:tcBorders/>
          </w:tcPr>
          <w:p>
            <w:pPr>
              <w:pStyle w:val="BodyText"/>
              <w:spacing w:before="0" w:after="0"/>
              <w:ind w:start="0" w:end="0"/>
              <w:rPr>
                <w:bCs/>
                <w:iCs/>
                <w:color w:val="FF0000"/>
                <w:sz w:val="16"/>
                <w:szCs w:val="16"/>
              </w:rPr>
            </w:pPr>
            <w:r>
              <w:rPr>
                <w:bCs/>
                <w:iCs/>
                <w:color w:val="FF0000"/>
                <w:sz w:val="16"/>
                <w:szCs w:val="16"/>
              </w:rPr>
              <w:t>ILP v1.1</w:t>
            </w:r>
          </w:p>
        </w:tc>
        <w:tc>
          <w:tcPr>
            <w:tcW w:w="1800" w:type="dxa"/>
            <w:tcBorders/>
          </w:tcPr>
          <w:p>
            <w:pPr>
              <w:pStyle w:val="BodyText"/>
              <w:spacing w:before="0" w:after="0"/>
              <w:ind w:start="0" w:end="0"/>
              <w:rPr>
                <w:bCs/>
                <w:iCs/>
                <w:color w:val="FF0000"/>
                <w:sz w:val="16"/>
                <w:szCs w:val="16"/>
              </w:rPr>
            </w:pPr>
            <w:r>
              <w:rPr>
                <w:bCs/>
                <w:iCs/>
                <w:color w:val="FF0000"/>
                <w:sz w:val="16"/>
                <w:szCs w:val="16"/>
              </w:rPr>
              <w:t>4</w:t>
            </w:r>
            <w:r>
              <w:rPr>
                <w:bCs/>
                <w:iCs/>
                <w:color w:val="FF0000"/>
                <w:sz w:val="16"/>
                <w:szCs w:val="16"/>
                <w:vertAlign w:val="superscript"/>
              </w:rPr>
              <w:t>th</w:t>
            </w:r>
            <w:r>
              <w:rPr>
                <w:bCs/>
                <w:iCs/>
                <w:color w:val="FF0000"/>
                <w:sz w:val="16"/>
                <w:szCs w:val="16"/>
              </w:rPr>
              <w:t xml:space="preserve"> December 2006</w:t>
            </w:r>
          </w:p>
        </w:tc>
        <w:tc>
          <w:tcPr>
            <w:tcW w:w="5540" w:type="dxa"/>
            <w:tcBorders/>
          </w:tcPr>
          <w:p>
            <w:pPr>
              <w:pStyle w:val="BodyText"/>
              <w:spacing w:before="0" w:after="0"/>
              <w:ind w:start="0" w:end="0"/>
              <w:jc w:val="both"/>
              <w:rPr>
                <w:bCs/>
                <w:iCs/>
                <w:color w:val="FF0000"/>
                <w:sz w:val="16"/>
                <w:szCs w:val="16"/>
              </w:rPr>
            </w:pPr>
            <w:r>
              <w:rPr>
                <w:bCs/>
                <w:iCs/>
                <w:color w:val="FF0000"/>
                <w:sz w:val="16"/>
                <w:szCs w:val="16"/>
              </w:rPr>
              <w:t>Initial draft</w:t>
            </w:r>
          </w:p>
        </w:tc>
      </w:tr>
      <w:tr>
        <w:trPr/>
        <w:tc>
          <w:tcPr>
            <w:tcW w:w="1188" w:type="dxa"/>
            <w:tcBorders/>
          </w:tcPr>
          <w:p>
            <w:pPr>
              <w:pStyle w:val="BodyText"/>
              <w:spacing w:before="0" w:after="0"/>
              <w:ind w:start="0" w:end="0"/>
              <w:rPr>
                <w:bCs/>
                <w:iCs/>
                <w:color w:val="FF0000"/>
                <w:sz w:val="16"/>
                <w:szCs w:val="16"/>
              </w:rPr>
            </w:pPr>
            <w:r>
              <w:rPr>
                <w:bCs/>
                <w:iCs/>
                <w:color w:val="FF0000"/>
                <w:sz w:val="16"/>
                <w:szCs w:val="16"/>
              </w:rPr>
              <w:t>SJ v1.2</w:t>
            </w:r>
          </w:p>
        </w:tc>
        <w:tc>
          <w:tcPr>
            <w:tcW w:w="1800" w:type="dxa"/>
            <w:tcBorders/>
          </w:tcPr>
          <w:p>
            <w:pPr>
              <w:pStyle w:val="BodyText"/>
              <w:spacing w:before="0" w:after="0"/>
              <w:ind w:start="0" w:end="0"/>
              <w:rPr/>
            </w:pPr>
            <w:r>
              <w:rPr>
                <w:bCs/>
                <w:iCs/>
                <w:color w:val="FF0000"/>
                <w:sz w:val="16"/>
                <w:szCs w:val="16"/>
              </w:rPr>
              <w:t>5</w:t>
            </w:r>
            <w:r>
              <w:rPr>
                <w:bCs/>
                <w:iCs/>
                <w:color w:val="FF0000"/>
                <w:sz w:val="16"/>
                <w:szCs w:val="16"/>
                <w:vertAlign w:val="superscript"/>
              </w:rPr>
              <w:t>th</w:t>
            </w:r>
            <w:r>
              <w:rPr>
                <w:bCs/>
                <w:iCs/>
                <w:color w:val="FF0000"/>
                <w:sz w:val="16"/>
                <w:szCs w:val="16"/>
              </w:rPr>
              <w:t xml:space="preserve"> Dec</w:t>
            </w:r>
          </w:p>
        </w:tc>
        <w:tc>
          <w:tcPr>
            <w:tcW w:w="5540" w:type="dxa"/>
            <w:tcBorders/>
          </w:tcPr>
          <w:p>
            <w:pPr>
              <w:pStyle w:val="BodyText"/>
              <w:spacing w:before="0" w:after="0"/>
              <w:ind w:start="0" w:end="0"/>
              <w:jc w:val="both"/>
              <w:rPr>
                <w:bCs/>
                <w:iCs/>
                <w:color w:val="FF0000"/>
                <w:sz w:val="16"/>
                <w:szCs w:val="16"/>
              </w:rPr>
            </w:pPr>
            <w:r>
              <w:rPr>
                <w:bCs/>
                <w:iCs/>
                <w:color w:val="FF0000"/>
                <w:sz w:val="16"/>
                <w:szCs w:val="16"/>
              </w:rPr>
              <w:t>Two embedded files added</w:t>
            </w:r>
          </w:p>
        </w:tc>
      </w:tr>
      <w:tr>
        <w:trPr/>
        <w:tc>
          <w:tcPr>
            <w:tcW w:w="1188" w:type="dxa"/>
            <w:tcBorders/>
          </w:tcPr>
          <w:p>
            <w:pPr>
              <w:pStyle w:val="BodyText"/>
              <w:spacing w:before="0" w:after="0"/>
              <w:ind w:start="0" w:end="0"/>
              <w:rPr>
                <w:bCs/>
                <w:iCs/>
                <w:color w:val="FF0000"/>
                <w:sz w:val="16"/>
                <w:szCs w:val="16"/>
              </w:rPr>
            </w:pPr>
            <w:r>
              <w:rPr>
                <w:bCs/>
                <w:iCs/>
                <w:color w:val="FF0000"/>
                <w:sz w:val="16"/>
                <w:szCs w:val="16"/>
              </w:rPr>
              <w:t>MTv1.2</w:t>
            </w:r>
          </w:p>
        </w:tc>
        <w:tc>
          <w:tcPr>
            <w:tcW w:w="1800" w:type="dxa"/>
            <w:tcBorders/>
          </w:tcPr>
          <w:p>
            <w:pPr>
              <w:pStyle w:val="BodyText"/>
              <w:spacing w:before="0" w:after="0"/>
              <w:ind w:start="0" w:end="0"/>
              <w:rPr/>
            </w:pPr>
            <w:r>
              <w:rPr>
                <w:bCs/>
                <w:iCs/>
                <w:color w:val="FF0000"/>
                <w:sz w:val="16"/>
                <w:szCs w:val="16"/>
              </w:rPr>
              <w:t>7</w:t>
            </w:r>
            <w:r>
              <w:rPr>
                <w:bCs/>
                <w:iCs/>
                <w:color w:val="FF0000"/>
                <w:sz w:val="16"/>
                <w:szCs w:val="16"/>
                <w:vertAlign w:val="superscript"/>
              </w:rPr>
              <w:t>th</w:t>
            </w:r>
            <w:r>
              <w:rPr>
                <w:bCs/>
                <w:iCs/>
                <w:color w:val="FF0000"/>
                <w:sz w:val="16"/>
                <w:szCs w:val="16"/>
              </w:rPr>
              <w:t xml:space="preserve"> Dec 2006</w:t>
            </w:r>
          </w:p>
        </w:tc>
        <w:tc>
          <w:tcPr>
            <w:tcW w:w="5540" w:type="dxa"/>
            <w:tcBorders/>
          </w:tcPr>
          <w:p>
            <w:pPr>
              <w:pStyle w:val="BodyText"/>
              <w:spacing w:before="0" w:after="0"/>
              <w:ind w:start="0" w:end="0"/>
              <w:jc w:val="both"/>
              <w:rPr>
                <w:bCs/>
                <w:iCs/>
                <w:color w:val="FF0000"/>
                <w:sz w:val="16"/>
                <w:szCs w:val="16"/>
              </w:rPr>
            </w:pPr>
            <w:r>
              <w:rPr>
                <w:bCs/>
                <w:iCs/>
                <w:color w:val="FF0000"/>
                <w:sz w:val="16"/>
                <w:szCs w:val="16"/>
              </w:rPr>
              <w:t>Accepted all changes</w:t>
            </w:r>
          </w:p>
        </w:tc>
      </w:tr>
      <w:tr>
        <w:trPr/>
        <w:tc>
          <w:tcPr>
            <w:tcW w:w="1188" w:type="dxa"/>
            <w:tcBorders/>
          </w:tcPr>
          <w:p>
            <w:pPr>
              <w:pStyle w:val="BodyText"/>
              <w:spacing w:before="0" w:after="0"/>
              <w:ind w:start="0" w:end="0"/>
              <w:rPr>
                <w:bCs/>
                <w:iCs/>
                <w:color w:val="FF0000"/>
                <w:sz w:val="16"/>
                <w:szCs w:val="16"/>
              </w:rPr>
            </w:pPr>
            <w:r>
              <w:rPr>
                <w:bCs/>
                <w:iCs/>
                <w:color w:val="FF0000"/>
                <w:sz w:val="16"/>
                <w:szCs w:val="16"/>
              </w:rPr>
              <w:t>SJ v1.3</w:t>
            </w:r>
          </w:p>
        </w:tc>
        <w:tc>
          <w:tcPr>
            <w:tcW w:w="1800" w:type="dxa"/>
            <w:tcBorders/>
          </w:tcPr>
          <w:p>
            <w:pPr>
              <w:pStyle w:val="BodyText"/>
              <w:spacing w:before="0" w:after="0"/>
              <w:ind w:start="0" w:end="0"/>
              <w:rPr/>
            </w:pPr>
            <w:r>
              <w:rPr>
                <w:bCs/>
                <w:iCs/>
                <w:color w:val="FF0000"/>
                <w:sz w:val="16"/>
                <w:szCs w:val="16"/>
              </w:rPr>
              <w:t>7</w:t>
            </w:r>
            <w:r>
              <w:rPr>
                <w:bCs/>
                <w:iCs/>
                <w:color w:val="FF0000"/>
                <w:sz w:val="16"/>
                <w:szCs w:val="16"/>
                <w:vertAlign w:val="superscript"/>
              </w:rPr>
              <w:t>th</w:t>
            </w:r>
            <w:r>
              <w:rPr>
                <w:bCs/>
                <w:iCs/>
                <w:color w:val="FF0000"/>
                <w:sz w:val="16"/>
                <w:szCs w:val="16"/>
              </w:rPr>
              <w:t xml:space="preserve"> Dec 2006</w:t>
            </w:r>
          </w:p>
        </w:tc>
        <w:tc>
          <w:tcPr>
            <w:tcW w:w="5540" w:type="dxa"/>
            <w:tcBorders/>
          </w:tcPr>
          <w:p>
            <w:pPr>
              <w:pStyle w:val="BodyText"/>
              <w:spacing w:before="0" w:after="0"/>
              <w:ind w:start="0" w:end="0"/>
              <w:jc w:val="both"/>
              <w:rPr>
                <w:bCs/>
                <w:iCs/>
                <w:color w:val="FF0000"/>
                <w:sz w:val="16"/>
                <w:szCs w:val="16"/>
              </w:rPr>
            </w:pPr>
            <w:r>
              <w:rPr>
                <w:bCs/>
                <w:iCs/>
                <w:color w:val="FF0000"/>
                <w:sz w:val="16"/>
                <w:szCs w:val="16"/>
              </w:rPr>
              <w:t>Appendix 2 still does not have any reference to it in the body of the text</w:t>
            </w:r>
          </w:p>
        </w:tc>
      </w:tr>
      <w:tr>
        <w:trPr/>
        <w:tc>
          <w:tcPr>
            <w:tcW w:w="1188" w:type="dxa"/>
            <w:tcBorders/>
          </w:tcPr>
          <w:p>
            <w:pPr>
              <w:pStyle w:val="BodyText"/>
              <w:spacing w:before="0" w:after="0"/>
              <w:ind w:start="0" w:end="0"/>
              <w:rPr>
                <w:bCs/>
                <w:iCs/>
                <w:color w:val="FF0000"/>
                <w:sz w:val="16"/>
                <w:szCs w:val="16"/>
              </w:rPr>
            </w:pPr>
            <w:r>
              <w:rPr>
                <w:bCs/>
                <w:iCs/>
                <w:color w:val="FF0000"/>
                <w:sz w:val="16"/>
                <w:szCs w:val="16"/>
              </w:rPr>
              <w:t>SJ v1.4</w:t>
            </w:r>
          </w:p>
        </w:tc>
        <w:tc>
          <w:tcPr>
            <w:tcW w:w="1800" w:type="dxa"/>
            <w:tcBorders/>
          </w:tcPr>
          <w:p>
            <w:pPr>
              <w:pStyle w:val="BodyText"/>
              <w:spacing w:before="0" w:after="0"/>
              <w:ind w:start="0" w:end="0"/>
              <w:rPr/>
            </w:pPr>
            <w:r>
              <w:rPr>
                <w:bCs/>
                <w:iCs/>
                <w:color w:val="FF0000"/>
                <w:sz w:val="16"/>
                <w:szCs w:val="16"/>
              </w:rPr>
              <w:t>7</w:t>
            </w:r>
            <w:r>
              <w:rPr>
                <w:bCs/>
                <w:iCs/>
                <w:color w:val="FF0000"/>
                <w:sz w:val="16"/>
                <w:szCs w:val="16"/>
                <w:vertAlign w:val="superscript"/>
              </w:rPr>
              <w:t>th</w:t>
            </w:r>
            <w:r>
              <w:rPr>
                <w:bCs/>
                <w:iCs/>
                <w:color w:val="FF0000"/>
                <w:sz w:val="16"/>
                <w:szCs w:val="16"/>
              </w:rPr>
              <w:t xml:space="preserve"> Dec 2006</w:t>
            </w:r>
          </w:p>
        </w:tc>
        <w:tc>
          <w:tcPr>
            <w:tcW w:w="5540" w:type="dxa"/>
            <w:tcBorders/>
          </w:tcPr>
          <w:p>
            <w:pPr>
              <w:pStyle w:val="BodyText"/>
              <w:spacing w:before="0" w:after="0"/>
              <w:ind w:start="0" w:end="0"/>
              <w:jc w:val="both"/>
              <w:rPr>
                <w:bCs/>
                <w:iCs/>
                <w:color w:val="FF0000"/>
                <w:sz w:val="16"/>
                <w:szCs w:val="16"/>
              </w:rPr>
            </w:pPr>
            <w:r>
              <w:rPr>
                <w:bCs/>
                <w:iCs/>
                <w:color w:val="FF0000"/>
                <w:sz w:val="16"/>
                <w:szCs w:val="16"/>
              </w:rPr>
              <w:t>Deletion from section 4 accepted</w:t>
            </w:r>
          </w:p>
        </w:tc>
      </w:tr>
    </w:tbl>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Attachment 5-E (4)</w:t>
      </w:r>
    </w:p>
    <w:p>
      <w:pPr>
        <w:pStyle w:val="Title"/>
        <w:rPr>
          <w:lang w:val="en-GB"/>
        </w:rPr>
      </w:pPr>
      <w:r>
        <w:rPr>
          <w:lang w:val="en-GB"/>
        </w:rPr>
      </w:r>
    </w:p>
    <w:p>
      <w:pPr>
        <w:pStyle w:val="Title"/>
        <w:rPr>
          <w:lang w:val="en-GB"/>
        </w:rPr>
      </w:pPr>
      <w:r>
        <w:rPr>
          <w:lang w:val="en-GB"/>
        </w:rPr>
        <w:t>Pensions (belgium)</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start="1" w:fmt="decimal"/>
          <w:formProt w:val="false"/>
          <w:textDirection w:val="lrTb"/>
          <w:docGrid w:type="default" w:linePitch="360" w:charSpace="0"/>
        </w:sectPr>
        <w:pStyle w:val="Title"/>
        <w:rPr>
          <w:lang w:val="en-GB"/>
        </w:rPr>
      </w:pPr>
      <w:r>
        <w:rPr>
          <w:lang w:val="en-GB"/>
        </w:rPr>
      </w:r>
    </w:p>
    <w:p>
      <w:pPr>
        <w:pStyle w:val="Normal"/>
        <w:spacing w:before="0" w:after="0"/>
        <w:rPr>
          <w:lang w:val="en-GB"/>
        </w:rPr>
      </w:pPr>
      <w:r>
        <w:rPr>
          <w:lang w:val="en-GB"/>
        </w:rPr>
      </w:r>
    </w:p>
    <w:p>
      <w:pPr>
        <w:pStyle w:val="Normal"/>
        <w:spacing w:before="0" w:after="0"/>
        <w:ind w:hanging="720" w:start="720" w:end="0"/>
        <w:jc w:val="both"/>
        <w:rPr/>
      </w:pPr>
      <w:r>
        <w:rPr>
          <w:szCs w:val="22"/>
        </w:rPr>
        <w:t>1.</w:t>
        <w:tab/>
        <w:t>The relevant Affected Employees will continue to accrue benefits under their existing Pension Scheme at EuroBank Belgium, following EuroBank’s CLA of 31 May 2006 Sourcing Workplace Services.</w:t>
      </w:r>
    </w:p>
    <w:p>
      <w:pPr>
        <w:pStyle w:val="Normal"/>
        <w:spacing w:before="0" w:after="0"/>
        <w:ind w:hanging="720" w:start="720" w:end="0"/>
        <w:jc w:val="both"/>
        <w:rPr>
          <w:szCs w:val="22"/>
        </w:rPr>
      </w:pPr>
      <w:r>
        <w:rPr>
          <w:szCs w:val="22"/>
        </w:rPr>
      </w:r>
    </w:p>
    <w:p>
      <w:pPr>
        <w:pStyle w:val="Normal"/>
        <w:spacing w:before="0" w:after="0"/>
        <w:ind w:hanging="720" w:start="720" w:end="0"/>
        <w:jc w:val="both"/>
        <w:rPr>
          <w:szCs w:val="22"/>
        </w:rPr>
      </w:pPr>
      <w:r>
        <w:rPr>
          <w:szCs w:val="22"/>
        </w:rPr>
        <w:t>2.</w:t>
        <w:tab/>
        <w:t>Parties agree that the total cost for the Pension Scheme incurred by each Vendor should not exceed the cost that that Vendor would have for the Affected Employees if these employees would fall under the Pension Scheme in force at the Vendor.</w:t>
      </w:r>
    </w:p>
    <w:p>
      <w:pPr>
        <w:pStyle w:val="Normal"/>
        <w:spacing w:before="0" w:after="0"/>
        <w:ind w:hanging="720" w:start="720" w:end="0"/>
        <w:jc w:val="both"/>
        <w:rPr>
          <w:szCs w:val="22"/>
        </w:rPr>
      </w:pPr>
      <w:r>
        <w:rPr>
          <w:szCs w:val="22"/>
        </w:rPr>
      </w:r>
    </w:p>
    <w:p>
      <w:pPr>
        <w:pStyle w:val="Normal"/>
        <w:spacing w:before="0" w:after="0"/>
        <w:ind w:hanging="720" w:start="720" w:end="0"/>
        <w:jc w:val="both"/>
        <w:rPr>
          <w:szCs w:val="22"/>
        </w:rPr>
      </w:pPr>
      <w:r>
        <w:rPr>
          <w:szCs w:val="22"/>
        </w:rPr>
        <w:t>3.</w:t>
        <w:tab/>
        <w:t>Parties agree that the administration of the Pension Scheme (vzw KAP) for Affected Employees will remain with the EuroBank Belgium Pension Fund (vzw KAP), and that the Vendor will pay the required contributions according to the management contract with the pension fund. The details of this arrangement are further described in the Schedule Pensions Belgium contained in the embedded file following this Section 3. For those Affected Employees falling under the group insurance scheme of EuroBank Insurance Belgium, the insurance contract will be transferred to the Vendor, maintaining the same rights and obligations and insurance conditions.</w:t>
      </w:r>
    </w:p>
    <w:p>
      <w:pPr>
        <w:pStyle w:val="Normal"/>
        <w:spacing w:before="0" w:after="0"/>
        <w:ind w:hanging="720" w:start="720" w:end="0"/>
        <w:jc w:val="both"/>
        <w:rPr>
          <w:szCs w:val="22"/>
        </w:rPr>
      </w:pPr>
      <w:r>
        <w:rPr>
          <w:szCs w:val="22"/>
        </w:rPr>
      </w:r>
    </w:p>
    <w:p>
      <w:pPr>
        <w:pStyle w:val="Normal"/>
        <w:spacing w:before="0" w:after="0"/>
        <w:ind w:hanging="720" w:start="720" w:end="0"/>
        <w:jc w:val="both"/>
        <w:rPr>
          <w:szCs w:val="22"/>
        </w:rPr>
      </w:pPr>
      <w:r>
        <w:rPr>
          <w:szCs w:val="22"/>
        </w:rPr>
        <w:tab/>
      </w:r>
      <w:r>
        <w:rPr>
          <w:rFonts w:cs="Arial" w:ascii="Arial" w:hAnsi="Arial"/>
          <w:b/>
          <w:bCs/>
          <w:color w:val="0000FF"/>
          <w:sz w:val="18"/>
          <w:szCs w:val="18"/>
          <w:lang w:val="fr-FR" w:eastAsia="en-US"/>
        </w:rPr>
        <w:drawing>
          <wp:inline distT="0" distB="0" distL="0" distR="0">
            <wp:extent cx="914400" cy="71437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4"/>
                    <a:srcRect l="-39" t="-50" r="-39" b="-50"/>
                    <a:stretch>
                      <a:fillRect/>
                    </a:stretch>
                  </pic:blipFill>
                  <pic:spPr bwMode="auto">
                    <a:xfrm>
                      <a:off x="0" y="0"/>
                      <a:ext cx="914400" cy="714375"/>
                    </a:xfrm>
                    <a:prstGeom prst="rect">
                      <a:avLst/>
                    </a:prstGeom>
                    <a:noFill/>
                  </pic:spPr>
                </pic:pic>
              </a:graphicData>
            </a:graphic>
          </wp:inline>
        </w:drawing>
      </w:r>
    </w:p>
    <w:p>
      <w:pPr>
        <w:pStyle w:val="Normal"/>
        <w:spacing w:before="0" w:after="0"/>
        <w:ind w:hanging="720" w:start="720" w:end="0"/>
        <w:jc w:val="both"/>
        <w:rPr>
          <w:szCs w:val="22"/>
        </w:rPr>
      </w:pPr>
      <w:r>
        <w:rPr>
          <w:szCs w:val="22"/>
        </w:rPr>
      </w:r>
    </w:p>
    <w:p>
      <w:pPr>
        <w:pStyle w:val="Normal"/>
        <w:autoSpaceDE w:val="false"/>
        <w:spacing w:before="0" w:after="0"/>
        <w:ind w:hanging="720" w:start="720" w:end="0"/>
        <w:jc w:val="both"/>
        <w:rPr/>
      </w:pPr>
      <w:r>
        <w:rPr>
          <w:szCs w:val="22"/>
        </w:rPr>
        <w:t>4.</w:t>
        <w:tab/>
        <w:t xml:space="preserve">The difference in cost between the Pension Scheme applicable with the Vendor and mentioned under point 2 and the Pension Scheme applicable within EuroBank Belgium will be settled as described in Exhibit 4 (Pricing and Financial Provisions), where a capped lump sum is mentioned for Vendor Alpha and TelCo and for Vendor Gamma a fixed amount has been included in Attachment 5-J (Harmonization Costs - BE). </w:t>
      </w:r>
      <w:r>
        <w:rPr>
          <w:i/>
          <w:szCs w:val="22"/>
        </w:rPr>
      </w:r>
      <w:r>
        <w:rPr>
          <w:szCs w:val="22"/>
        </w:rPr>
      </w:r>
      <w:r>
        <w:rPr>
          <w:i/>
          <w:szCs w:val="22"/>
        </w:rPr>
      </w:r>
      <w:r>
        <w:rPr>
          <w:szCs w:val="22"/>
        </w:rPr>
      </w:r>
    </w:p>
    <w:p>
      <w:pPr>
        <w:pStyle w:val="Normal"/>
        <w:spacing w:before="0" w:after="0"/>
        <w:jc w:val="both"/>
        <w:rPr>
          <w:szCs w:val="22"/>
        </w:rPr>
      </w:pPr>
      <w:r>
        <w:rPr>
          <w:szCs w:val="22"/>
        </w:rPr>
      </w:r>
    </w:p>
    <w:p>
      <w:pPr>
        <w:pStyle w:val="Normal"/>
        <w:spacing w:before="0" w:after="0"/>
        <w:ind w:start="360" w:end="0"/>
        <w:jc w:val="both"/>
        <w:rPr>
          <w:rFonts w:ascii="Verdana" w:hAnsi="Verdana" w:cs="Verdana"/>
          <w:sz w:val="20"/>
          <w:szCs w:val="20"/>
        </w:rPr>
      </w:pPr>
      <w:r>
        <w:rPr>
          <w:rFonts w:cs="Verdana" w:ascii="Verdana" w:hAnsi="Verdana"/>
          <w:sz w:val="20"/>
          <w:szCs w:val="20"/>
        </w:rPr>
        <w:drawing>
          <wp:inline distT="0" distB="0" distL="0" distR="0">
            <wp:extent cx="914400" cy="71437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5"/>
                    <a:srcRect l="-39" t="-50" r="-39" b="-50"/>
                    <a:stretch>
                      <a:fillRect/>
                    </a:stretch>
                  </pic:blipFill>
                  <pic:spPr bwMode="auto">
                    <a:xfrm>
                      <a:off x="0" y="0"/>
                      <a:ext cx="914400" cy="714375"/>
                    </a:xfrm>
                    <a:prstGeom prst="rect">
                      <a:avLst/>
                    </a:prstGeom>
                    <a:noFill/>
                  </pic:spPr>
                </pic:pic>
              </a:graphicData>
            </a:graphic>
          </wp:inline>
        </w:drawing>
      </w:r>
    </w:p>
    <w:sectPr>
      <w:headerReference w:type="default" r:id="rId6"/>
      <w:headerReference w:type="first" r:id="rId7"/>
      <w:footerReference w:type="default" r:id="rId8"/>
      <w:footerReference w:type="first" r:id="rId9"/>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ab/>
      <w:t>30/11/06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ab/>
      <w:t>30/11/06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drawing>
        <wp:inline distT="0" distB="0" distL="0" distR="0">
          <wp:extent cx="1149985" cy="344170"/>
          <wp:effectExtent l="0" t="0" r="0" b="0"/>
          <wp:docPr id="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title=""/>
                  <pic:cNvPicPr>
                    <a:picLocks noChangeAspect="1" noChangeArrowheads="1"/>
                  </pic:cNvPicPr>
                </pic:nvPicPr>
                <pic:blipFill>
                  <a:blip r:embed="rId1"/>
                  <a:srcRect l="-31" t="-105" r="-31" b="-105"/>
                  <a:stretch>
                    <a:fillRect/>
                  </a:stretch>
                </pic:blipFill>
                <pic:spPr bwMode="auto">
                  <a:xfrm>
                    <a:off x="0" y="0"/>
                    <a:ext cx="1149985" cy="344170"/>
                  </a:xfrm>
                  <a:prstGeom prst="rect">
                    <a:avLst/>
                  </a:prstGeom>
                  <a:noFill/>
                </pic:spPr>
              </pic:pic>
            </a:graphicData>
          </a:graphic>
        </wp:inline>
      </w:drawing>
    </w:r>
    <w: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5-E(4) (Pensions - BELGIUM) Final v1.4.doc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drawing>
        <wp:inline distT="0" distB="0" distL="0" distR="0">
          <wp:extent cx="1149985" cy="344170"/>
          <wp:effectExtent l="0" t="0" r="0" b="0"/>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1"/>
                  <a:srcRect l="-31" t="-105" r="-31" b="-105"/>
                  <a:stretch>
                    <a:fillRect/>
                  </a:stretch>
                </pic:blipFill>
                <pic:spPr bwMode="auto">
                  <a:xfrm>
                    <a:off x="0" y="0"/>
                    <a:ext cx="1149985" cy="344170"/>
                  </a:xfrm>
                  <a:prstGeom prst="rect">
                    <a:avLst/>
                  </a:prstGeom>
                  <a:noFill/>
                </pic:spPr>
              </pic:pic>
            </a:graphicData>
          </a:graphic>
        </wp:inline>
      </w:drawing>
    </w:r>
    <w: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5-E(4) (Pensions - BELGIUM) Final v1.4.doc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1">
    <w:name w:val="WW8Num1z1"/>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Times New Roman" w:hAnsi="Times New Roman" w:cs="Times New Roman"/>
      <w:b w:val="false"/>
      <w:i w:val="false"/>
      <w:color w:val="000000"/>
      <w:sz w:val="22"/>
    </w:rPr>
  </w:style>
  <w:style w:type="character" w:styleId="WW8Num3z1">
    <w:name w:val="WW8Num3z1"/>
    <w:qFormat/>
    <w:rPr>
      <w:rFonts w:ascii="Times New Roman" w:hAnsi="Times New Roman" w:cs="Times New Roman"/>
      <w:b w:val="false"/>
      <w:i w:val="false"/>
      <w:sz w:val="22"/>
    </w:rPr>
  </w:style>
  <w:style w:type="character" w:styleId="WW8Num3z4">
    <w:name w:val="WW8Num3z4"/>
    <w:qFormat/>
    <w:rPr/>
  </w:style>
  <w:style w:type="character" w:styleId="WW8Num4z0">
    <w:name w:val="WW8Num4z0"/>
    <w:qFormat/>
    <w:rPr>
      <w:rFonts w:ascii="Times New Roman" w:hAnsi="Times New Roman" w:cs="Times New Roman"/>
      <w:b w:val="false"/>
      <w:i w:val="false"/>
      <w:color w:val="000000"/>
      <w:sz w:val="22"/>
    </w:rPr>
  </w:style>
  <w:style w:type="character" w:styleId="WW8Num4z1">
    <w:name w:val="WW8Num4z1"/>
    <w:qFormat/>
    <w:rPr>
      <w:rFonts w:ascii="Times New Roman" w:hAnsi="Times New Roman" w:cs="Times New Roman"/>
      <w:b w:val="false"/>
      <w:i w:val="false"/>
      <w:sz w:val="22"/>
    </w:rPr>
  </w:style>
  <w:style w:type="character" w:styleId="WW8Num4z4">
    <w:name w:val="WW8Num4z4"/>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PageNumber">
    <w:name w:val="page number"/>
    <w:basedOn w:val="DefaultParagraphFon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6"/>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5"/>
      </w:numPr>
    </w:pPr>
    <w:rPr>
      <w:bCs/>
    </w:rPr>
  </w:style>
  <w:style w:type="paragraph" w:styleId="TableLevel3Numbered">
    <w:name w:val="Table Level 3 Numbered"/>
    <w:basedOn w:val="Normal"/>
    <w:qFormat/>
    <w:pPr>
      <w:numPr>
        <w:ilvl w:val="0"/>
        <w:numId w:val="5"/>
      </w:numPr>
    </w:pPr>
    <w:rPr/>
  </w:style>
  <w:style w:type="paragraph" w:styleId="TableLevel4Numbered">
    <w:name w:val="Table Level 4 Numbered"/>
    <w:basedOn w:val="Normal"/>
    <w:qFormat/>
    <w:pPr>
      <w:numPr>
        <w:ilvl w:val="0"/>
        <w:numId w:val="5"/>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2006-12-07T19:41:00Z</dcterms:created>
  <dc:creator> </dc:creator>
  <dc:description/>
  <cp:keywords/>
  <dc:language>en-US</dc:language>
  <cp:lastModifiedBy>Stuart Johnson</cp:lastModifiedBy>
  <cp:lastPrinted>2005-07-04T16:19:00Z</cp:lastPrinted>
  <dcterms:modified xsi:type="dcterms:W3CDTF">2006-12-07T19:42:00Z</dcterms:modified>
  <cp:revision>4</cp:revision>
  <dc:subject/>
  <dc:title> </dc:title>
</cp:coreProperties>
</file>