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240"/>
        <w:jc w:val="center"/>
        <w:rPr/>
      </w:pPr>
      <w:r>
        <w:rPr/>
      </w:r>
    </w:p>
    <w:p>
      <w:pPr>
        <w:pStyle w:val="Title"/>
        <w:rPr/>
      </w:pPr>
      <w:r>
        <w:rPr/>
      </w:r>
    </w:p>
    <w:p>
      <w:pPr>
        <w:pStyle w:val="Title"/>
        <w:rPr/>
      </w:pPr>
      <w:r>
        <w:rPr/>
      </w:r>
    </w:p>
    <w:p>
      <w:pPr>
        <w:pStyle w:val="Title"/>
        <w:rPr/>
      </w:pPr>
      <w:r>
        <w:rPr/>
      </w:r>
    </w:p>
    <w:p>
      <w:pPr>
        <w:pStyle w:val="Title"/>
        <w:rPr/>
      </w:pPr>
      <w:r>
        <w:rPr/>
      </w:r>
    </w:p>
    <w:p>
      <w:pPr>
        <w:pStyle w:val="Title"/>
        <w:rPr>
          <w:lang w:val="en-GB"/>
        </w:rPr>
      </w:pPr>
      <w:r>
        <w:rPr>
          <w:lang w:val="en-GB"/>
        </w:rPr>
      </w:r>
    </w:p>
    <w:p>
      <w:pPr>
        <w:pStyle w:val="Title"/>
        <w:rPr>
          <w:lang w:val="en-GB"/>
        </w:rPr>
      </w:pPr>
      <w:r>
        <w:rPr>
          <w:lang w:val="en-GB"/>
        </w:rPr>
        <w:t>EuroBank</w:t>
      </w:r>
    </w:p>
    <w:p>
      <w:pPr>
        <w:pStyle w:val="Title"/>
        <w:rPr>
          <w:lang w:val="en-GB"/>
        </w:rPr>
      </w:pPr>
      <w:r>
        <w:rPr>
          <w:lang w:val="en-GB"/>
        </w:rPr>
      </w:r>
    </w:p>
    <w:p>
      <w:pPr>
        <w:pStyle w:val="Title"/>
        <w:rPr>
          <w:lang w:val="en-GB"/>
        </w:rPr>
      </w:pPr>
      <w:r>
        <w:rPr>
          <w:lang w:val="en-GB"/>
        </w:rPr>
        <w:t>Attachment 5-J (1)</w:t>
      </w:r>
    </w:p>
    <w:p>
      <w:pPr>
        <w:pStyle w:val="Title"/>
        <w:rPr>
          <w:lang w:val="en-GB"/>
        </w:rPr>
      </w:pPr>
      <w:r>
        <w:rPr>
          <w:lang w:val="en-GB"/>
        </w:rPr>
      </w:r>
    </w:p>
    <w:p>
      <w:pPr>
        <w:pStyle w:val="Title"/>
        <w:rPr>
          <w:lang w:val="en-GB"/>
        </w:rPr>
      </w:pPr>
      <w:r>
        <w:rPr>
          <w:lang w:val="en-GB"/>
        </w:rPr>
        <w:t>Harmonisation Costs - Netherlands</w:t>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sectPr>
          <w:headerReference w:type="default" r:id="rId2"/>
          <w:footerReference w:type="default" r:id="rId3"/>
          <w:type w:val="nextPage"/>
          <w:pgSz w:w="11906" w:h="16838"/>
          <w:pgMar w:left="1729" w:right="1729" w:gutter="0" w:header="720" w:top="776" w:footer="720" w:bottom="1094"/>
          <w:pgNumType w:fmt="decimal"/>
          <w:formProt w:val="false"/>
          <w:textDirection w:val="lrTb"/>
          <w:docGrid w:type="default" w:linePitch="360" w:charSpace="0"/>
        </w:sectPr>
        <w:pStyle w:val="Normal"/>
        <w:rPr>
          <w:lang w:val="en-GB"/>
        </w:rPr>
      </w:pPr>
      <w:r>
        <w:rPr>
          <w:lang w:val="en-GB"/>
        </w:rPr>
      </w:r>
    </w:p>
    <w:p>
      <w:pPr>
        <w:pStyle w:val="Normal"/>
        <w:rPr>
          <w:lang w:val="en-GB"/>
        </w:rPr>
      </w:pPr>
      <w:r>
        <w:rPr>
          <w:lang w:val="en-GB"/>
        </w:rPr>
      </w:r>
    </w:p>
    <w:p>
      <w:pPr>
        <w:pStyle w:val="Title"/>
        <w:rPr/>
      </w:pPr>
      <w:r>
        <w:rPr/>
        <w:t>Table of Contents</w:t>
      </w:r>
    </w:p>
    <w:sdt>
      <w:sdtPr>
        <w:docPartObj>
          <w:docPartGallery w:val="Table of Contents"/>
          <w:docPartUnique w:val="true"/>
        </w:docPartObj>
      </w:sdtPr>
      <w:sdtContent>
        <w:p>
          <w:pPr>
            <w:pStyle w:val="TOC1"/>
            <w:tabs>
              <w:tab w:val="clear" w:pos="720"/>
              <w:tab w:val="right" w:pos="8441" w:leader="dot"/>
            </w:tabs>
            <w:rPr>
              <w:b w:val="false"/>
              <w:sz w:val="18"/>
              <w:szCs w:val="18"/>
              <w:lang w:val="en-US" w:eastAsia="en-US"/>
            </w:rPr>
          </w:pPr>
          <w:r>
            <w:fldChar w:fldCharType="begin"/>
          </w:r>
          <w:r>
            <w:rPr>
              <w:sz w:val="18"/>
              <w:szCs w:val="18"/>
              <w:lang w:val="en-GB" w:eastAsia="en-US"/>
            </w:rPr>
            <w:instrText xml:space="preserve"> TOC \t "Heading 3,1" </w:instrText>
          </w:r>
          <w:r>
            <w:rPr>
              <w:sz w:val="18"/>
              <w:szCs w:val="18"/>
              <w:lang w:val="en-GB" w:eastAsia="en-US"/>
            </w:rPr>
            <w:fldChar w:fldCharType="separate"/>
          </w:r>
          <w:r>
            <w:rPr>
              <w:sz w:val="18"/>
              <w:szCs w:val="18"/>
              <w:lang w:val="en-GB" w:eastAsia="en-US"/>
            </w:rPr>
            <w:t>Harmonisation Lump Sum(s)</w:t>
          </w:r>
          <w:r>
            <w:rPr>
              <w:sz w:val="18"/>
              <w:szCs w:val="18"/>
              <w:lang w:val="en-US" w:eastAsia="en-US"/>
            </w:rPr>
            <w:tab/>
          </w:r>
          <w:hyperlink w:anchor="__RefHeading___Toc153714054">
            <w:r>
              <w:rPr>
                <w:rStyle w:val="IndexLink"/>
                <w:sz w:val="18"/>
                <w:szCs w:val="18"/>
                <w:lang w:val="en-US" w:eastAsia="en-US"/>
              </w:rPr>
              <w:t>1</w:t>
            </w:r>
          </w:hyperlink>
        </w:p>
        <w:p>
          <w:pPr>
            <w:pStyle w:val="TOC1"/>
            <w:tabs>
              <w:tab w:val="clear" w:pos="720"/>
              <w:tab w:val="right" w:pos="8441" w:leader="dot"/>
            </w:tabs>
            <w:rPr>
              <w:b w:val="false"/>
              <w:sz w:val="18"/>
              <w:szCs w:val="18"/>
              <w:lang w:val="en-US" w:eastAsia="en-US"/>
            </w:rPr>
          </w:pPr>
          <w:r>
            <w:rPr>
              <w:sz w:val="18"/>
              <w:szCs w:val="18"/>
              <w:lang w:val="en-GB" w:eastAsia="en-US"/>
            </w:rPr>
            <w:t>Method of Payment</w:t>
          </w:r>
          <w:r>
            <w:rPr>
              <w:sz w:val="18"/>
              <w:szCs w:val="18"/>
              <w:lang w:val="en-US" w:eastAsia="en-US"/>
            </w:rPr>
            <w:tab/>
          </w:r>
          <w:hyperlink w:anchor="__RefHeading___Toc153714055">
            <w:r>
              <w:rPr>
                <w:rStyle w:val="IndexLink"/>
                <w:sz w:val="18"/>
                <w:szCs w:val="18"/>
                <w:lang w:val="en-US" w:eastAsia="en-US"/>
              </w:rPr>
              <w:t>2</w:t>
            </w:r>
          </w:hyperlink>
        </w:p>
        <w:p>
          <w:pPr>
            <w:pStyle w:val="TOC1"/>
            <w:tabs>
              <w:tab w:val="clear" w:pos="720"/>
              <w:tab w:val="right" w:pos="8441" w:leader="dot"/>
            </w:tabs>
            <w:rPr>
              <w:b w:val="false"/>
              <w:sz w:val="18"/>
              <w:szCs w:val="18"/>
              <w:lang w:val="en-US" w:eastAsia="en-US"/>
            </w:rPr>
          </w:pPr>
          <w:r>
            <w:rPr>
              <w:sz w:val="18"/>
              <w:szCs w:val="18"/>
              <w:lang w:val="en-GB" w:eastAsia="en-US"/>
            </w:rPr>
            <w:t>Treatment if Affected Employees return to ING</w:t>
          </w:r>
          <w:r>
            <w:rPr>
              <w:sz w:val="18"/>
              <w:szCs w:val="18"/>
              <w:lang w:val="en-US" w:eastAsia="en-US"/>
            </w:rPr>
            <w:tab/>
          </w:r>
          <w:hyperlink w:anchor="__RefHeading___Toc153714056">
            <w:r>
              <w:rPr>
                <w:rStyle w:val="IndexLink"/>
                <w:sz w:val="18"/>
                <w:szCs w:val="18"/>
                <w:lang w:val="en-US" w:eastAsia="en-US"/>
              </w:rPr>
              <w:t>2</w:t>
            </w:r>
          </w:hyperlink>
        </w:p>
        <w:p>
          <w:pPr>
            <w:pStyle w:val="TOC1"/>
            <w:tabs>
              <w:tab w:val="clear" w:pos="720"/>
              <w:tab w:val="right" w:pos="8441" w:leader="dot"/>
            </w:tabs>
            <w:rPr>
              <w:b w:val="false"/>
              <w:sz w:val="18"/>
              <w:szCs w:val="18"/>
              <w:lang w:val="en-US" w:eastAsia="en-US"/>
            </w:rPr>
          </w:pPr>
          <w:r>
            <w:rPr>
              <w:sz w:val="18"/>
              <w:szCs w:val="18"/>
              <w:lang w:val="en-GB" w:eastAsia="en-US"/>
            </w:rPr>
            <w:t>Included in Harmonisation Lump Sum</w:t>
          </w:r>
          <w:r>
            <w:rPr>
              <w:sz w:val="18"/>
              <w:szCs w:val="18"/>
              <w:lang w:val="en-US" w:eastAsia="en-US"/>
            </w:rPr>
            <w:tab/>
          </w:r>
          <w:hyperlink w:anchor="__RefHeading___Toc153714057">
            <w:r>
              <w:rPr>
                <w:rStyle w:val="IndexLink"/>
                <w:sz w:val="18"/>
                <w:szCs w:val="18"/>
                <w:lang w:val="en-US" w:eastAsia="en-US"/>
              </w:rPr>
              <w:t>2</w:t>
            </w:r>
          </w:hyperlink>
        </w:p>
        <w:p>
          <w:pPr>
            <w:pStyle w:val="TOC1"/>
            <w:tabs>
              <w:tab w:val="clear" w:pos="720"/>
              <w:tab w:val="right" w:pos="8441" w:leader="dot"/>
            </w:tabs>
            <w:rPr>
              <w:b w:val="false"/>
              <w:sz w:val="18"/>
              <w:szCs w:val="18"/>
              <w:lang w:val="en-US" w:eastAsia="en-US"/>
            </w:rPr>
          </w:pPr>
          <w:r>
            <w:rPr>
              <w:sz w:val="18"/>
              <w:szCs w:val="18"/>
              <w:lang w:val="en-GB" w:eastAsia="en-US"/>
            </w:rPr>
            <w:t>Not included in Harmonisation Lump Sum</w:t>
          </w:r>
          <w:r>
            <w:rPr>
              <w:sz w:val="18"/>
              <w:szCs w:val="18"/>
              <w:lang w:val="en-US" w:eastAsia="en-US"/>
            </w:rPr>
            <w:tab/>
          </w:r>
          <w:hyperlink w:anchor="__RefHeading___Toc153714058">
            <w:r>
              <w:rPr>
                <w:rStyle w:val="IndexLink"/>
                <w:sz w:val="18"/>
                <w:szCs w:val="18"/>
                <w:lang w:val="en-US" w:eastAsia="en-US"/>
              </w:rPr>
              <w:t>3</w:t>
            </w:r>
          </w:hyperlink>
        </w:p>
        <w:p>
          <w:pPr>
            <w:pStyle w:val="TOC1"/>
            <w:tabs>
              <w:tab w:val="clear" w:pos="720"/>
              <w:tab w:val="right" w:pos="8441" w:leader="dot"/>
            </w:tabs>
            <w:rPr>
              <w:sz w:val="18"/>
              <w:szCs w:val="18"/>
              <w:lang w:val="en-US" w:eastAsia="en-US"/>
            </w:rPr>
          </w:pPr>
          <w:r>
            <w:rPr>
              <w:b w:val="false"/>
              <w:sz w:val="18"/>
              <w:szCs w:val="18"/>
              <w:lang w:val="en-GB" w:eastAsia="en-US"/>
            </w:rPr>
            <w:t>General</w:t>
          </w:r>
          <w:r>
            <w:rPr>
              <w:b w:val="false"/>
              <w:sz w:val="18"/>
              <w:szCs w:val="18"/>
              <w:lang w:val="en-US" w:eastAsia="en-US"/>
            </w:rPr>
            <w:tab/>
          </w:r>
          <w:hyperlink w:anchor="__RefHeading___Toc153714059">
            <w:r>
              <w:rPr>
                <w:rStyle w:val="IndexLink"/>
                <w:b w:val="false"/>
                <w:sz w:val="18"/>
                <w:szCs w:val="18"/>
                <w:lang w:val="en-US" w:eastAsia="en-US"/>
              </w:rPr>
              <w:t>4</w:t>
            </w:r>
          </w:hyperlink>
          <w:r>
            <w:rPr>
              <w:rStyle w:val="IndexLink"/>
              <w:sz w:val="18"/>
              <w:b w:val="false"/>
              <w:szCs w:val="18"/>
              <w:lang w:val="en-US" w:eastAsia="en-US"/>
            </w:rPr>
            <w:fldChar w:fldCharType="end"/>
          </w:r>
        </w:p>
      </w:sdtContent>
    </w:sdt>
    <w:p>
      <w:pPr>
        <w:pStyle w:val="Normal"/>
        <w:rPr>
          <w:b/>
          <w:caps/>
          <w:sz w:val="18"/>
          <w:szCs w:val="18"/>
          <w:lang w:val="en-GB" w:eastAsia="en-US"/>
        </w:rPr>
      </w:pPr>
      <w:r>
        <w:rPr>
          <w:b/>
          <w:caps/>
          <w:sz w:val="18"/>
          <w:szCs w:val="18"/>
          <w:lang w:val="en-GB" w:eastAsia="en-US"/>
        </w:rPr>
      </w:r>
    </w:p>
    <w:p>
      <w:pPr>
        <w:pStyle w:val="Normal"/>
        <w:rPr>
          <w:b/>
          <w:caps/>
          <w:sz w:val="18"/>
          <w:szCs w:val="18"/>
          <w:lang w:val="en-GB"/>
        </w:rPr>
      </w:pPr>
      <w:r>
        <w:rPr>
          <w:b/>
          <w:caps/>
          <w:sz w:val="18"/>
          <w:szCs w:val="18"/>
          <w:lang w:val="en-GB"/>
        </w:rPr>
      </w:r>
    </w:p>
    <w:p>
      <w:pPr>
        <w:sectPr>
          <w:headerReference w:type="default" r:id="rId4"/>
          <w:headerReference w:type="first" r:id="rId5"/>
          <w:footerReference w:type="default" r:id="rId6"/>
          <w:footerReference w:type="first" r:id="rId7"/>
          <w:type w:val="nextPage"/>
          <w:pgSz w:w="11906" w:h="16838"/>
          <w:pgMar w:left="1729" w:right="1729" w:gutter="0" w:header="720" w:top="776" w:footer="720" w:bottom="1094"/>
          <w:pgNumType w:start="1" w:fmt="lowerRoman"/>
          <w:formProt w:val="false"/>
          <w:textDirection w:val="lrTb"/>
          <w:docGrid w:type="default" w:linePitch="360" w:charSpace="0"/>
        </w:sectPr>
        <w:pStyle w:val="Normal"/>
        <w:rPr>
          <w:b/>
          <w:caps/>
          <w:sz w:val="18"/>
          <w:szCs w:val="18"/>
          <w:lang w:val="en-GB"/>
        </w:rPr>
      </w:pPr>
      <w:r>
        <w:rPr>
          <w:b/>
          <w:caps/>
          <w:sz w:val="18"/>
          <w:szCs w:val="18"/>
          <w:lang w:val="en-GB"/>
        </w:rPr>
      </w:r>
    </w:p>
    <w:p>
      <w:pPr>
        <w:pStyle w:val="Heading3"/>
        <w:ind w:hanging="0" w:start="0"/>
        <w:rPr>
          <w:sz w:val="22"/>
          <w:szCs w:val="22"/>
          <w:lang w:val="en-GB"/>
        </w:rPr>
      </w:pPr>
      <w:bookmarkStart w:id="0" w:name="__RefHeading___Toc153714054"/>
      <w:bookmarkEnd w:id="0"/>
      <w:r>
        <w:rPr>
          <w:sz w:val="22"/>
          <w:szCs w:val="22"/>
          <w:lang w:val="en-GB"/>
        </w:rPr>
        <w:t>Harmonisation Lump Sum(s)</w:t>
      </w:r>
    </w:p>
    <w:p>
      <w:pPr>
        <w:pStyle w:val="Normal"/>
        <w:jc w:val="both"/>
        <w:rPr/>
      </w:pPr>
      <w:r>
        <w:rPr>
          <w:lang w:val="en-GB"/>
        </w:rPr>
        <w:t>Harmonisation Costs will be calculated as lump sums to be paid by EuroBank to each of the PST Suppliers in respect of the actual number of Affected Employees transferring to the relevant PST Supplier as at the Commencement Date. Subject to the provisions below, the total sum for the Harmonisation Costs to be paid by EuroBank for all Affected Employees in the Netherlands and Belgium is €31,500,000. These Harmonisation Costs shall be payable to the PST Suppliers as follows:</w:t>
      </w:r>
    </w:p>
    <w:p>
      <w:pPr>
        <w:pStyle w:val="Normal"/>
        <w:spacing w:before="0" w:after="0"/>
        <w:jc w:val="both"/>
        <w:rPr>
          <w:lang w:val="en-GB"/>
        </w:rPr>
      </w:pPr>
      <w:r>
        <w:rPr>
          <w:lang w:val="en-GB"/>
        </w:rPr>
      </w:r>
    </w:p>
    <w:p>
      <w:pPr>
        <w:pStyle w:val="Normal"/>
        <w:spacing w:before="0" w:after="0"/>
        <w:jc w:val="both"/>
        <w:rPr/>
      </w:pPr>
      <w:r>
        <w:rPr/>
        <w:tab/>
      </w:r>
    </w:p>
    <w:tbl>
      <w:tblPr>
        <w:tblW w:w="3888" w:type="dxa"/>
        <w:jc w:val="start"/>
        <w:tblInd w:w="0" w:type="dxa"/>
        <w:tblLayout w:type="fixed"/>
        <w:tblCellMar>
          <w:top w:w="0" w:type="dxa"/>
          <w:start w:w="108" w:type="dxa"/>
          <w:bottom w:w="0" w:type="dxa"/>
          <w:end w:w="108" w:type="dxa"/>
        </w:tblCellMar>
      </w:tblPr>
      <w:tblGrid>
        <w:gridCol w:w="1908"/>
        <w:gridCol w:w="1980"/>
      </w:tblGrid>
      <w:tr>
        <w:trPr/>
        <w:tc>
          <w:tcPr>
            <w:tcW w:w="1908" w:type="dxa"/>
            <w:tcBorders>
              <w:top w:val="single" w:sz="4" w:space="0" w:color="000000"/>
              <w:start w:val="single" w:sz="4" w:space="0" w:color="000000"/>
              <w:bottom w:val="single" w:sz="4" w:space="0" w:color="000000"/>
              <w:end w:val="single" w:sz="4" w:space="0" w:color="000000"/>
            </w:tcBorders>
          </w:tcPr>
          <w:p>
            <w:pPr>
              <w:pStyle w:val="Normal"/>
              <w:spacing w:before="0" w:after="120"/>
              <w:rPr>
                <w:b/>
                <w:sz w:val="18"/>
                <w:szCs w:val="18"/>
                <w:lang w:val="en-GB"/>
              </w:rPr>
            </w:pPr>
            <w:r>
              <w:rPr>
                <w:b/>
                <w:sz w:val="18"/>
                <w:szCs w:val="18"/>
                <w:lang w:val="en-GB"/>
              </w:rPr>
              <w:t>Netherlands</w:t>
            </w:r>
          </w:p>
        </w:tc>
        <w:tc>
          <w:tcPr>
            <w:tcW w:w="1980" w:type="dxa"/>
            <w:tcBorders>
              <w:top w:val="single" w:sz="4" w:space="0" w:color="000000"/>
              <w:start w:val="single" w:sz="4" w:space="0" w:color="000000"/>
              <w:bottom w:val="single" w:sz="4" w:space="0" w:color="000000"/>
              <w:end w:val="single" w:sz="4" w:space="0" w:color="000000"/>
            </w:tcBorders>
          </w:tcPr>
          <w:p>
            <w:pPr>
              <w:pStyle w:val="Normal"/>
              <w:spacing w:before="0" w:after="120"/>
              <w:jc w:val="end"/>
              <w:rPr>
                <w:b/>
                <w:sz w:val="18"/>
                <w:szCs w:val="18"/>
                <w:lang w:val="en-GB"/>
              </w:rPr>
            </w:pPr>
            <w:r>
              <w:rPr>
                <w:b/>
                <w:sz w:val="18"/>
                <w:szCs w:val="18"/>
                <w:lang w:val="en-GB"/>
              </w:rPr>
              <w:t>Total (in Euros)</w:t>
            </w:r>
          </w:p>
        </w:tc>
      </w:tr>
      <w:tr>
        <w:trPr/>
        <w:tc>
          <w:tcPr>
            <w:tcW w:w="1908" w:type="dxa"/>
            <w:tcBorders>
              <w:top w:val="single" w:sz="4" w:space="0" w:color="000000"/>
              <w:start w:val="single" w:sz="4" w:space="0" w:color="000000"/>
              <w:bottom w:val="single" w:sz="4" w:space="0" w:color="000000"/>
              <w:end w:val="single" w:sz="4" w:space="0" w:color="000000"/>
            </w:tcBorders>
          </w:tcPr>
          <w:p>
            <w:pPr>
              <w:pStyle w:val="Normal"/>
              <w:spacing w:before="0" w:after="120"/>
              <w:rPr>
                <w:sz w:val="18"/>
                <w:szCs w:val="18"/>
                <w:lang w:val="en-GB"/>
              </w:rPr>
            </w:pPr>
            <w:r>
              <w:rPr>
                <w:sz w:val="18"/>
                <w:szCs w:val="18"/>
                <w:lang w:val="en-GB"/>
              </w:rPr>
              <w:t>Vendor Alpha</w:t>
            </w:r>
          </w:p>
        </w:tc>
        <w:tc>
          <w:tcPr>
            <w:tcW w:w="1980" w:type="dxa"/>
            <w:tcBorders>
              <w:top w:val="single" w:sz="4" w:space="0" w:color="000000"/>
              <w:start w:val="single" w:sz="4" w:space="0" w:color="000000"/>
              <w:bottom w:val="single" w:sz="4" w:space="0" w:color="000000"/>
              <w:end w:val="single" w:sz="4" w:space="0" w:color="000000"/>
            </w:tcBorders>
          </w:tcPr>
          <w:p>
            <w:pPr>
              <w:pStyle w:val="Normal"/>
              <w:spacing w:before="0" w:after="120"/>
              <w:jc w:val="end"/>
              <w:rPr>
                <w:sz w:val="18"/>
                <w:szCs w:val="18"/>
                <w:lang w:val="en-GB"/>
              </w:rPr>
            </w:pPr>
            <w:r>
              <w:rPr>
                <w:sz w:val="18"/>
                <w:szCs w:val="18"/>
                <w:lang w:val="en-GB"/>
              </w:rPr>
              <w:t>14.374.000</w:t>
            </w:r>
          </w:p>
        </w:tc>
      </w:tr>
      <w:tr>
        <w:trPr/>
        <w:tc>
          <w:tcPr>
            <w:tcW w:w="1908" w:type="dxa"/>
            <w:tcBorders>
              <w:top w:val="single" w:sz="4" w:space="0" w:color="000000"/>
              <w:start w:val="single" w:sz="4" w:space="0" w:color="000000"/>
              <w:bottom w:val="single" w:sz="4" w:space="0" w:color="000000"/>
              <w:end w:val="single" w:sz="4" w:space="0" w:color="000000"/>
            </w:tcBorders>
          </w:tcPr>
          <w:p>
            <w:pPr>
              <w:pStyle w:val="Normal"/>
              <w:spacing w:before="0" w:after="120"/>
              <w:rPr>
                <w:sz w:val="18"/>
                <w:szCs w:val="18"/>
                <w:lang w:val="en-GB"/>
              </w:rPr>
            </w:pPr>
            <w:r>
              <w:rPr>
                <w:sz w:val="18"/>
                <w:szCs w:val="18"/>
                <w:lang w:val="en-GB"/>
              </w:rPr>
              <w:t>Vendor Gamma</w:t>
            </w:r>
          </w:p>
        </w:tc>
        <w:tc>
          <w:tcPr>
            <w:tcW w:w="1980" w:type="dxa"/>
            <w:tcBorders>
              <w:top w:val="single" w:sz="4" w:space="0" w:color="000000"/>
              <w:start w:val="single" w:sz="4" w:space="0" w:color="000000"/>
              <w:bottom w:val="single" w:sz="4" w:space="0" w:color="000000"/>
              <w:end w:val="single" w:sz="4" w:space="0" w:color="000000"/>
            </w:tcBorders>
          </w:tcPr>
          <w:p>
            <w:pPr>
              <w:pStyle w:val="Normal"/>
              <w:spacing w:before="0" w:after="120"/>
              <w:jc w:val="end"/>
              <w:rPr>
                <w:sz w:val="18"/>
                <w:szCs w:val="18"/>
                <w:lang w:val="en-GB"/>
              </w:rPr>
            </w:pPr>
            <w:r>
              <w:rPr>
                <w:sz w:val="18"/>
                <w:szCs w:val="18"/>
                <w:lang w:val="en-GB"/>
              </w:rPr>
              <w:t>9.482.000</w:t>
            </w:r>
          </w:p>
        </w:tc>
      </w:tr>
      <w:tr>
        <w:trPr/>
        <w:tc>
          <w:tcPr>
            <w:tcW w:w="1908" w:type="dxa"/>
            <w:tcBorders>
              <w:top w:val="single" w:sz="4" w:space="0" w:color="000000"/>
              <w:start w:val="single" w:sz="4" w:space="0" w:color="000000"/>
              <w:bottom w:val="single" w:sz="4" w:space="0" w:color="000000"/>
              <w:end w:val="single" w:sz="4" w:space="0" w:color="000000"/>
            </w:tcBorders>
          </w:tcPr>
          <w:p>
            <w:pPr>
              <w:pStyle w:val="Normal"/>
              <w:spacing w:before="0" w:after="120"/>
              <w:rPr>
                <w:sz w:val="18"/>
                <w:szCs w:val="18"/>
                <w:lang w:val="en-GB"/>
              </w:rPr>
            </w:pPr>
            <w:r>
              <w:rPr>
                <w:sz w:val="18"/>
                <w:szCs w:val="18"/>
                <w:lang w:val="en-GB"/>
              </w:rPr>
              <w:t>TelCo</w:t>
            </w:r>
          </w:p>
        </w:tc>
        <w:tc>
          <w:tcPr>
            <w:tcW w:w="1980" w:type="dxa"/>
            <w:tcBorders>
              <w:top w:val="single" w:sz="4" w:space="0" w:color="000000"/>
              <w:start w:val="single" w:sz="4" w:space="0" w:color="000000"/>
              <w:bottom w:val="single" w:sz="4" w:space="0" w:color="000000"/>
              <w:end w:val="single" w:sz="4" w:space="0" w:color="000000"/>
            </w:tcBorders>
          </w:tcPr>
          <w:p>
            <w:pPr>
              <w:pStyle w:val="Normal"/>
              <w:spacing w:before="0" w:after="120"/>
              <w:jc w:val="end"/>
              <w:rPr>
                <w:sz w:val="18"/>
                <w:szCs w:val="18"/>
                <w:lang w:val="en-GB"/>
              </w:rPr>
            </w:pPr>
            <w:r>
              <w:rPr>
                <w:sz w:val="18"/>
                <w:szCs w:val="18"/>
                <w:lang w:val="en-GB"/>
              </w:rPr>
              <w:t>4.049.386</w:t>
            </w:r>
          </w:p>
        </w:tc>
      </w:tr>
      <w:tr>
        <w:trPr/>
        <w:tc>
          <w:tcPr>
            <w:tcW w:w="1908"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120"/>
              <w:rPr>
                <w:sz w:val="18"/>
                <w:szCs w:val="18"/>
                <w:lang w:val="en-GB" w:eastAsia="nl-NL"/>
              </w:rPr>
            </w:pPr>
            <w:r>
              <w:rPr>
                <w:sz w:val="18"/>
                <w:szCs w:val="18"/>
                <w:lang w:val="en-GB" w:eastAsia="nl-NL"/>
              </w:rPr>
            </w:r>
          </w:p>
        </w:tc>
        <w:tc>
          <w:tcPr>
            <w:tcW w:w="1980"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120"/>
              <w:jc w:val="end"/>
              <w:rPr>
                <w:sz w:val="18"/>
                <w:szCs w:val="18"/>
                <w:lang w:val="en-GB"/>
              </w:rPr>
            </w:pPr>
            <w:r>
              <w:rPr>
                <w:sz w:val="18"/>
                <w:szCs w:val="18"/>
                <w:lang w:val="en-GB"/>
              </w:rPr>
            </w:r>
          </w:p>
        </w:tc>
      </w:tr>
      <w:tr>
        <w:trPr/>
        <w:tc>
          <w:tcPr>
            <w:tcW w:w="1908" w:type="dxa"/>
            <w:tcBorders>
              <w:top w:val="single" w:sz="4" w:space="0" w:color="000000"/>
              <w:start w:val="single" w:sz="4" w:space="0" w:color="000000"/>
              <w:bottom w:val="single" w:sz="4" w:space="0" w:color="000000"/>
              <w:end w:val="single" w:sz="4" w:space="0" w:color="000000"/>
            </w:tcBorders>
          </w:tcPr>
          <w:p>
            <w:pPr>
              <w:pStyle w:val="Normal"/>
              <w:spacing w:before="0" w:after="120"/>
              <w:rPr>
                <w:b/>
                <w:sz w:val="18"/>
                <w:szCs w:val="18"/>
                <w:lang w:val="en-GB"/>
              </w:rPr>
            </w:pPr>
            <w:r>
              <w:rPr>
                <w:b/>
                <w:sz w:val="18"/>
                <w:szCs w:val="18"/>
                <w:lang w:val="en-GB"/>
              </w:rPr>
              <w:t>Belgium</w:t>
            </w:r>
          </w:p>
        </w:tc>
        <w:tc>
          <w:tcPr>
            <w:tcW w:w="1980"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120"/>
              <w:rPr>
                <w:b/>
                <w:sz w:val="18"/>
                <w:szCs w:val="18"/>
                <w:lang w:val="en-GB"/>
              </w:rPr>
            </w:pPr>
            <w:r>
              <w:rPr>
                <w:b/>
                <w:sz w:val="18"/>
                <w:szCs w:val="18"/>
                <w:lang w:val="en-GB"/>
              </w:rPr>
            </w:r>
          </w:p>
        </w:tc>
      </w:tr>
      <w:tr>
        <w:trPr/>
        <w:tc>
          <w:tcPr>
            <w:tcW w:w="1908" w:type="dxa"/>
            <w:tcBorders>
              <w:top w:val="single" w:sz="4" w:space="0" w:color="000000"/>
              <w:start w:val="single" w:sz="4" w:space="0" w:color="000000"/>
              <w:bottom w:val="single" w:sz="4" w:space="0" w:color="000000"/>
              <w:end w:val="single" w:sz="4" w:space="0" w:color="000000"/>
            </w:tcBorders>
          </w:tcPr>
          <w:p>
            <w:pPr>
              <w:pStyle w:val="Normal"/>
              <w:spacing w:before="0" w:after="120"/>
              <w:rPr>
                <w:sz w:val="18"/>
                <w:szCs w:val="18"/>
                <w:lang w:val="en-GB"/>
              </w:rPr>
            </w:pPr>
            <w:r>
              <w:rPr>
                <w:sz w:val="18"/>
                <w:szCs w:val="18"/>
                <w:lang w:val="en-GB"/>
              </w:rPr>
              <w:t>Vendor Alpha</w:t>
            </w:r>
          </w:p>
        </w:tc>
        <w:tc>
          <w:tcPr>
            <w:tcW w:w="1980" w:type="dxa"/>
            <w:tcBorders>
              <w:top w:val="single" w:sz="4" w:space="0" w:color="000000"/>
              <w:start w:val="single" w:sz="4" w:space="0" w:color="000000"/>
              <w:bottom w:val="single" w:sz="4" w:space="0" w:color="000000"/>
              <w:end w:val="single" w:sz="4" w:space="0" w:color="000000"/>
            </w:tcBorders>
          </w:tcPr>
          <w:p>
            <w:pPr>
              <w:pStyle w:val="Normal"/>
              <w:spacing w:before="0" w:after="120"/>
              <w:jc w:val="end"/>
              <w:rPr>
                <w:sz w:val="18"/>
                <w:szCs w:val="18"/>
                <w:lang w:val="en-GB"/>
              </w:rPr>
            </w:pPr>
            <w:r>
              <w:rPr>
                <w:sz w:val="18"/>
                <w:szCs w:val="18"/>
                <w:lang w:val="en-GB"/>
              </w:rPr>
              <w:t>1.763.000</w:t>
            </w:r>
          </w:p>
        </w:tc>
      </w:tr>
      <w:tr>
        <w:trPr/>
        <w:tc>
          <w:tcPr>
            <w:tcW w:w="1908" w:type="dxa"/>
            <w:tcBorders>
              <w:top w:val="single" w:sz="4" w:space="0" w:color="000000"/>
              <w:start w:val="single" w:sz="4" w:space="0" w:color="000000"/>
              <w:bottom w:val="single" w:sz="4" w:space="0" w:color="000000"/>
              <w:end w:val="single" w:sz="4" w:space="0" w:color="000000"/>
            </w:tcBorders>
          </w:tcPr>
          <w:p>
            <w:pPr>
              <w:pStyle w:val="Normal"/>
              <w:spacing w:before="0" w:after="120"/>
              <w:rPr>
                <w:sz w:val="18"/>
                <w:szCs w:val="18"/>
                <w:lang w:val="en-GB"/>
              </w:rPr>
            </w:pPr>
            <w:r>
              <w:rPr>
                <w:sz w:val="18"/>
                <w:szCs w:val="18"/>
                <w:lang w:val="en-GB"/>
              </w:rPr>
              <w:t>Vendor Gamma</w:t>
            </w:r>
          </w:p>
        </w:tc>
        <w:tc>
          <w:tcPr>
            <w:tcW w:w="1980" w:type="dxa"/>
            <w:tcBorders>
              <w:top w:val="single" w:sz="4" w:space="0" w:color="000000"/>
              <w:start w:val="single" w:sz="4" w:space="0" w:color="000000"/>
              <w:bottom w:val="single" w:sz="4" w:space="0" w:color="000000"/>
              <w:end w:val="single" w:sz="4" w:space="0" w:color="000000"/>
            </w:tcBorders>
          </w:tcPr>
          <w:p>
            <w:pPr>
              <w:pStyle w:val="Normal"/>
              <w:spacing w:before="0" w:after="120"/>
              <w:jc w:val="end"/>
              <w:rPr>
                <w:sz w:val="18"/>
                <w:szCs w:val="18"/>
                <w:lang w:val="en-GB"/>
              </w:rPr>
            </w:pPr>
            <w:r>
              <w:rPr>
                <w:sz w:val="18"/>
                <w:szCs w:val="18"/>
                <w:lang w:val="en-GB"/>
              </w:rPr>
              <w:t>1.586.000</w:t>
            </w:r>
          </w:p>
        </w:tc>
      </w:tr>
      <w:tr>
        <w:trPr/>
        <w:tc>
          <w:tcPr>
            <w:tcW w:w="1908" w:type="dxa"/>
            <w:tcBorders>
              <w:top w:val="single" w:sz="4" w:space="0" w:color="000000"/>
              <w:start w:val="single" w:sz="4" w:space="0" w:color="000000"/>
              <w:bottom w:val="single" w:sz="4" w:space="0" w:color="000000"/>
              <w:end w:val="single" w:sz="4" w:space="0" w:color="000000"/>
            </w:tcBorders>
          </w:tcPr>
          <w:p>
            <w:pPr>
              <w:pStyle w:val="Normal"/>
              <w:spacing w:before="0" w:after="120"/>
              <w:rPr>
                <w:sz w:val="18"/>
                <w:szCs w:val="18"/>
                <w:lang w:val="en-GB"/>
              </w:rPr>
            </w:pPr>
            <w:r>
              <w:rPr>
                <w:sz w:val="18"/>
                <w:szCs w:val="18"/>
                <w:lang w:val="en-GB"/>
              </w:rPr>
              <w:t>TelCo</w:t>
            </w:r>
          </w:p>
        </w:tc>
        <w:tc>
          <w:tcPr>
            <w:tcW w:w="1980" w:type="dxa"/>
            <w:tcBorders>
              <w:top w:val="single" w:sz="4" w:space="0" w:color="000000"/>
              <w:start w:val="single" w:sz="4" w:space="0" w:color="000000"/>
              <w:bottom w:val="single" w:sz="4" w:space="0" w:color="000000"/>
              <w:end w:val="single" w:sz="4" w:space="0" w:color="000000"/>
            </w:tcBorders>
          </w:tcPr>
          <w:p>
            <w:pPr>
              <w:pStyle w:val="Normal"/>
              <w:spacing w:before="0" w:after="120"/>
              <w:jc w:val="end"/>
              <w:rPr>
                <w:sz w:val="18"/>
                <w:szCs w:val="18"/>
                <w:lang w:val="en-GB"/>
              </w:rPr>
            </w:pPr>
            <w:r>
              <w:rPr>
                <w:sz w:val="18"/>
                <w:szCs w:val="18"/>
                <w:lang w:val="en-GB"/>
              </w:rPr>
              <w:t>245.614</w:t>
            </w:r>
          </w:p>
        </w:tc>
      </w:tr>
      <w:tr>
        <w:trPr/>
        <w:tc>
          <w:tcPr>
            <w:tcW w:w="1908" w:type="dxa"/>
            <w:tcBorders>
              <w:top w:val="single" w:sz="4" w:space="0" w:color="000000"/>
              <w:start w:val="single" w:sz="4" w:space="0" w:color="000000"/>
              <w:bottom w:val="single" w:sz="4" w:space="0" w:color="000000"/>
              <w:end w:val="single" w:sz="4" w:space="0" w:color="000000"/>
            </w:tcBorders>
          </w:tcPr>
          <w:p>
            <w:pPr>
              <w:pStyle w:val="Normal"/>
              <w:spacing w:before="120" w:after="120"/>
              <w:jc w:val="end"/>
              <w:rPr>
                <w:b/>
                <w:sz w:val="18"/>
                <w:szCs w:val="18"/>
                <w:lang w:val="en-GB"/>
              </w:rPr>
            </w:pPr>
            <w:r>
              <w:rPr>
                <w:b/>
                <w:sz w:val="18"/>
                <w:szCs w:val="18"/>
                <w:lang w:val="en-GB"/>
              </w:rPr>
              <w:t>Total:</w:t>
            </w:r>
          </w:p>
        </w:tc>
        <w:tc>
          <w:tcPr>
            <w:tcW w:w="1980" w:type="dxa"/>
            <w:tcBorders>
              <w:top w:val="single" w:sz="4" w:space="0" w:color="000000"/>
              <w:start w:val="single" w:sz="4" w:space="0" w:color="000000"/>
              <w:bottom w:val="single" w:sz="4" w:space="0" w:color="000000"/>
              <w:end w:val="single" w:sz="4" w:space="0" w:color="000000"/>
            </w:tcBorders>
          </w:tcPr>
          <w:p>
            <w:pPr>
              <w:pStyle w:val="Normal"/>
              <w:spacing w:before="120" w:after="120"/>
              <w:jc w:val="end"/>
              <w:rPr>
                <w:b/>
                <w:sz w:val="18"/>
                <w:szCs w:val="18"/>
                <w:lang w:val="nl-NL" w:eastAsia="nl-NL"/>
              </w:rPr>
            </w:pPr>
            <w:r>
              <w:rPr>
                <w:b/>
                <w:sz w:val="18"/>
                <w:szCs w:val="18"/>
                <w:lang w:val="nl-NL" w:eastAsia="nl-NL"/>
              </w:rPr>
              <w:t>€</w:t>
            </w:r>
            <w:r>
              <w:rPr>
                <w:b/>
                <w:sz w:val="18"/>
                <w:szCs w:val="18"/>
                <w:lang w:val="nl-NL" w:eastAsia="nl-NL"/>
              </w:rPr>
              <w:t>31.500.000</w:t>
            </w:r>
          </w:p>
        </w:tc>
      </w:tr>
    </w:tbl>
    <w:p>
      <w:pPr>
        <w:pStyle w:val="Normal"/>
        <w:spacing w:before="0" w:after="0"/>
        <w:jc w:val="both"/>
        <w:rPr>
          <w:lang w:val="en-GB"/>
        </w:rPr>
      </w:pPr>
      <w:r>
        <w:rPr>
          <w:lang w:val="en-GB"/>
        </w:rPr>
      </w:r>
    </w:p>
    <w:p>
      <w:pPr>
        <w:pStyle w:val="Normal"/>
        <w:spacing w:before="0" w:after="0"/>
        <w:jc w:val="both"/>
        <w:rPr/>
      </w:pPr>
      <w:r>
        <w:rPr>
          <w:lang w:val="en-GB"/>
        </w:rPr>
        <w:t>(each row being a “</w:t>
      </w:r>
      <w:r>
        <w:rPr>
          <w:b/>
          <w:i/>
          <w:lang w:val="en-GB"/>
        </w:rPr>
        <w:t>Harmonisation Lump Sum</w:t>
      </w:r>
      <w:r>
        <w:rPr>
          <w:lang w:val="en-GB"/>
        </w:rPr>
        <w:t>”)</w:t>
      </w:r>
    </w:p>
    <w:p>
      <w:pPr>
        <w:pStyle w:val="Normal"/>
        <w:spacing w:before="0" w:after="0"/>
        <w:jc w:val="both"/>
        <w:rPr>
          <w:lang w:val="en-GB"/>
        </w:rPr>
      </w:pPr>
      <w:r>
        <w:rPr>
          <w:lang w:val="en-GB"/>
        </w:rPr>
      </w:r>
    </w:p>
    <w:p>
      <w:pPr>
        <w:pStyle w:val="Normal"/>
        <w:jc w:val="both"/>
        <w:rPr/>
      </w:pPr>
      <w:r>
        <w:rPr>
          <w:lang w:val="en-GB"/>
        </w:rPr>
        <w:t>The above payments to each PST Supplier shall be made in 6 equal six-monthly instalments starting on the Commencement Date.</w:t>
      </w:r>
    </w:p>
    <w:p>
      <w:pPr>
        <w:pStyle w:val="Normal"/>
        <w:jc w:val="both"/>
        <w:rPr>
          <w:lang w:val="en-GB"/>
        </w:rPr>
      </w:pPr>
      <w:r>
        <w:rPr>
          <w:lang w:val="en-GB"/>
        </w:rPr>
      </w:r>
    </w:p>
    <w:p>
      <w:pPr>
        <w:pStyle w:val="Normal"/>
        <w:jc w:val="both"/>
        <w:rPr/>
      </w:pPr>
      <w:r>
        <w:rPr>
          <w:lang w:val="en-GB"/>
        </w:rPr>
        <w:t>The aggregate of the Harmonisation Lump Sums shall remain fixed provided the number of Affected Employees in the Netherlands is between 400 and 437. The Harmonisation Lump Sums may be adjusted in the following circumstances:</w:t>
      </w:r>
    </w:p>
    <w:p>
      <w:pPr>
        <w:pStyle w:val="Normal"/>
        <w:jc w:val="both"/>
        <w:rPr>
          <w:lang w:val="en-GB"/>
        </w:rPr>
      </w:pPr>
      <w:r>
        <w:rPr>
          <w:lang w:val="en-GB"/>
        </w:rPr>
      </w:r>
    </w:p>
    <w:p>
      <w:pPr>
        <w:pStyle w:val="Normal"/>
        <w:numPr>
          <w:ilvl w:val="0"/>
          <w:numId w:val="7"/>
        </w:numPr>
        <w:spacing w:before="0" w:after="0"/>
        <w:jc w:val="both"/>
        <w:rPr>
          <w:lang w:val="en-GB"/>
        </w:rPr>
      </w:pPr>
      <w:r>
        <w:rPr>
          <w:lang w:val="en-GB"/>
        </w:rPr>
        <w:t>if the number of Affected Employees is less than 400, then EuroBank shall be entitled to reduce the relevant Harmonisation Lump Sum by €66,000 for each Affected Employee below 400 and the instalment payment shall be adjusted accordingly; or</w:t>
      </w:r>
    </w:p>
    <w:p>
      <w:pPr>
        <w:pStyle w:val="Normal"/>
        <w:ind w:start="360" w:end="0"/>
        <w:jc w:val="both"/>
        <w:rPr>
          <w:lang w:val="en-GB"/>
        </w:rPr>
      </w:pPr>
      <w:r>
        <w:rPr>
          <w:lang w:val="en-GB"/>
        </w:rPr>
      </w:r>
    </w:p>
    <w:p>
      <w:pPr>
        <w:pStyle w:val="Normal"/>
        <w:numPr>
          <w:ilvl w:val="0"/>
          <w:numId w:val="7"/>
        </w:numPr>
        <w:spacing w:before="0" w:after="0"/>
        <w:jc w:val="both"/>
        <w:rPr>
          <w:lang w:val="en-GB"/>
        </w:rPr>
      </w:pPr>
      <w:r>
        <w:rPr>
          <w:lang w:val="en-GB"/>
        </w:rPr>
        <w:t>if the number of Affected Employees is greater than 437, then the PST Supplier shall be entitled to invoice EuroBank the sum of €66,000 for each such additional Affected Employee above 437, and the relevant Harmonisation Lump Sum and instalment payments shall be adjusted accordingly.</w:t>
      </w:r>
    </w:p>
    <w:p>
      <w:pPr>
        <w:pStyle w:val="Normal"/>
        <w:jc w:val="both"/>
        <w:rPr>
          <w:lang w:val="en-GB"/>
        </w:rPr>
      </w:pPr>
      <w:r>
        <w:rPr>
          <w:lang w:val="en-GB"/>
        </w:rPr>
      </w:r>
    </w:p>
    <w:p>
      <w:pPr>
        <w:pStyle w:val="Normal"/>
        <w:jc w:val="both"/>
        <w:rPr>
          <w:lang w:val="en-GB"/>
        </w:rPr>
      </w:pPr>
      <w:r>
        <w:rPr>
          <w:lang w:val="en-GB"/>
        </w:rPr>
        <w:t>The PST Suppliers shall consult with the 2IM in the circumstances set out in 1 above in order to determine which PST Supplier shall have its Harmonisation Lump Sum reduced. The 2IM’s determination shall be final and EuroBank shall make the adjustment to that PST Supplier’s Harmonisation Lump Sum accordingly</w:t>
      </w:r>
    </w:p>
    <w:p>
      <w:pPr>
        <w:pStyle w:val="Normal"/>
        <w:jc w:val="both"/>
        <w:rPr>
          <w:lang w:val="en-GB"/>
        </w:rPr>
      </w:pPr>
      <w:r>
        <w:rPr>
          <w:lang w:val="en-GB"/>
        </w:rPr>
      </w:r>
    </w:p>
    <w:p>
      <w:pPr>
        <w:pStyle w:val="Normal"/>
        <w:spacing w:before="0" w:after="0"/>
        <w:jc w:val="both"/>
        <w:rPr/>
      </w:pPr>
      <w:r>
        <w:rPr>
          <w:lang w:val="en-GB"/>
        </w:rPr>
        <w:t>EuroBank shall make the following additional lump sum payments by way of One-Time Charges :</w:t>
      </w:r>
    </w:p>
    <w:p>
      <w:pPr>
        <w:pStyle w:val="Normal"/>
        <w:spacing w:before="0" w:after="0"/>
        <w:jc w:val="both"/>
        <w:rPr>
          <w:lang w:val="en-GB"/>
        </w:rPr>
      </w:pPr>
      <w:r>
        <w:rPr>
          <w:lang w:val="en-GB"/>
        </w:rPr>
      </w:r>
    </w:p>
    <w:p>
      <w:pPr>
        <w:pStyle w:val="Normal"/>
        <w:spacing w:before="0" w:after="0"/>
        <w:jc w:val="both"/>
        <w:rPr/>
      </w:pPr>
      <w:r>
        <w:rPr>
          <w:lang w:val="en-GB"/>
        </w:rPr>
        <w:t>1.</w:t>
        <w:tab/>
        <w:t>€100,000 to Vendor Alpha upon receipt of a proper invoice on the Commencement Date;</w:t>
      </w:r>
    </w:p>
    <w:p>
      <w:pPr>
        <w:pStyle w:val="Normal"/>
        <w:spacing w:before="0" w:after="0"/>
        <w:jc w:val="both"/>
        <w:rPr>
          <w:lang w:val="en-GB"/>
        </w:rPr>
      </w:pPr>
      <w:r>
        <w:rPr>
          <w:lang w:val="en-GB"/>
        </w:rPr>
      </w:r>
    </w:p>
    <w:p>
      <w:pPr>
        <w:pStyle w:val="Normal"/>
        <w:spacing w:before="0" w:after="0"/>
        <w:jc w:val="both"/>
        <w:rPr>
          <w:lang w:val="en-GB"/>
        </w:rPr>
      </w:pPr>
      <w:r>
        <w:rPr>
          <w:lang w:val="en-GB"/>
        </w:rPr>
        <w:t>2.</w:t>
        <w:tab/>
        <w:t>€54,000 to TelCo upon receipt of a proper invoice on the Commencement Date</w:t>
      </w:r>
    </w:p>
    <w:p>
      <w:pPr>
        <w:pStyle w:val="Normal"/>
        <w:spacing w:before="0" w:after="0"/>
        <w:jc w:val="both"/>
        <w:rPr>
          <w:lang w:val="en-GB"/>
        </w:rPr>
      </w:pPr>
      <w:r>
        <w:rPr>
          <w:lang w:val="en-GB"/>
        </w:rPr>
      </w:r>
    </w:p>
    <w:p>
      <w:pPr>
        <w:pStyle w:val="Normal"/>
        <w:spacing w:before="0" w:after="0"/>
        <w:jc w:val="both"/>
        <w:rPr/>
      </w:pPr>
      <w:r>
        <w:rPr>
          <w:lang w:val="en-GB"/>
        </w:rPr>
        <w:t>These payments shall be in full and final satisfaction of EuroBank’s obligations in respect the indexation of certain salary elements deriving from the agreements made in the Dutch Employment Protocols.</w:t>
      </w:r>
    </w:p>
    <w:p>
      <w:pPr>
        <w:pStyle w:val="Normal"/>
        <w:spacing w:before="0" w:after="0"/>
        <w:jc w:val="both"/>
        <w:rPr>
          <w:lang w:val="en-GB"/>
        </w:rPr>
      </w:pPr>
      <w:r>
        <w:rPr>
          <w:lang w:val="en-GB"/>
        </w:rPr>
      </w:r>
    </w:p>
    <w:p>
      <w:pPr>
        <w:pStyle w:val="Normal"/>
        <w:spacing w:before="0" w:after="0"/>
        <w:jc w:val="both"/>
        <w:rPr>
          <w:lang w:val="en-GB"/>
        </w:rPr>
      </w:pPr>
      <w:r>
        <w:rPr>
          <w:lang w:val="en-GB"/>
        </w:rPr>
        <w:t>In the event that Harmonisation Costs apply to Vendor Beta, these will be handled on a case by case basis.</w:t>
      </w:r>
    </w:p>
    <w:p>
      <w:pPr>
        <w:pStyle w:val="Normal"/>
        <w:spacing w:before="0" w:after="0"/>
        <w:jc w:val="both"/>
        <w:rPr>
          <w:lang w:val="en-GB"/>
        </w:rPr>
      </w:pPr>
      <w:r>
        <w:rPr>
          <w:lang w:val="en-GB"/>
        </w:rPr>
      </w:r>
    </w:p>
    <w:p>
      <w:pPr>
        <w:pStyle w:val="Normal"/>
        <w:spacing w:before="0" w:after="0"/>
        <w:rPr>
          <w:lang w:val="en-GB"/>
        </w:rPr>
      </w:pPr>
      <w:r>
        <w:rPr>
          <w:sz w:val="24"/>
          <w:lang w:eastAsia="nl-BE"/>
        </w:rPr>
        <w:t xml:space="preserve"> In accordance with the Employment Protocols, EuroBank is obliged to pay each Affected Employee:</w:t>
      </w:r>
      <w:r>
        <w:rPr>
          <w:lang w:val="en-GB"/>
        </w:rPr>
      </w:r>
    </w:p>
    <w:p>
      <w:pPr>
        <w:pStyle w:val="Normal"/>
        <w:spacing w:before="0" w:after="0"/>
        <w:jc w:val="both"/>
        <w:rPr>
          <w:lang w:val="en-GB"/>
        </w:rPr>
      </w:pPr>
      <w:r>
        <w:rPr>
          <w:lang w:val="en-GB"/>
        </w:rPr>
      </w:r>
    </w:p>
    <w:p>
      <w:pPr>
        <w:pStyle w:val="Normal"/>
        <w:spacing w:before="0" w:after="0"/>
        <w:ind w:start="720" w:end="0"/>
        <w:jc w:val="both"/>
        <w:rPr>
          <w:lang w:val="en-GB"/>
        </w:rPr>
      </w:pPr>
      <w:r>
        <w:rPr>
          <w:lang w:val="en-GB"/>
        </w:rPr>
        <w:t>1)  a compensation fee; and</w:t>
      </w:r>
    </w:p>
    <w:p>
      <w:pPr>
        <w:pStyle w:val="Normal"/>
        <w:spacing w:before="0" w:after="0"/>
        <w:ind w:start="720" w:end="0"/>
        <w:jc w:val="both"/>
        <w:rPr>
          <w:lang w:val="en-GB"/>
        </w:rPr>
      </w:pPr>
      <w:r>
        <w:rPr>
          <w:lang w:val="en-GB"/>
        </w:rPr>
        <w:t>2) a retention bonus if the Affected Employee remains with the relevant PST Supplier for the periods set out in the Employment Protocols.</w:t>
      </w:r>
    </w:p>
    <w:p>
      <w:pPr>
        <w:pStyle w:val="Normal"/>
        <w:spacing w:before="0" w:after="0"/>
        <w:jc w:val="both"/>
        <w:rPr>
          <w:lang w:val="en-GB"/>
        </w:rPr>
      </w:pPr>
      <w:r>
        <w:rPr>
          <w:lang w:val="en-GB"/>
        </w:rPr>
      </w:r>
    </w:p>
    <w:p>
      <w:pPr>
        <w:pStyle w:val="Normal"/>
        <w:spacing w:before="0" w:after="0"/>
        <w:jc w:val="both"/>
        <w:rPr>
          <w:lang w:val="en-GB"/>
        </w:rPr>
      </w:pPr>
      <w:r>
        <w:rPr>
          <w:lang w:val="en-GB"/>
        </w:rPr>
        <w:t>The Affected Employee is entitled to choose whether to receive the compensation fee in one installment or to receive one third of the compensation fee in two equal six monthly installments on months 6 and 12 following the Commencement Date. The lump sum element of the compensation fee (whether 100% or 66,6%) will be paid by EuroBank directly to the Affected Employee.</w:t>
      </w:r>
    </w:p>
    <w:p>
      <w:pPr>
        <w:pStyle w:val="Normal"/>
        <w:spacing w:before="0" w:after="0"/>
        <w:jc w:val="both"/>
        <w:rPr>
          <w:lang w:val="en-GB"/>
        </w:rPr>
      </w:pPr>
      <w:r>
        <w:rPr>
          <w:lang w:val="en-GB"/>
        </w:rPr>
        <w:t> </w:t>
      </w:r>
    </w:p>
    <w:p>
      <w:pPr>
        <w:pStyle w:val="Normal"/>
        <w:spacing w:before="0" w:after="0"/>
        <w:jc w:val="both"/>
        <w:rPr>
          <w:lang w:val="en-GB"/>
        </w:rPr>
      </w:pPr>
      <w:r>
        <w:rPr>
          <w:lang w:val="en-GB"/>
        </w:rPr>
        <w:t>If the Affected Employee chooses the installment payment option, then EuroBank will pay the PST the relevant installments at the appropriate time to ensure payment can be made to the Affected Employee. The PST supplier shall make the relevant payment to each of the relevant Affected Employees.</w:t>
      </w:r>
    </w:p>
    <w:p>
      <w:pPr>
        <w:pStyle w:val="Normal"/>
        <w:spacing w:before="0" w:after="0"/>
        <w:jc w:val="both"/>
        <w:rPr>
          <w:lang w:val="en-GB"/>
        </w:rPr>
      </w:pPr>
      <w:r>
        <w:rPr>
          <w:lang w:val="en-GB"/>
        </w:rPr>
        <w:t> </w:t>
      </w:r>
    </w:p>
    <w:p>
      <w:pPr>
        <w:pStyle w:val="Normal"/>
        <w:spacing w:before="0" w:after="0"/>
        <w:jc w:val="both"/>
        <w:rPr>
          <w:lang w:val="en-GB"/>
        </w:rPr>
      </w:pPr>
      <w:r>
        <w:rPr>
          <w:lang w:val="en-GB"/>
        </w:rPr>
        <w:t xml:space="preserve">Upon the Affected Employee continuing to be employed by the PST Supplier for the relevant periods after Commencement Date as set out in the Employment Protocols, EuroBank shall pay the PST Supplier at the appropriate time the relevant proportion of the retention bonus in accordance with the relevant Employment Protocols to ensure that the same can be paid to the Affected Employee. The PST supplier shall make the relevant payment to each of the relevant Affected Employees. </w:t>
      </w:r>
    </w:p>
    <w:p>
      <w:pPr>
        <w:pStyle w:val="Heading3"/>
        <w:ind w:hanging="0" w:start="0"/>
        <w:rPr>
          <w:sz w:val="22"/>
          <w:szCs w:val="22"/>
          <w:lang w:val="en-GB"/>
        </w:rPr>
      </w:pPr>
      <w:bookmarkStart w:id="1" w:name="__RefHeading___Toc153714055"/>
      <w:bookmarkEnd w:id="1"/>
      <w:r>
        <w:rPr>
          <w:sz w:val="22"/>
          <w:szCs w:val="22"/>
          <w:lang w:val="en-GB"/>
        </w:rPr>
        <w:t>Method of Payment</w:t>
      </w:r>
    </w:p>
    <w:p>
      <w:pPr>
        <w:pStyle w:val="Normal"/>
        <w:spacing w:before="0" w:after="0"/>
        <w:jc w:val="both"/>
        <w:rPr/>
      </w:pPr>
      <w:r>
        <w:rPr>
          <w:lang w:val="en-GB"/>
        </w:rPr>
        <w:t>The PST Suppliers will invoice EuroBank for the first amount at Commencement Date and then every six months.</w:t>
      </w:r>
    </w:p>
    <w:p>
      <w:pPr>
        <w:pStyle w:val="Heading3"/>
        <w:ind w:hanging="0" w:start="0"/>
        <w:rPr/>
      </w:pPr>
      <w:bookmarkStart w:id="2" w:name="__RefHeading___Toc153714056"/>
      <w:bookmarkEnd w:id="2"/>
      <w:r>
        <w:rPr>
          <w:sz w:val="22"/>
          <w:szCs w:val="22"/>
          <w:lang w:val="en-GB"/>
        </w:rPr>
        <w:t>Treatment if Affected Employees return to EuroBank</w:t>
      </w:r>
    </w:p>
    <w:p>
      <w:pPr>
        <w:pStyle w:val="Normal"/>
        <w:spacing w:before="0" w:after="0"/>
        <w:jc w:val="both"/>
        <w:rPr/>
      </w:pPr>
      <w:r>
        <w:rPr>
          <w:lang w:val="en-GB"/>
        </w:rPr>
        <w:t>For every Affected Employee who returns to EuroBank within 3 years (36 months) after Commencement Date under the right of return as described in the SKS, and subject to any other agreements made in Exhibit 5, the PST Supplier shall repay EuroBank the amount of the relevant Harmonisation Lump Sum relative to the unexpired time of the 36 month period calculated from the date that the Affected Employee returns to EuroBank.</w:t>
      </w:r>
    </w:p>
    <w:p>
      <w:pPr>
        <w:pStyle w:val="Heading3"/>
        <w:ind w:hanging="0" w:start="0"/>
        <w:rPr>
          <w:sz w:val="22"/>
          <w:szCs w:val="22"/>
          <w:lang w:val="en-GB"/>
        </w:rPr>
      </w:pPr>
      <w:bookmarkStart w:id="3" w:name="__RefHeading___Toc153714057"/>
      <w:bookmarkEnd w:id="3"/>
      <w:r>
        <w:rPr>
          <w:sz w:val="22"/>
          <w:szCs w:val="22"/>
          <w:lang w:val="en-GB"/>
        </w:rPr>
        <w:t>Included in Harmonisation Lump Sum</w:t>
      </w:r>
    </w:p>
    <w:tbl>
      <w:tblPr>
        <w:tblW w:w="8667" w:type="dxa"/>
        <w:jc w:val="start"/>
        <w:tblInd w:w="0" w:type="dxa"/>
        <w:tblLayout w:type="fixed"/>
        <w:tblCellMar>
          <w:top w:w="0" w:type="dxa"/>
          <w:start w:w="108" w:type="dxa"/>
          <w:bottom w:w="0" w:type="dxa"/>
          <w:end w:w="108" w:type="dxa"/>
        </w:tblCellMar>
      </w:tblPr>
      <w:tblGrid>
        <w:gridCol w:w="2923"/>
        <w:gridCol w:w="2794"/>
        <w:gridCol w:w="2950"/>
      </w:tblGrid>
      <w:tr>
        <w:trPr/>
        <w:tc>
          <w:tcPr>
            <w:tcW w:w="2923" w:type="dxa"/>
            <w:tcBorders/>
          </w:tcPr>
          <w:p>
            <w:pPr>
              <w:pStyle w:val="Normal"/>
              <w:spacing w:before="120" w:after="120"/>
              <w:rPr>
                <w:b/>
                <w:i/>
                <w:i/>
                <w:sz w:val="18"/>
                <w:szCs w:val="18"/>
              </w:rPr>
            </w:pPr>
            <w:r>
              <w:rPr>
                <w:b/>
                <w:i/>
                <w:sz w:val="18"/>
                <w:szCs w:val="18"/>
              </w:rPr>
              <w:t>Base Salary + Additional components</w:t>
            </w:r>
          </w:p>
        </w:tc>
        <w:tc>
          <w:tcPr>
            <w:tcW w:w="2794" w:type="dxa"/>
            <w:tcBorders/>
          </w:tcPr>
          <w:p>
            <w:pPr>
              <w:pStyle w:val="Normal"/>
              <w:spacing w:before="120" w:after="120"/>
              <w:rPr>
                <w:b/>
                <w:i/>
                <w:i/>
                <w:sz w:val="18"/>
                <w:szCs w:val="18"/>
              </w:rPr>
            </w:pPr>
            <w:r>
              <w:rPr>
                <w:b/>
                <w:i/>
                <w:sz w:val="18"/>
                <w:szCs w:val="18"/>
              </w:rPr>
              <w:t>Guarantees</w:t>
            </w:r>
          </w:p>
        </w:tc>
        <w:tc>
          <w:tcPr>
            <w:tcW w:w="2950" w:type="dxa"/>
            <w:tcBorders/>
          </w:tcPr>
          <w:p>
            <w:pPr>
              <w:pStyle w:val="Normal"/>
              <w:spacing w:before="120" w:after="120"/>
              <w:rPr>
                <w:b/>
                <w:i/>
                <w:i/>
                <w:sz w:val="18"/>
                <w:szCs w:val="18"/>
              </w:rPr>
            </w:pPr>
            <w:r>
              <w:rPr>
                <w:b/>
                <w:i/>
                <w:sz w:val="18"/>
                <w:szCs w:val="18"/>
              </w:rPr>
              <w:t>Other</w:t>
            </w:r>
          </w:p>
        </w:tc>
      </w:tr>
      <w:tr>
        <w:trPr/>
        <w:tc>
          <w:tcPr>
            <w:tcW w:w="2923" w:type="dxa"/>
            <w:tcBorders/>
          </w:tcPr>
          <w:p>
            <w:pPr>
              <w:pStyle w:val="Normal"/>
              <w:numPr>
                <w:ilvl w:val="0"/>
                <w:numId w:val="8"/>
              </w:numPr>
              <w:tabs>
                <w:tab w:val="clear" w:pos="720"/>
                <w:tab w:val="left" w:pos="360" w:leader="none"/>
              </w:tabs>
              <w:spacing w:before="0" w:after="0"/>
              <w:ind w:hanging="360" w:start="360" w:end="0"/>
              <w:rPr>
                <w:sz w:val="18"/>
                <w:szCs w:val="18"/>
              </w:rPr>
            </w:pPr>
            <w:r>
              <w:rPr>
                <w:sz w:val="18"/>
                <w:szCs w:val="18"/>
              </w:rPr>
              <w:t>Fixed Annual Salary</w:t>
            </w:r>
          </w:p>
        </w:tc>
        <w:tc>
          <w:tcPr>
            <w:tcW w:w="2794" w:type="dxa"/>
            <w:tcBorders/>
          </w:tcPr>
          <w:p>
            <w:pPr>
              <w:pStyle w:val="Normal"/>
              <w:numPr>
                <w:ilvl w:val="0"/>
                <w:numId w:val="8"/>
              </w:numPr>
              <w:tabs>
                <w:tab w:val="clear" w:pos="720"/>
                <w:tab w:val="left" w:pos="360" w:leader="none"/>
              </w:tabs>
              <w:spacing w:before="0" w:after="0"/>
              <w:ind w:hanging="360" w:start="360" w:end="0"/>
              <w:rPr>
                <w:sz w:val="18"/>
                <w:szCs w:val="18"/>
              </w:rPr>
            </w:pPr>
            <w:r>
              <w:rPr>
                <w:sz w:val="18"/>
                <w:szCs w:val="18"/>
              </w:rPr>
              <w:t>Personal allowance (e.g. WEP)</w:t>
            </w:r>
          </w:p>
        </w:tc>
        <w:tc>
          <w:tcPr>
            <w:tcW w:w="2950" w:type="dxa"/>
            <w:tcBorders/>
          </w:tcPr>
          <w:p>
            <w:pPr>
              <w:pStyle w:val="Normal"/>
              <w:numPr>
                <w:ilvl w:val="0"/>
                <w:numId w:val="8"/>
              </w:numPr>
              <w:tabs>
                <w:tab w:val="clear" w:pos="720"/>
                <w:tab w:val="left" w:pos="360" w:leader="none"/>
              </w:tabs>
              <w:spacing w:before="0" w:after="0"/>
              <w:ind w:hanging="360" w:start="360" w:end="0"/>
              <w:rPr>
                <w:sz w:val="18"/>
                <w:szCs w:val="18"/>
              </w:rPr>
            </w:pPr>
            <w:r>
              <w:rPr>
                <w:sz w:val="18"/>
                <w:szCs w:val="18"/>
              </w:rPr>
              <w:t>Employers Costs</w:t>
            </w:r>
          </w:p>
        </w:tc>
      </w:tr>
      <w:tr>
        <w:trPr/>
        <w:tc>
          <w:tcPr>
            <w:tcW w:w="2923" w:type="dxa"/>
            <w:tcBorders/>
          </w:tcPr>
          <w:p>
            <w:pPr>
              <w:pStyle w:val="Normal"/>
              <w:numPr>
                <w:ilvl w:val="0"/>
                <w:numId w:val="8"/>
              </w:numPr>
              <w:tabs>
                <w:tab w:val="clear" w:pos="720"/>
                <w:tab w:val="left" w:pos="360" w:leader="none"/>
              </w:tabs>
              <w:spacing w:before="0" w:after="0"/>
              <w:ind w:hanging="360" w:start="360" w:end="0"/>
              <w:rPr>
                <w:sz w:val="18"/>
                <w:szCs w:val="18"/>
              </w:rPr>
            </w:pPr>
            <w:r>
              <w:rPr>
                <w:sz w:val="18"/>
                <w:szCs w:val="18"/>
              </w:rPr>
              <w:t>Contractual working hours</w:t>
            </w:r>
          </w:p>
        </w:tc>
        <w:tc>
          <w:tcPr>
            <w:tcW w:w="2794" w:type="dxa"/>
            <w:tcBorders/>
          </w:tcPr>
          <w:p>
            <w:pPr>
              <w:pStyle w:val="Normal"/>
              <w:snapToGrid w:val="false"/>
              <w:spacing w:before="0" w:after="0"/>
              <w:rPr>
                <w:sz w:val="18"/>
                <w:szCs w:val="18"/>
              </w:rPr>
            </w:pPr>
            <w:r>
              <w:rPr>
                <w:sz w:val="18"/>
                <w:szCs w:val="18"/>
              </w:rPr>
            </w:r>
          </w:p>
        </w:tc>
        <w:tc>
          <w:tcPr>
            <w:tcW w:w="2950" w:type="dxa"/>
            <w:tcBorders/>
          </w:tcPr>
          <w:p>
            <w:pPr>
              <w:pStyle w:val="Normal"/>
              <w:numPr>
                <w:ilvl w:val="0"/>
                <w:numId w:val="8"/>
              </w:numPr>
              <w:tabs>
                <w:tab w:val="clear" w:pos="720"/>
                <w:tab w:val="left" w:pos="360" w:leader="none"/>
              </w:tabs>
              <w:spacing w:before="0" w:after="0"/>
              <w:ind w:hanging="360" w:start="360" w:end="0"/>
              <w:rPr>
                <w:sz w:val="18"/>
                <w:szCs w:val="18"/>
              </w:rPr>
            </w:pPr>
            <w:r>
              <w:rPr>
                <w:sz w:val="18"/>
                <w:szCs w:val="18"/>
              </w:rPr>
              <w:t>Jubilee</w:t>
            </w:r>
          </w:p>
        </w:tc>
      </w:tr>
      <w:tr>
        <w:trPr/>
        <w:tc>
          <w:tcPr>
            <w:tcW w:w="2923" w:type="dxa"/>
            <w:tcBorders/>
          </w:tcPr>
          <w:p>
            <w:pPr>
              <w:pStyle w:val="Normal"/>
              <w:numPr>
                <w:ilvl w:val="0"/>
                <w:numId w:val="8"/>
              </w:numPr>
              <w:tabs>
                <w:tab w:val="clear" w:pos="720"/>
                <w:tab w:val="left" w:pos="360" w:leader="none"/>
              </w:tabs>
              <w:spacing w:before="0" w:after="0"/>
              <w:ind w:hanging="360" w:start="360" w:end="0"/>
              <w:rPr>
                <w:sz w:val="18"/>
                <w:szCs w:val="18"/>
              </w:rPr>
            </w:pPr>
            <w:r>
              <w:rPr>
                <w:sz w:val="18"/>
                <w:szCs w:val="18"/>
              </w:rPr>
              <w:t>Working hour bonus</w:t>
            </w:r>
          </w:p>
        </w:tc>
        <w:tc>
          <w:tcPr>
            <w:tcW w:w="2794" w:type="dxa"/>
            <w:tcBorders/>
          </w:tcPr>
          <w:p>
            <w:pPr>
              <w:pStyle w:val="Normal"/>
              <w:spacing w:before="0" w:after="0"/>
              <w:rPr>
                <w:b/>
                <w:i/>
                <w:i/>
                <w:sz w:val="18"/>
                <w:szCs w:val="18"/>
              </w:rPr>
            </w:pPr>
            <w:r>
              <w:rPr>
                <w:b/>
                <w:i/>
                <w:sz w:val="18"/>
                <w:szCs w:val="18"/>
              </w:rPr>
              <w:t>Pension</w:t>
            </w:r>
          </w:p>
        </w:tc>
        <w:tc>
          <w:tcPr>
            <w:tcW w:w="2950" w:type="dxa"/>
            <w:tcBorders/>
          </w:tcPr>
          <w:p>
            <w:pPr>
              <w:pStyle w:val="Normal"/>
              <w:numPr>
                <w:ilvl w:val="0"/>
                <w:numId w:val="8"/>
              </w:numPr>
              <w:tabs>
                <w:tab w:val="clear" w:pos="720"/>
                <w:tab w:val="left" w:pos="360" w:leader="none"/>
              </w:tabs>
              <w:spacing w:before="0" w:after="0"/>
              <w:ind w:hanging="360" w:start="360" w:end="0"/>
              <w:rPr>
                <w:sz w:val="18"/>
                <w:szCs w:val="18"/>
              </w:rPr>
            </w:pPr>
            <w:r>
              <w:rPr>
                <w:sz w:val="18"/>
                <w:szCs w:val="18"/>
              </w:rPr>
              <w:t>Leasecar</w:t>
            </w:r>
          </w:p>
        </w:tc>
      </w:tr>
      <w:tr>
        <w:trPr/>
        <w:tc>
          <w:tcPr>
            <w:tcW w:w="2923" w:type="dxa"/>
            <w:tcBorders/>
          </w:tcPr>
          <w:p>
            <w:pPr>
              <w:pStyle w:val="Normal"/>
              <w:numPr>
                <w:ilvl w:val="0"/>
                <w:numId w:val="8"/>
              </w:numPr>
              <w:tabs>
                <w:tab w:val="clear" w:pos="720"/>
                <w:tab w:val="left" w:pos="360" w:leader="none"/>
              </w:tabs>
              <w:spacing w:before="0" w:after="0"/>
              <w:ind w:hanging="360" w:start="360" w:end="0"/>
              <w:rPr>
                <w:sz w:val="18"/>
                <w:szCs w:val="18"/>
              </w:rPr>
            </w:pPr>
            <w:r>
              <w:rPr>
                <w:sz w:val="18"/>
                <w:szCs w:val="18"/>
              </w:rPr>
              <w:t>Working hours</w:t>
            </w:r>
          </w:p>
        </w:tc>
        <w:tc>
          <w:tcPr>
            <w:tcW w:w="2794" w:type="dxa"/>
            <w:tcBorders/>
          </w:tcPr>
          <w:p>
            <w:pPr>
              <w:pStyle w:val="Normal"/>
              <w:snapToGrid w:val="false"/>
              <w:spacing w:before="0" w:after="0"/>
              <w:rPr>
                <w:sz w:val="18"/>
                <w:szCs w:val="18"/>
              </w:rPr>
            </w:pPr>
            <w:r>
              <w:rPr>
                <w:sz w:val="18"/>
                <w:szCs w:val="18"/>
              </w:rPr>
            </w:r>
          </w:p>
        </w:tc>
        <w:tc>
          <w:tcPr>
            <w:tcW w:w="2950" w:type="dxa"/>
            <w:tcBorders/>
          </w:tcPr>
          <w:p>
            <w:pPr>
              <w:pStyle w:val="Normal"/>
              <w:numPr>
                <w:ilvl w:val="0"/>
                <w:numId w:val="8"/>
              </w:numPr>
              <w:tabs>
                <w:tab w:val="clear" w:pos="720"/>
                <w:tab w:val="left" w:pos="360" w:leader="none"/>
              </w:tabs>
              <w:spacing w:before="0" w:after="0"/>
              <w:ind w:hanging="360" w:start="360" w:end="0"/>
              <w:rPr>
                <w:sz w:val="18"/>
                <w:szCs w:val="18"/>
              </w:rPr>
            </w:pPr>
            <w:r>
              <w:rPr>
                <w:sz w:val="18"/>
                <w:szCs w:val="18"/>
              </w:rPr>
              <w:t>Cost compensations</w:t>
            </w:r>
          </w:p>
        </w:tc>
      </w:tr>
      <w:tr>
        <w:trPr/>
        <w:tc>
          <w:tcPr>
            <w:tcW w:w="2923" w:type="dxa"/>
            <w:tcBorders/>
          </w:tcPr>
          <w:p>
            <w:pPr>
              <w:pStyle w:val="Normal"/>
              <w:numPr>
                <w:ilvl w:val="0"/>
                <w:numId w:val="8"/>
              </w:numPr>
              <w:tabs>
                <w:tab w:val="clear" w:pos="720"/>
                <w:tab w:val="left" w:pos="360" w:leader="none"/>
              </w:tabs>
              <w:spacing w:before="0" w:after="0"/>
              <w:ind w:hanging="360" w:start="360" w:end="0"/>
              <w:rPr>
                <w:sz w:val="18"/>
                <w:szCs w:val="18"/>
              </w:rPr>
            </w:pPr>
            <w:r>
              <w:rPr>
                <w:sz w:val="18"/>
                <w:szCs w:val="18"/>
              </w:rPr>
              <w:t>Leave hours</w:t>
            </w:r>
          </w:p>
        </w:tc>
        <w:tc>
          <w:tcPr>
            <w:tcW w:w="2794" w:type="dxa"/>
            <w:tcBorders/>
          </w:tcPr>
          <w:p>
            <w:pPr>
              <w:pStyle w:val="Normal"/>
              <w:snapToGrid w:val="false"/>
              <w:spacing w:before="0" w:after="0"/>
              <w:rPr>
                <w:sz w:val="18"/>
                <w:szCs w:val="18"/>
              </w:rPr>
            </w:pPr>
            <w:r>
              <w:rPr>
                <w:sz w:val="18"/>
                <w:szCs w:val="18"/>
              </w:rPr>
            </w:r>
          </w:p>
        </w:tc>
        <w:tc>
          <w:tcPr>
            <w:tcW w:w="2950" w:type="dxa"/>
            <w:tcBorders/>
          </w:tcPr>
          <w:p>
            <w:pPr>
              <w:pStyle w:val="Normal"/>
              <w:snapToGrid w:val="false"/>
              <w:spacing w:before="0" w:after="0"/>
              <w:rPr>
                <w:sz w:val="18"/>
                <w:szCs w:val="18"/>
              </w:rPr>
            </w:pPr>
            <w:r>
              <w:rPr>
                <w:sz w:val="18"/>
                <w:szCs w:val="18"/>
              </w:rPr>
            </w:r>
          </w:p>
        </w:tc>
      </w:tr>
      <w:tr>
        <w:trPr/>
        <w:tc>
          <w:tcPr>
            <w:tcW w:w="2923" w:type="dxa"/>
            <w:tcBorders/>
          </w:tcPr>
          <w:p>
            <w:pPr>
              <w:pStyle w:val="Normal"/>
              <w:numPr>
                <w:ilvl w:val="0"/>
                <w:numId w:val="8"/>
              </w:numPr>
              <w:tabs>
                <w:tab w:val="clear" w:pos="720"/>
                <w:tab w:val="left" w:pos="360" w:leader="none"/>
              </w:tabs>
              <w:spacing w:before="0" w:after="0"/>
              <w:ind w:hanging="360" w:start="360" w:end="0"/>
              <w:rPr>
                <w:sz w:val="18"/>
                <w:szCs w:val="18"/>
              </w:rPr>
            </w:pPr>
            <w:r>
              <w:rPr>
                <w:sz w:val="18"/>
                <w:szCs w:val="18"/>
              </w:rPr>
              <w:t>Holidays</w:t>
            </w:r>
          </w:p>
        </w:tc>
        <w:tc>
          <w:tcPr>
            <w:tcW w:w="2794" w:type="dxa"/>
            <w:tcBorders/>
          </w:tcPr>
          <w:p>
            <w:pPr>
              <w:pStyle w:val="Normal"/>
              <w:snapToGrid w:val="false"/>
              <w:spacing w:before="0" w:after="0"/>
              <w:rPr>
                <w:sz w:val="18"/>
                <w:szCs w:val="18"/>
              </w:rPr>
            </w:pPr>
            <w:r>
              <w:rPr>
                <w:sz w:val="18"/>
                <w:szCs w:val="18"/>
              </w:rPr>
            </w:r>
          </w:p>
        </w:tc>
        <w:tc>
          <w:tcPr>
            <w:tcW w:w="2950" w:type="dxa"/>
            <w:tcBorders/>
          </w:tcPr>
          <w:p>
            <w:pPr>
              <w:pStyle w:val="Normal"/>
              <w:snapToGrid w:val="false"/>
              <w:spacing w:before="0" w:after="0"/>
              <w:rPr>
                <w:sz w:val="18"/>
                <w:szCs w:val="18"/>
              </w:rPr>
            </w:pPr>
            <w:r>
              <w:rPr>
                <w:sz w:val="18"/>
                <w:szCs w:val="18"/>
              </w:rPr>
            </w:r>
          </w:p>
        </w:tc>
      </w:tr>
      <w:tr>
        <w:trPr/>
        <w:tc>
          <w:tcPr>
            <w:tcW w:w="2923" w:type="dxa"/>
            <w:tcBorders/>
          </w:tcPr>
          <w:p>
            <w:pPr>
              <w:pStyle w:val="Normal"/>
              <w:numPr>
                <w:ilvl w:val="0"/>
                <w:numId w:val="8"/>
              </w:numPr>
              <w:tabs>
                <w:tab w:val="clear" w:pos="720"/>
                <w:tab w:val="left" w:pos="360" w:leader="none"/>
              </w:tabs>
              <w:spacing w:before="0" w:after="0"/>
              <w:ind w:hanging="360" w:start="360" w:end="0"/>
              <w:rPr>
                <w:sz w:val="18"/>
                <w:szCs w:val="18"/>
              </w:rPr>
            </w:pPr>
            <w:r>
              <w:rPr>
                <w:sz w:val="18"/>
                <w:szCs w:val="18"/>
              </w:rPr>
              <w:t>On call bomus (*)</w:t>
            </w:r>
          </w:p>
        </w:tc>
        <w:tc>
          <w:tcPr>
            <w:tcW w:w="2794" w:type="dxa"/>
            <w:tcBorders/>
          </w:tcPr>
          <w:p>
            <w:pPr>
              <w:pStyle w:val="Normal"/>
              <w:spacing w:before="0" w:after="0"/>
              <w:rPr>
                <w:b/>
                <w:i/>
                <w:i/>
                <w:sz w:val="18"/>
                <w:szCs w:val="18"/>
              </w:rPr>
            </w:pPr>
            <w:r>
              <w:rPr>
                <w:b/>
                <w:i/>
                <w:sz w:val="18"/>
                <w:szCs w:val="18"/>
              </w:rPr>
              <w:t>SKS</w:t>
            </w:r>
          </w:p>
        </w:tc>
        <w:tc>
          <w:tcPr>
            <w:tcW w:w="2950" w:type="dxa"/>
            <w:tcBorders/>
          </w:tcPr>
          <w:p>
            <w:pPr>
              <w:pStyle w:val="Normal"/>
              <w:snapToGrid w:val="false"/>
              <w:spacing w:before="0" w:after="0"/>
              <w:rPr>
                <w:b/>
                <w:i/>
                <w:i/>
                <w:sz w:val="18"/>
                <w:szCs w:val="18"/>
              </w:rPr>
            </w:pPr>
            <w:r>
              <w:rPr>
                <w:b/>
                <w:i/>
                <w:sz w:val="18"/>
                <w:szCs w:val="18"/>
              </w:rPr>
            </w:r>
          </w:p>
        </w:tc>
      </w:tr>
      <w:tr>
        <w:trPr/>
        <w:tc>
          <w:tcPr>
            <w:tcW w:w="2923" w:type="dxa"/>
            <w:tcBorders/>
          </w:tcPr>
          <w:p>
            <w:pPr>
              <w:pStyle w:val="Normal"/>
              <w:numPr>
                <w:ilvl w:val="0"/>
                <w:numId w:val="8"/>
              </w:numPr>
              <w:tabs>
                <w:tab w:val="clear" w:pos="720"/>
                <w:tab w:val="left" w:pos="360" w:leader="none"/>
              </w:tabs>
              <w:spacing w:before="0" w:after="0"/>
              <w:ind w:hanging="360" w:start="360" w:end="0"/>
              <w:rPr>
                <w:sz w:val="18"/>
                <w:szCs w:val="18"/>
              </w:rPr>
            </w:pPr>
            <w:r>
              <w:rPr>
                <w:sz w:val="18"/>
                <w:szCs w:val="18"/>
              </w:rPr>
              <w:t>Variable payment, only applicable for TelCo</w:t>
            </w:r>
          </w:p>
        </w:tc>
        <w:tc>
          <w:tcPr>
            <w:tcW w:w="2794" w:type="dxa"/>
            <w:tcBorders/>
          </w:tcPr>
          <w:p>
            <w:pPr>
              <w:pStyle w:val="Normal"/>
              <w:numPr>
                <w:ilvl w:val="0"/>
                <w:numId w:val="8"/>
              </w:numPr>
              <w:tabs>
                <w:tab w:val="clear" w:pos="720"/>
                <w:tab w:val="left" w:pos="360" w:leader="none"/>
              </w:tabs>
              <w:spacing w:before="0" w:after="0"/>
              <w:ind w:hanging="360" w:start="360" w:end="0"/>
              <w:rPr>
                <w:sz w:val="18"/>
                <w:szCs w:val="18"/>
              </w:rPr>
            </w:pPr>
            <w:r>
              <w:rPr>
                <w:sz w:val="18"/>
                <w:szCs w:val="18"/>
              </w:rPr>
              <w:t>Possible costs of hardship cases</w:t>
            </w:r>
          </w:p>
        </w:tc>
        <w:tc>
          <w:tcPr>
            <w:tcW w:w="2950" w:type="dxa"/>
            <w:tcBorders/>
          </w:tcPr>
          <w:p>
            <w:pPr>
              <w:pStyle w:val="Normal"/>
              <w:snapToGrid w:val="false"/>
              <w:spacing w:before="0" w:after="0"/>
              <w:rPr>
                <w:sz w:val="18"/>
                <w:szCs w:val="18"/>
              </w:rPr>
            </w:pPr>
            <w:r>
              <w:rPr>
                <w:sz w:val="18"/>
                <w:szCs w:val="18"/>
              </w:rPr>
            </w:r>
          </w:p>
        </w:tc>
      </w:tr>
      <w:tr>
        <w:trPr/>
        <w:tc>
          <w:tcPr>
            <w:tcW w:w="2923" w:type="dxa"/>
            <w:tcBorders/>
          </w:tcPr>
          <w:p>
            <w:pPr>
              <w:pStyle w:val="Normal"/>
              <w:numPr>
                <w:ilvl w:val="0"/>
                <w:numId w:val="8"/>
              </w:numPr>
              <w:tabs>
                <w:tab w:val="clear" w:pos="720"/>
                <w:tab w:val="left" w:pos="360" w:leader="none"/>
              </w:tabs>
              <w:spacing w:before="0" w:after="0"/>
              <w:ind w:hanging="360" w:start="360" w:end="0"/>
              <w:rPr>
                <w:sz w:val="18"/>
                <w:szCs w:val="18"/>
              </w:rPr>
            </w:pPr>
            <w:r>
              <w:rPr>
                <w:sz w:val="18"/>
                <w:szCs w:val="18"/>
              </w:rPr>
              <w:t>Employee Contribution to pensions, indexed</w:t>
            </w:r>
          </w:p>
        </w:tc>
        <w:tc>
          <w:tcPr>
            <w:tcW w:w="2794" w:type="dxa"/>
            <w:tcBorders/>
          </w:tcPr>
          <w:p>
            <w:pPr>
              <w:pStyle w:val="Normal"/>
              <w:numPr>
                <w:ilvl w:val="0"/>
                <w:numId w:val="8"/>
              </w:numPr>
              <w:tabs>
                <w:tab w:val="clear" w:pos="720"/>
                <w:tab w:val="left" w:pos="360" w:leader="none"/>
              </w:tabs>
              <w:spacing w:before="0" w:after="0"/>
              <w:ind w:hanging="360" w:start="360" w:end="0"/>
              <w:rPr>
                <w:sz w:val="18"/>
                <w:szCs w:val="18"/>
              </w:rPr>
            </w:pPr>
            <w:r>
              <w:rPr>
                <w:sz w:val="18"/>
                <w:szCs w:val="18"/>
              </w:rPr>
              <w:t>Salary perspective</w:t>
            </w:r>
          </w:p>
        </w:tc>
        <w:tc>
          <w:tcPr>
            <w:tcW w:w="2950" w:type="dxa"/>
            <w:tcBorders/>
          </w:tcPr>
          <w:p>
            <w:pPr>
              <w:pStyle w:val="Normal"/>
              <w:snapToGrid w:val="false"/>
              <w:spacing w:before="0" w:after="0"/>
              <w:rPr>
                <w:sz w:val="18"/>
                <w:szCs w:val="18"/>
              </w:rPr>
            </w:pPr>
            <w:r>
              <w:rPr>
                <w:sz w:val="18"/>
                <w:szCs w:val="18"/>
              </w:rPr>
            </w:r>
          </w:p>
        </w:tc>
      </w:tr>
      <w:tr>
        <w:trPr/>
        <w:tc>
          <w:tcPr>
            <w:tcW w:w="2923" w:type="dxa"/>
            <w:tcBorders/>
          </w:tcPr>
          <w:p>
            <w:pPr>
              <w:pStyle w:val="Normal"/>
              <w:numPr>
                <w:ilvl w:val="0"/>
                <w:numId w:val="8"/>
              </w:numPr>
              <w:tabs>
                <w:tab w:val="clear" w:pos="720"/>
                <w:tab w:val="left" w:pos="360" w:leader="none"/>
              </w:tabs>
              <w:spacing w:before="0" w:after="0"/>
              <w:ind w:hanging="360" w:start="360" w:end="0"/>
              <w:rPr>
                <w:sz w:val="18"/>
                <w:szCs w:val="18"/>
              </w:rPr>
            </w:pPr>
            <w:r>
              <w:rPr>
                <w:sz w:val="18"/>
                <w:szCs w:val="18"/>
              </w:rPr>
              <w:t>WIA gap insurance.</w:t>
            </w:r>
          </w:p>
        </w:tc>
        <w:tc>
          <w:tcPr>
            <w:tcW w:w="2794" w:type="dxa"/>
            <w:tcBorders/>
          </w:tcPr>
          <w:p>
            <w:pPr>
              <w:pStyle w:val="Normal"/>
              <w:numPr>
                <w:ilvl w:val="0"/>
                <w:numId w:val="8"/>
              </w:numPr>
              <w:tabs>
                <w:tab w:val="clear" w:pos="720"/>
                <w:tab w:val="left" w:pos="360" w:leader="none"/>
              </w:tabs>
              <w:spacing w:before="0" w:after="0"/>
              <w:ind w:hanging="360" w:start="360" w:end="0"/>
              <w:rPr>
                <w:sz w:val="18"/>
                <w:szCs w:val="18"/>
              </w:rPr>
            </w:pPr>
            <w:r>
              <w:rPr>
                <w:sz w:val="18"/>
                <w:szCs w:val="18"/>
              </w:rPr>
              <w:t>Index on salary perspective</w:t>
            </w:r>
          </w:p>
        </w:tc>
        <w:tc>
          <w:tcPr>
            <w:tcW w:w="2950" w:type="dxa"/>
            <w:tcBorders/>
          </w:tcPr>
          <w:p>
            <w:pPr>
              <w:pStyle w:val="Normal"/>
              <w:snapToGrid w:val="false"/>
              <w:spacing w:before="0" w:after="0"/>
              <w:rPr>
                <w:sz w:val="18"/>
                <w:szCs w:val="18"/>
              </w:rPr>
            </w:pPr>
            <w:r>
              <w:rPr>
                <w:sz w:val="18"/>
                <w:szCs w:val="18"/>
              </w:rPr>
            </w:r>
          </w:p>
        </w:tc>
      </w:tr>
      <w:tr>
        <w:trPr/>
        <w:tc>
          <w:tcPr>
            <w:tcW w:w="2923" w:type="dxa"/>
            <w:tcBorders/>
          </w:tcPr>
          <w:p>
            <w:pPr>
              <w:pStyle w:val="Normal"/>
              <w:numPr>
                <w:ilvl w:val="0"/>
                <w:numId w:val="8"/>
              </w:numPr>
              <w:tabs>
                <w:tab w:val="clear" w:pos="720"/>
                <w:tab w:val="left" w:pos="360" w:leader="none"/>
              </w:tabs>
              <w:snapToGrid w:val="false"/>
              <w:spacing w:before="0" w:after="0"/>
              <w:ind w:hanging="360" w:start="360" w:end="0"/>
              <w:rPr>
                <w:sz w:val="18"/>
                <w:szCs w:val="18"/>
              </w:rPr>
            </w:pPr>
            <w:r>
              <w:rPr>
                <w:rFonts w:cs="Arial" w:ascii="Arial" w:hAnsi="Arial"/>
                <w:color w:val="0000FF"/>
                <w:sz w:val="18"/>
                <w:szCs w:val="18"/>
              </w:rPr>
            </w:r>
          </w:p>
        </w:tc>
        <w:tc>
          <w:tcPr>
            <w:tcW w:w="2794" w:type="dxa"/>
            <w:tcBorders/>
          </w:tcPr>
          <w:p>
            <w:pPr>
              <w:pStyle w:val="Normal"/>
              <w:numPr>
                <w:ilvl w:val="0"/>
                <w:numId w:val="8"/>
              </w:numPr>
              <w:tabs>
                <w:tab w:val="clear" w:pos="720"/>
                <w:tab w:val="left" w:pos="360" w:leader="none"/>
              </w:tabs>
              <w:spacing w:before="0" w:after="0"/>
              <w:ind w:hanging="360" w:start="360" w:end="0"/>
              <w:rPr>
                <w:sz w:val="18"/>
                <w:szCs w:val="18"/>
              </w:rPr>
            </w:pPr>
            <w:r>
              <w:rPr>
                <w:sz w:val="18"/>
                <w:szCs w:val="18"/>
              </w:rPr>
              <w:t>Levensloop 3,5%</w:t>
            </w:r>
          </w:p>
        </w:tc>
        <w:tc>
          <w:tcPr>
            <w:tcW w:w="2950" w:type="dxa"/>
            <w:tcBorders/>
          </w:tcPr>
          <w:p>
            <w:pPr>
              <w:pStyle w:val="Normal"/>
              <w:snapToGrid w:val="false"/>
              <w:spacing w:before="0" w:after="0"/>
              <w:rPr>
                <w:sz w:val="18"/>
                <w:szCs w:val="18"/>
              </w:rPr>
            </w:pPr>
            <w:r>
              <w:rPr>
                <w:sz w:val="18"/>
                <w:szCs w:val="18"/>
              </w:rPr>
            </w:r>
          </w:p>
        </w:tc>
      </w:tr>
      <w:tr>
        <w:trPr/>
        <w:tc>
          <w:tcPr>
            <w:tcW w:w="2923" w:type="dxa"/>
            <w:tcBorders/>
          </w:tcPr>
          <w:p>
            <w:pPr>
              <w:pStyle w:val="Normal"/>
              <w:snapToGrid w:val="false"/>
              <w:spacing w:before="0" w:after="0"/>
              <w:rPr>
                <w:rFonts w:ascii="Arial" w:hAnsi="Arial" w:cs="Arial"/>
                <w:color w:val="0000FF"/>
                <w:sz w:val="18"/>
                <w:szCs w:val="18"/>
              </w:rPr>
            </w:pPr>
            <w:r>
              <w:rPr>
                <w:rFonts w:cs="Arial" w:ascii="Arial" w:hAnsi="Arial"/>
                <w:color w:val="0000FF"/>
                <w:sz w:val="18"/>
                <w:szCs w:val="18"/>
              </w:rPr>
            </w:r>
          </w:p>
        </w:tc>
        <w:tc>
          <w:tcPr>
            <w:tcW w:w="2794" w:type="dxa"/>
            <w:tcBorders/>
          </w:tcPr>
          <w:p>
            <w:pPr>
              <w:pStyle w:val="Normal"/>
              <w:numPr>
                <w:ilvl w:val="0"/>
                <w:numId w:val="8"/>
              </w:numPr>
              <w:tabs>
                <w:tab w:val="clear" w:pos="720"/>
                <w:tab w:val="left" w:pos="360" w:leader="none"/>
              </w:tabs>
              <w:spacing w:before="0" w:after="0"/>
              <w:ind w:hanging="360" w:start="360" w:end="0"/>
              <w:rPr>
                <w:sz w:val="18"/>
                <w:szCs w:val="18"/>
              </w:rPr>
            </w:pPr>
            <w:r>
              <w:rPr>
                <w:sz w:val="18"/>
                <w:szCs w:val="18"/>
              </w:rPr>
              <w:t>Out of pocket exp. training started before ED</w:t>
            </w:r>
          </w:p>
        </w:tc>
        <w:tc>
          <w:tcPr>
            <w:tcW w:w="2950" w:type="dxa"/>
            <w:tcBorders/>
          </w:tcPr>
          <w:p>
            <w:pPr>
              <w:pStyle w:val="Normal"/>
              <w:snapToGrid w:val="false"/>
              <w:spacing w:before="0" w:after="0"/>
              <w:rPr>
                <w:sz w:val="18"/>
                <w:szCs w:val="18"/>
              </w:rPr>
            </w:pPr>
            <w:r>
              <w:rPr>
                <w:sz w:val="18"/>
                <w:szCs w:val="18"/>
              </w:rPr>
            </w:r>
          </w:p>
        </w:tc>
      </w:tr>
      <w:tr>
        <w:trPr/>
        <w:tc>
          <w:tcPr>
            <w:tcW w:w="2923" w:type="dxa"/>
            <w:tcBorders/>
          </w:tcPr>
          <w:p>
            <w:pPr>
              <w:pStyle w:val="Normal"/>
              <w:snapToGrid w:val="false"/>
              <w:spacing w:before="0" w:after="0"/>
              <w:rPr>
                <w:rFonts w:ascii="Arial" w:hAnsi="Arial" w:cs="Arial"/>
                <w:color w:val="0000FF"/>
                <w:sz w:val="18"/>
                <w:szCs w:val="18"/>
              </w:rPr>
            </w:pPr>
            <w:r>
              <w:rPr>
                <w:rFonts w:cs="Arial" w:ascii="Arial" w:hAnsi="Arial"/>
                <w:color w:val="0000FF"/>
                <w:sz w:val="18"/>
                <w:szCs w:val="18"/>
              </w:rPr>
            </w:r>
          </w:p>
        </w:tc>
        <w:tc>
          <w:tcPr>
            <w:tcW w:w="2794" w:type="dxa"/>
            <w:tcBorders/>
          </w:tcPr>
          <w:p>
            <w:pPr>
              <w:pStyle w:val="Normal"/>
              <w:snapToGrid w:val="false"/>
              <w:spacing w:before="0" w:after="0"/>
              <w:rPr>
                <w:sz w:val="18"/>
                <w:szCs w:val="18"/>
              </w:rPr>
            </w:pPr>
            <w:r>
              <w:rPr>
                <w:sz w:val="18"/>
                <w:szCs w:val="18"/>
              </w:rPr>
            </w:r>
          </w:p>
        </w:tc>
        <w:tc>
          <w:tcPr>
            <w:tcW w:w="2950" w:type="dxa"/>
            <w:tcBorders/>
          </w:tcPr>
          <w:p>
            <w:pPr>
              <w:pStyle w:val="Normal"/>
              <w:snapToGrid w:val="false"/>
              <w:spacing w:before="0" w:after="0"/>
              <w:rPr>
                <w:sz w:val="18"/>
                <w:szCs w:val="18"/>
              </w:rPr>
            </w:pPr>
            <w:r>
              <w:rPr>
                <w:sz w:val="18"/>
                <w:szCs w:val="18"/>
              </w:rPr>
            </w:r>
          </w:p>
        </w:tc>
      </w:tr>
      <w:tr>
        <w:trPr/>
        <w:tc>
          <w:tcPr>
            <w:tcW w:w="2923" w:type="dxa"/>
            <w:tcBorders/>
          </w:tcPr>
          <w:p>
            <w:pPr>
              <w:pStyle w:val="Normal"/>
              <w:snapToGrid w:val="false"/>
              <w:spacing w:before="0" w:after="0"/>
              <w:rPr>
                <w:rFonts w:ascii="Arial" w:hAnsi="Arial" w:cs="Arial"/>
                <w:sz w:val="18"/>
                <w:szCs w:val="18"/>
              </w:rPr>
            </w:pPr>
            <w:r>
              <w:rPr>
                <w:rFonts w:cs="Arial" w:ascii="Arial" w:hAnsi="Arial"/>
                <w:sz w:val="18"/>
                <w:szCs w:val="18"/>
              </w:rPr>
            </w:r>
          </w:p>
        </w:tc>
        <w:tc>
          <w:tcPr>
            <w:tcW w:w="2794" w:type="dxa"/>
            <w:tcBorders/>
          </w:tcPr>
          <w:p>
            <w:pPr>
              <w:pStyle w:val="Normal"/>
              <w:snapToGrid w:val="false"/>
              <w:spacing w:before="0" w:after="0"/>
              <w:rPr>
                <w:sz w:val="18"/>
                <w:szCs w:val="18"/>
              </w:rPr>
            </w:pPr>
            <w:r>
              <w:rPr>
                <w:sz w:val="18"/>
                <w:szCs w:val="18"/>
              </w:rPr>
            </w:r>
          </w:p>
        </w:tc>
        <w:tc>
          <w:tcPr>
            <w:tcW w:w="2950" w:type="dxa"/>
            <w:tcBorders/>
          </w:tcPr>
          <w:p>
            <w:pPr>
              <w:pStyle w:val="Normal"/>
              <w:snapToGrid w:val="false"/>
              <w:spacing w:before="0" w:after="0"/>
              <w:rPr>
                <w:sz w:val="18"/>
                <w:szCs w:val="18"/>
              </w:rPr>
            </w:pPr>
            <w:r>
              <w:rPr>
                <w:sz w:val="18"/>
                <w:szCs w:val="18"/>
              </w:rPr>
            </w:r>
          </w:p>
        </w:tc>
      </w:tr>
    </w:tbl>
    <w:p>
      <w:pPr>
        <w:pStyle w:val="Normal"/>
        <w:spacing w:before="0" w:after="0"/>
        <w:rPr>
          <w:lang w:val="en-GB"/>
        </w:rPr>
      </w:pPr>
      <w:r>
        <w:rPr>
          <w:lang w:val="en-GB"/>
        </w:rPr>
        <w:t>(*) remark: during the comparison of the on-call bonus (“waakdienst/consignatie”) arrangements that are applicable at EuroBank and the PST Suppliers respectively, it was concluded that those arrangements are materially similar and therefore a € 0,- difference has been taken into account when determining the Harmonisation Costs.</w:t>
      </w:r>
      <w:r>
        <w:rPr>
          <w:i/>
          <w:lang w:val="en-GB"/>
        </w:rPr>
      </w:r>
      <w:r>
        <w:rPr>
          <w:lang w:val="en-GB"/>
        </w:rPr>
      </w:r>
      <w:r>
        <w:rPr>
          <w:i/>
          <w:lang w:val="en-GB"/>
        </w:rPr>
      </w:r>
      <w:r>
        <w:rPr>
          <w:lang w:val="en-GB"/>
        </w:rPr>
      </w:r>
    </w:p>
    <w:p>
      <w:pPr>
        <w:pStyle w:val="Heading3"/>
        <w:ind w:hanging="0" w:start="0"/>
        <w:rPr>
          <w:sz w:val="22"/>
          <w:szCs w:val="22"/>
          <w:lang w:val="en-GB"/>
        </w:rPr>
      </w:pPr>
      <w:bookmarkStart w:id="4" w:name="__RefHeading___Toc153714058"/>
      <w:bookmarkEnd w:id="4"/>
      <w:r>
        <w:rPr>
          <w:sz w:val="22"/>
          <w:szCs w:val="22"/>
          <w:lang w:val="en-GB"/>
        </w:rPr>
        <w:t>Not included in Harmonisation Lump Sum</w:t>
      </w:r>
    </w:p>
    <w:p>
      <w:pPr>
        <w:pStyle w:val="Normal"/>
        <w:spacing w:before="0" w:after="0"/>
        <w:jc w:val="both"/>
        <w:rPr>
          <w:lang w:val="en-GB"/>
        </w:rPr>
      </w:pPr>
      <w:r>
        <w:rPr>
          <w:lang w:val="en-GB"/>
        </w:rPr>
        <w:t>The following components are not included in the Harmonisation Lump Sum:</w:t>
      </w:r>
    </w:p>
    <w:p>
      <w:pPr>
        <w:pStyle w:val="Normal"/>
        <w:spacing w:before="0" w:after="0"/>
        <w:jc w:val="both"/>
        <w:rPr>
          <w:lang w:val="en-GB"/>
        </w:rPr>
      </w:pPr>
      <w:r>
        <w:rPr>
          <w:lang w:val="en-GB"/>
        </w:rPr>
      </w:r>
    </w:p>
    <w:p>
      <w:pPr>
        <w:pStyle w:val="Normal"/>
        <w:spacing w:before="0" w:after="0"/>
        <w:ind w:hanging="720" w:start="720" w:end="0"/>
        <w:jc w:val="both"/>
        <w:rPr>
          <w:lang w:val="en-GB"/>
        </w:rPr>
      </w:pPr>
      <w:r>
        <w:rPr>
          <w:lang w:val="en-GB"/>
        </w:rPr>
        <w:t>•</w:t>
      </w:r>
      <w:r>
        <w:rPr>
          <w:lang w:val="en-GB"/>
        </w:rPr>
        <w:tab/>
        <w:t>VAT</w:t>
      </w:r>
    </w:p>
    <w:p>
      <w:pPr>
        <w:pStyle w:val="Normal"/>
        <w:spacing w:before="0" w:after="0"/>
        <w:ind w:hanging="720" w:start="720" w:end="0"/>
        <w:jc w:val="both"/>
        <w:rPr>
          <w:lang w:val="en-GB"/>
        </w:rPr>
      </w:pPr>
      <w:r>
        <w:rPr>
          <w:lang w:val="en-GB"/>
        </w:rPr>
        <w:t>•</w:t>
      </w:r>
      <w:r>
        <w:rPr>
          <w:lang w:val="en-GB"/>
        </w:rPr>
        <w:tab/>
        <w:t>Old Age Pensions NL</w:t>
      </w:r>
    </w:p>
    <w:p>
      <w:pPr>
        <w:pStyle w:val="Normal"/>
        <w:spacing w:before="0" w:after="0"/>
        <w:ind w:hanging="720" w:start="1440" w:end="0"/>
        <w:jc w:val="both"/>
        <w:rPr/>
      </w:pPr>
      <w:r>
        <w:rPr>
          <w:lang w:val="en-GB"/>
        </w:rPr>
        <w:t>o</w:t>
        <w:tab/>
        <w:t>Pensions guarantee perspective (SKS)</w:t>
      </w:r>
    </w:p>
    <w:p>
      <w:pPr>
        <w:pStyle w:val="Normal"/>
        <w:spacing w:before="0" w:after="0"/>
        <w:ind w:hanging="720" w:start="1440" w:end="0"/>
        <w:jc w:val="both"/>
        <w:rPr>
          <w:lang w:val="en-GB"/>
        </w:rPr>
      </w:pPr>
      <w:r>
        <w:rPr>
          <w:lang w:val="en-GB"/>
        </w:rPr>
        <w:t>o</w:t>
        <w:tab/>
        <w:t>Pensions transfer of accrual (SKS)</w:t>
      </w:r>
    </w:p>
    <w:p>
      <w:pPr>
        <w:pStyle w:val="Normal"/>
        <w:spacing w:before="0" w:after="0"/>
        <w:ind w:hanging="720" w:start="1440" w:end="0"/>
        <w:jc w:val="both"/>
        <w:rPr>
          <w:lang w:val="en-GB"/>
        </w:rPr>
      </w:pPr>
      <w:r>
        <w:rPr>
          <w:lang w:val="en-GB"/>
        </w:rPr>
        <w:t xml:space="preserve">o </w:t>
        <w:tab/>
        <w:t>Pre-pensions and early VUT (Not applicable)</w:t>
      </w:r>
    </w:p>
    <w:p>
      <w:pPr>
        <w:pStyle w:val="Normal"/>
        <w:spacing w:before="0" w:after="0"/>
        <w:ind w:hanging="720" w:start="720" w:end="0"/>
        <w:jc w:val="both"/>
        <w:rPr>
          <w:lang w:val="en-GB"/>
        </w:rPr>
      </w:pPr>
      <w:r>
        <w:rPr>
          <w:lang w:val="en-GB"/>
        </w:rPr>
        <w:t>•</w:t>
        <w:tab/>
        <w:t>Direct buy-off amounts to Affected Employees by EuroBank</w:t>
      </w:r>
      <w:r>
        <w:rPr>
          <w:lang w:val="en-GB"/>
        </w:rPr>
      </w:r>
    </w:p>
    <w:p>
      <w:pPr>
        <w:pStyle w:val="Normal"/>
        <w:spacing w:before="0" w:after="0"/>
        <w:ind w:hanging="720" w:start="1440" w:end="0"/>
        <w:jc w:val="both"/>
        <w:rPr>
          <w:lang w:val="en-GB"/>
        </w:rPr>
      </w:pPr>
      <w:r>
        <w:rPr>
          <w:lang w:val="en-GB"/>
        </w:rPr>
        <w:t>o</w:t>
        <w:tab/>
        <w:t>Possible bonuses/commissions</w:t>
      </w:r>
    </w:p>
    <w:p>
      <w:pPr>
        <w:pStyle w:val="Normal"/>
        <w:spacing w:before="0" w:after="0"/>
        <w:ind w:hanging="720" w:start="1440" w:end="0"/>
        <w:jc w:val="both"/>
        <w:rPr>
          <w:lang w:val="en-GB"/>
        </w:rPr>
      </w:pPr>
      <w:r>
        <w:rPr>
          <w:lang w:val="en-GB"/>
        </w:rPr>
        <w:t>o</w:t>
        <w:tab/>
        <w:t>Possible end of year premiums</w:t>
      </w:r>
    </w:p>
    <w:p>
      <w:pPr>
        <w:pStyle w:val="Normal"/>
        <w:spacing w:before="0" w:after="0"/>
        <w:ind w:hanging="720" w:start="1440" w:end="0"/>
        <w:jc w:val="both"/>
        <w:rPr>
          <w:lang w:val="en-GB"/>
        </w:rPr>
      </w:pPr>
      <w:r>
        <w:rPr>
          <w:lang w:val="en-GB"/>
        </w:rPr>
        <w:t>o</w:t>
        <w:tab/>
        <w:t>Holiday allowance pro rato</w:t>
      </w:r>
    </w:p>
    <w:p>
      <w:pPr>
        <w:pStyle w:val="Normal"/>
        <w:spacing w:before="0" w:after="0"/>
        <w:ind w:hanging="720" w:start="1440" w:end="0"/>
        <w:jc w:val="both"/>
        <w:rPr>
          <w:lang w:val="en-GB"/>
        </w:rPr>
      </w:pPr>
      <w:r>
        <w:rPr>
          <w:lang w:val="en-GB"/>
        </w:rPr>
        <w:t>o</w:t>
        <w:tab/>
        <w:t>13th month pro rato</w:t>
      </w:r>
    </w:p>
    <w:p>
      <w:pPr>
        <w:pStyle w:val="Normal"/>
        <w:spacing w:before="0" w:after="0"/>
        <w:ind w:hanging="720" w:start="1440" w:end="0"/>
        <w:jc w:val="both"/>
        <w:rPr>
          <w:lang w:val="en-GB"/>
        </w:rPr>
      </w:pPr>
      <w:r>
        <w:rPr>
          <w:lang w:val="en-GB"/>
        </w:rPr>
        <w:t>o</w:t>
        <w:tab/>
        <w:t>profit sharing bonus</w:t>
      </w:r>
    </w:p>
    <w:p>
      <w:pPr>
        <w:pStyle w:val="Normal"/>
        <w:spacing w:before="0" w:after="0"/>
        <w:ind w:hanging="720" w:start="1440" w:end="0"/>
        <w:jc w:val="both"/>
        <w:rPr>
          <w:lang w:val="en-GB"/>
        </w:rPr>
      </w:pPr>
      <w:r>
        <w:rPr>
          <w:lang w:val="en-GB"/>
        </w:rPr>
        <w:t>o</w:t>
        <w:tab/>
        <w:t>Overtime hours and compensation time</w:t>
      </w:r>
    </w:p>
    <w:p>
      <w:pPr>
        <w:pStyle w:val="Normal"/>
        <w:spacing w:before="0" w:after="0"/>
        <w:ind w:hanging="720" w:start="1440" w:end="0"/>
        <w:jc w:val="both"/>
        <w:rPr>
          <w:lang w:val="en-GB"/>
        </w:rPr>
      </w:pPr>
      <w:r>
        <w:rPr>
          <w:lang w:val="en-GB"/>
        </w:rPr>
        <w:t>o</w:t>
        <w:tab/>
        <w:t>Extra sum for Life Course Scheme for workers 58+</w:t>
      </w:r>
    </w:p>
    <w:p>
      <w:pPr>
        <w:pStyle w:val="Normal"/>
        <w:spacing w:before="0" w:after="0"/>
        <w:ind w:hanging="720" w:start="1440" w:end="0"/>
        <w:jc w:val="both"/>
        <w:rPr/>
      </w:pPr>
      <w:r>
        <w:rPr>
          <w:lang w:val="en-GB"/>
        </w:rPr>
        <w:t>o</w:t>
        <w:tab/>
        <w:t>Differences in jubilee gratifications</w:t>
      </w:r>
    </w:p>
    <w:p>
      <w:pPr>
        <w:pStyle w:val="Normal"/>
        <w:spacing w:before="0" w:after="0"/>
        <w:ind w:hanging="720" w:start="1440" w:end="0"/>
        <w:jc w:val="both"/>
        <w:rPr>
          <w:lang w:val="en-GB"/>
        </w:rPr>
      </w:pPr>
      <w:r>
        <w:rPr>
          <w:lang w:val="en-GB"/>
        </w:rPr>
        <w:t>o</w:t>
        <w:tab/>
        <w:t>Interest discounts</w:t>
      </w:r>
    </w:p>
    <w:p>
      <w:pPr>
        <w:pStyle w:val="Normal"/>
        <w:spacing w:before="0" w:after="0"/>
        <w:ind w:hanging="720" w:start="1440" w:end="0"/>
        <w:jc w:val="both"/>
        <w:rPr>
          <w:lang w:val="en-GB"/>
        </w:rPr>
      </w:pPr>
      <w:r>
        <w:rPr>
          <w:lang w:val="en-GB"/>
        </w:rPr>
        <w:t>o</w:t>
        <w:tab/>
        <w:t>Discounts in insurance</w:t>
      </w:r>
    </w:p>
    <w:p>
      <w:pPr>
        <w:pStyle w:val="Normal"/>
        <w:spacing w:before="0" w:after="0"/>
        <w:ind w:hanging="720" w:start="1440" w:end="0"/>
        <w:jc w:val="both"/>
        <w:rPr>
          <w:lang w:val="en-GB"/>
        </w:rPr>
      </w:pPr>
      <w:r>
        <w:rPr>
          <w:lang w:val="en-GB"/>
        </w:rPr>
        <w:t>o</w:t>
        <w:tab/>
        <w:t>Stock options and CVA’s</w:t>
      </w:r>
    </w:p>
    <w:p>
      <w:pPr>
        <w:pStyle w:val="Normal"/>
        <w:spacing w:before="0" w:after="0"/>
        <w:ind w:hanging="720" w:start="1440" w:end="0"/>
        <w:jc w:val="both"/>
        <w:rPr>
          <w:lang w:val="en-GB"/>
        </w:rPr>
      </w:pPr>
      <w:r>
        <w:rPr>
          <w:lang w:val="en-GB"/>
        </w:rPr>
        <w:t>o</w:t>
        <w:tab/>
        <w:t>Profit sharing (WING)</w:t>
      </w:r>
    </w:p>
    <w:p>
      <w:pPr>
        <w:pStyle w:val="Normal"/>
        <w:spacing w:before="0" w:after="0"/>
        <w:ind w:hanging="720" w:start="1440" w:end="0"/>
        <w:jc w:val="both"/>
        <w:rPr>
          <w:lang w:val="en-GB"/>
        </w:rPr>
      </w:pPr>
      <w:r>
        <w:rPr>
          <w:lang w:val="en-GB"/>
        </w:rPr>
        <w:t>o</w:t>
        <w:tab/>
        <w:t>Differences in continued payment while ill or disabled, for the ill or disabled people at Commencement Date.</w:t>
      </w:r>
    </w:p>
    <w:p>
      <w:pPr>
        <w:pStyle w:val="Normal"/>
        <w:spacing w:before="0" w:after="0"/>
        <w:ind w:hanging="720" w:start="1440" w:end="0"/>
        <w:jc w:val="both"/>
        <w:rPr>
          <w:lang w:val="en-GB"/>
        </w:rPr>
      </w:pPr>
      <w:r>
        <w:rPr>
          <w:lang w:val="en-GB"/>
        </w:rPr>
        <w:t>o</w:t>
        <w:tab/>
        <w:t>Possible guarantees in health insurance contributions by EuroBank</w:t>
      </w:r>
    </w:p>
    <w:p>
      <w:pPr>
        <w:pStyle w:val="Normal"/>
        <w:spacing w:before="0" w:after="0"/>
        <w:ind w:hanging="720" w:start="1440" w:end="0"/>
        <w:jc w:val="both"/>
        <w:rPr>
          <w:lang w:val="en-GB"/>
        </w:rPr>
      </w:pPr>
      <w:r>
        <w:rPr>
          <w:lang w:val="en-GB"/>
        </w:rPr>
        <w:t>o</w:t>
        <w:tab/>
        <w:t>Employers contribution ANW-hiaat insurance</w:t>
      </w:r>
    </w:p>
    <w:p>
      <w:pPr>
        <w:pStyle w:val="Normal"/>
        <w:spacing w:before="0" w:after="0"/>
        <w:ind w:hanging="720" w:start="1440" w:end="0"/>
        <w:jc w:val="both"/>
        <w:rPr>
          <w:lang w:val="en-GB"/>
        </w:rPr>
      </w:pPr>
      <w:r>
        <w:rPr>
          <w:lang w:val="en-GB"/>
        </w:rPr>
        <w:t>o</w:t>
        <w:tab/>
        <w:t>Provision of sabbatical leave hours</w:t>
      </w:r>
    </w:p>
    <w:p>
      <w:pPr>
        <w:pStyle w:val="Normal"/>
        <w:spacing w:before="0" w:after="0"/>
        <w:ind w:hanging="720" w:start="1440" w:end="0"/>
        <w:jc w:val="both"/>
        <w:rPr/>
      </w:pPr>
      <w:r>
        <w:rPr>
          <w:lang w:val="en-GB"/>
        </w:rPr>
        <w:t>o</w:t>
        <w:tab/>
        <w:t>Provision of vacation days &gt; 1 year sum or total sum if Affected Employee wishes to have this paid off</w:t>
      </w:r>
    </w:p>
    <w:p>
      <w:pPr>
        <w:pStyle w:val="Normal"/>
        <w:spacing w:before="0" w:after="0"/>
        <w:ind w:hanging="720" w:start="1440" w:end="0"/>
        <w:jc w:val="both"/>
        <w:rPr>
          <w:lang w:val="en-GB"/>
        </w:rPr>
      </w:pPr>
      <w:r>
        <w:rPr>
          <w:lang w:val="en-GB"/>
        </w:rPr>
        <w:t>o</w:t>
        <w:tab/>
        <w:t>Lease bike</w:t>
      </w:r>
    </w:p>
    <w:p>
      <w:pPr>
        <w:pStyle w:val="Normal"/>
        <w:spacing w:before="0" w:after="0"/>
        <w:ind w:hanging="720" w:start="720" w:end="0"/>
        <w:jc w:val="both"/>
        <w:rPr/>
      </w:pPr>
      <w:r>
        <w:rPr>
          <w:lang w:val="en-GB"/>
        </w:rPr>
        <w:t>•</w:t>
      </w:r>
      <w:r>
        <w:rPr>
          <w:lang w:val="en-GB"/>
        </w:rPr>
        <w:tab/>
        <w:t>Possible extra demands Unions</w:t>
      </w:r>
    </w:p>
    <w:p>
      <w:pPr>
        <w:pStyle w:val="Normal"/>
        <w:spacing w:before="0" w:after="0"/>
        <w:ind w:hanging="720" w:start="720" w:end="0"/>
        <w:jc w:val="both"/>
        <w:rPr/>
      </w:pPr>
      <w:r>
        <w:rPr>
          <w:lang w:val="en-GB"/>
        </w:rPr>
        <w:t>•</w:t>
      </w:r>
      <w:r>
        <w:rPr>
          <w:lang w:val="en-GB"/>
        </w:rPr>
        <w:tab/>
        <w:t xml:space="preserve">Specific benefits (according to SKS or based on individual arrangements not known at this moment) </w:t>
      </w:r>
    </w:p>
    <w:p>
      <w:pPr>
        <w:pStyle w:val="Normal"/>
        <w:spacing w:before="0" w:after="0"/>
        <w:jc w:val="both"/>
        <w:rPr/>
      </w:pPr>
      <w:r>
        <w:rPr>
          <w:lang w:val="en-GB"/>
        </w:rPr>
        <w:t>•</w:t>
      </w:r>
      <w:r>
        <w:rPr>
          <w:lang w:val="en-GB"/>
        </w:rPr>
        <w:tab/>
        <w:t>Retention bonus</w:t>
      </w:r>
    </w:p>
    <w:p>
      <w:pPr>
        <w:pStyle w:val="Normal"/>
        <w:spacing w:before="0" w:after="0"/>
        <w:ind w:hanging="720" w:start="720" w:end="0"/>
        <w:jc w:val="both"/>
        <w:rPr>
          <w:lang w:val="en-GB"/>
        </w:rPr>
      </w:pPr>
      <w:r>
        <w:rPr>
          <w:lang w:val="en-GB"/>
        </w:rPr>
        <w:t>•</w:t>
      </w:r>
      <w:r>
        <w:rPr>
          <w:lang w:val="en-GB"/>
        </w:rPr>
        <w:tab/>
        <w:t>Compensation bonus</w:t>
      </w:r>
    </w:p>
    <w:p>
      <w:pPr>
        <w:pStyle w:val="Normal"/>
        <w:spacing w:before="0" w:after="0"/>
        <w:ind w:hanging="720" w:start="720" w:end="0"/>
        <w:jc w:val="both"/>
        <w:rPr>
          <w:lang w:val="en-GB"/>
        </w:rPr>
      </w:pPr>
      <w:r>
        <w:rPr>
          <w:lang w:val="en-GB"/>
        </w:rPr>
        <w:t>•</w:t>
      </w:r>
      <w:r>
        <w:rPr>
          <w:lang w:val="en-GB"/>
        </w:rPr>
        <w:tab/>
        <w:t>Provisions for e.g. illness, WAO, WIA, holidays, sabbatical, jubilee to be transferred</w:t>
      </w:r>
    </w:p>
    <w:p>
      <w:pPr>
        <w:pStyle w:val="Normal"/>
        <w:spacing w:before="0" w:after="0"/>
        <w:ind w:hanging="720" w:start="720" w:end="0"/>
        <w:jc w:val="both"/>
        <w:rPr>
          <w:lang w:val="en-GB"/>
        </w:rPr>
      </w:pPr>
      <w:r>
        <w:rPr>
          <w:lang w:val="en-GB"/>
        </w:rPr>
      </w:r>
    </w:p>
    <w:p>
      <w:pPr>
        <w:pStyle w:val="Heading3"/>
        <w:ind w:hanging="0" w:start="0"/>
        <w:rPr>
          <w:sz w:val="22"/>
          <w:szCs w:val="22"/>
          <w:lang w:val="en-GB"/>
        </w:rPr>
      </w:pPr>
      <w:r>
        <w:rPr>
          <w:sz w:val="22"/>
          <w:szCs w:val="22"/>
          <w:lang w:val="en-GB"/>
        </w:rPr>
      </w:r>
      <w:bookmarkStart w:id="5" w:name="__RefHeading___Toc153714059"/>
      <w:bookmarkStart w:id="6" w:name="__RefHeading___Toc153714059"/>
    </w:p>
    <w:p>
      <w:pPr>
        <w:pStyle w:val="Heading3"/>
        <w:ind w:hanging="0" w:start="0"/>
        <w:rPr>
          <w:sz w:val="22"/>
          <w:szCs w:val="22"/>
          <w:lang w:val="en-GB"/>
        </w:rPr>
      </w:pPr>
      <w:r>
        <w:rPr>
          <w:sz w:val="22"/>
          <w:szCs w:val="22"/>
          <w:lang w:val="en-GB"/>
        </w:rPr>
      </w:r>
    </w:p>
    <w:p>
      <w:pPr>
        <w:pStyle w:val="Heading3"/>
        <w:ind w:hanging="0" w:start="0"/>
        <w:rPr>
          <w:sz w:val="22"/>
          <w:szCs w:val="22"/>
          <w:lang w:val="en-GB"/>
        </w:rPr>
      </w:pPr>
      <w:bookmarkStart w:id="7" w:name="__RefHeading___Toc153714059"/>
      <w:r>
        <w:rPr>
          <w:sz w:val="22"/>
          <w:szCs w:val="22"/>
          <w:lang w:val="en-GB"/>
        </w:rPr>
        <w:t>General</w:t>
      </w:r>
      <w:bookmarkEnd w:id="7"/>
    </w:p>
    <w:p>
      <w:pPr>
        <w:pStyle w:val="Normal"/>
        <w:numPr>
          <w:ilvl w:val="0"/>
          <w:numId w:val="6"/>
        </w:numPr>
        <w:spacing w:before="0" w:after="0"/>
        <w:jc w:val="both"/>
        <w:rPr>
          <w:lang w:val="en-GB"/>
        </w:rPr>
      </w:pPr>
      <w:r>
        <w:rPr>
          <w:lang w:val="en-GB"/>
        </w:rPr>
        <w:t>The methodology for calculation of the Harmonisation Costs as set out in this Attachment shall be applied for any future transfer of Affected Employees resulting from the inclusion of the activities performed by additional EuroBank departments (such as “ISSNL”) within the SWS Function.</w:t>
      </w:r>
    </w:p>
    <w:p>
      <w:pPr>
        <w:pStyle w:val="Normal"/>
        <w:spacing w:before="0" w:after="0"/>
        <w:jc w:val="both"/>
        <w:rPr>
          <w:szCs w:val="22"/>
          <w:lang w:val="en-GB"/>
        </w:rPr>
      </w:pPr>
      <w:r>
        <w:rPr>
          <w:szCs w:val="22"/>
          <w:lang w:val="en-GB"/>
        </w:rPr>
      </w:r>
    </w:p>
    <w:p>
      <w:pPr>
        <w:pStyle w:val="Normal"/>
        <w:numPr>
          <w:ilvl w:val="0"/>
          <w:numId w:val="6"/>
        </w:numPr>
        <w:spacing w:before="0" w:after="0"/>
        <w:jc w:val="both"/>
        <w:rPr>
          <w:lang w:val="en-GB"/>
        </w:rPr>
      </w:pPr>
      <w:r>
        <w:rPr>
          <w:lang w:val="en-GB"/>
        </w:rPr>
        <w:t>EuroBank may require the Commencement Date to occur notwithstanding that certain Affected Employees may not transfer at that time due to errors in the calculation of their individual harmonization amounts. In such circumstances EuroBank will notify the relevant PST of the identity of such Affected Employees and seek to resolve the errors as soon as practicable in order to execute the transfer of such Affected Employees. EuroBank shall not suffer any penalty and EuroBank and the relevant PST Supplier shall cooperate with a view to minimizing the impact of any such non-transfer at the Commencement Date. In any event EuroBank shall have a grace period of one calendar month during which to arrange for the transfer of such Affected Employees. During the period such Affected Employees remain employed by EuroBank an abatement of the Base Charges shall be made by the PST to reflect the continued employment by EuroBank of the relevant Affected Employees.</w:t>
      </w:r>
    </w:p>
    <w:p>
      <w:pPr>
        <w:pStyle w:val="Normal"/>
        <w:spacing w:before="0" w:after="0"/>
        <w:ind w:start="360" w:end="0"/>
        <w:jc w:val="both"/>
        <w:rPr>
          <w:lang w:val="en-GB"/>
        </w:rPr>
      </w:pPr>
      <w:r>
        <w:rPr>
          <w:lang w:val="en-GB"/>
        </w:rPr>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lang w:val="en-GB"/>
        </w:rPr>
      </w:pPr>
      <w:r>
        <w:rPr>
          <w:lang w:val="en-GB"/>
        </w:rPr>
      </w:r>
    </w:p>
    <w:p>
      <w:pPr>
        <w:pStyle w:val="Normal"/>
        <w:spacing w:before="0" w:after="0"/>
        <w:jc w:val="both"/>
        <w:rPr>
          <w:lang w:val="en-GB"/>
        </w:rPr>
      </w:pPr>
      <w:r>
        <w:rPr>
          <w:lang w:val="en-GB"/>
        </w:rPr>
      </w:r>
    </w:p>
    <w:p>
      <w:pPr>
        <w:pStyle w:val="Normal"/>
        <w:spacing w:before="0" w:after="0"/>
        <w:jc w:val="both"/>
        <w:rPr>
          <w:lang w:val="en-GB"/>
        </w:rPr>
      </w:pPr>
      <w:r>
        <w:rPr>
          <w:lang w:val="en-GB"/>
        </w:rPr>
      </w:r>
    </w:p>
    <w:sectPr>
      <w:headerReference w:type="default" r:id="rId8"/>
      <w:headerReference w:type="first" r:id="rId9"/>
      <w:footerReference w:type="default" r:id="rId10"/>
      <w:footerReference w:type="first" r:id="rId11"/>
      <w:type w:val="nextPage"/>
      <w:pgSz w:w="11906" w:h="16838"/>
      <w:pgMar w:left="1729" w:right="1729" w:gutter="0" w:header="720" w:top="776" w:footer="720" w:bottom="109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Bold">
    <w:altName w:val="Times New Roman"/>
    <w:charset w:val="00" w:characterSet="windows-1252"/>
    <w:family w:val="roman"/>
    <w:pitch w:val="default"/>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rPr>
        <w:sz w:val="16"/>
        <w:szCs w:val="16"/>
      </w:rPr>
    </w:pPr>
    <w:r>
      <w:rPr>
        <w:sz w:val="16"/>
        <w:szCs w:val="16"/>
      </w:rPr>
      <w:t>Ops&amp;IT Banking Confidential</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left" w:pos="4320" w:leader="none"/>
        <w:tab w:val="left" w:pos="7560" w:leader="none"/>
      </w:tabs>
      <w:spacing w:before="120" w:after="120"/>
      <w:rPr/>
    </w:pPr>
    <w:r>
      <w:rPr>
        <w:sz w:val="16"/>
        <w:szCs w:val="16"/>
      </w:rPr>
      <w:t>Ops&amp;IT Banking Confidential</w:t>
      <w:tab/>
      <w:t xml:space="preserve">- </w:t>
    </w:r>
    <w:r>
      <w:rPr>
        <w:sz w:val="16"/>
        <w:szCs w:val="16"/>
      </w:rPr>
      <w:fldChar w:fldCharType="begin"/>
    </w:r>
    <w:r>
      <w:rPr>
        <w:sz w:val="16"/>
        <w:szCs w:val="16"/>
      </w:rPr>
      <w:instrText xml:space="preserve"> PAGE </w:instrText>
    </w:r>
    <w:r>
      <w:rPr>
        <w:sz w:val="16"/>
        <w:szCs w:val="16"/>
      </w:rPr>
      <w:fldChar w:fldCharType="separate"/>
    </w:r>
    <w:r>
      <w:rPr>
        <w:sz w:val="16"/>
        <w:szCs w:val="16"/>
      </w:rPr>
      <w:t>i</w:t>
    </w:r>
    <w:r>
      <w:rPr>
        <w:sz w:val="16"/>
        <w:szCs w:val="16"/>
      </w:rPr>
      <w:fldChar w:fldCharType="end"/>
    </w:r>
    <w:r>
      <w:rPr>
        <w:sz w:val="16"/>
        <w:szCs w:val="16"/>
      </w:rPr>
      <w:t xml:space="preserve"> -</w:t>
      <w:tab/>
      <w:t>30/11/2006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left" w:pos="4320" w:leader="none"/>
        <w:tab w:val="left" w:pos="7560" w:leader="none"/>
      </w:tabs>
      <w:spacing w:before="120" w:after="120"/>
      <w:rPr>
        <w:sz w:val="16"/>
        <w:szCs w:val="16"/>
      </w:rPr>
    </w:pPr>
    <w:r>
      <w:rPr>
        <w:sz w:val="16"/>
        <w:szCs w:val="16"/>
      </w:rPr>
    </w:r>
  </w:p>
  <w:p>
    <w:pPr>
      <w:pStyle w:val="Footer"/>
      <w:tabs>
        <w:tab w:val="clear" w:pos="8640"/>
        <w:tab w:val="left" w:pos="4320" w:leader="none"/>
        <w:tab w:val="left" w:pos="7560" w:leader="none"/>
      </w:tabs>
      <w:spacing w:before="120" w:after="120"/>
      <w:rPr/>
    </w:pPr>
    <w:r>
      <w:rPr>
        <w:sz w:val="16"/>
        <w:szCs w:val="16"/>
      </w:rPr>
      <w:t>Ops&amp;IT Banking Confidential</w:t>
      <w:tab/>
      <w:t xml:space="preserve">- </w:t>
    </w:r>
    <w:r>
      <w:rPr>
        <w:sz w:val="16"/>
        <w:szCs w:val="16"/>
      </w:rPr>
      <w:fldChar w:fldCharType="begin"/>
    </w:r>
    <w:r>
      <w:rPr>
        <w:sz w:val="16"/>
        <w:szCs w:val="16"/>
      </w:rPr>
      <w:instrText xml:space="preserve"> PAGE </w:instrText>
    </w:r>
    <w:r>
      <w:rPr>
        <w:sz w:val="16"/>
        <w:szCs w:val="16"/>
      </w:rPr>
      <w:fldChar w:fldCharType="separate"/>
    </w:r>
    <w:r>
      <w:rPr>
        <w:sz w:val="16"/>
        <w:szCs w:val="16"/>
      </w:rPr>
      <w:t>4</w:t>
    </w:r>
    <w:r>
      <w:rPr>
        <w:sz w:val="16"/>
        <w:szCs w:val="16"/>
      </w:rPr>
      <w:fldChar w:fldCharType="end"/>
    </w:r>
    <w:r>
      <w:rPr>
        <w:sz w:val="16"/>
        <w:szCs w:val="16"/>
      </w:rPr>
      <w:t xml:space="preserve"> -</w:t>
      <w:tab/>
      <w:t>30/11/2006</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sz w:val="20"/>
      </w:rPr>
      <w:drawing>
        <wp:inline distT="0" distB="0" distL="0" distR="0">
          <wp:extent cx="965200" cy="284480"/>
          <wp:effectExtent l="0" t="0" r="0" b="0"/>
          <wp:docPr id="1"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Attachment 5-J(1) (Harmonisation Costs - NL) Final v2.5.doc</w:t>
    </w:r>
    <w:r>
      <w:rPr>
        <w:sz w:val="16"/>
        <w:szCs w:val="16"/>
      </w:rPr>
      <w:fldChar w:fldCharType="end"/>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sz w:val="20"/>
      </w:rPr>
      <w:drawing>
        <wp:inline distT="0" distB="0" distL="0" distR="0">
          <wp:extent cx="965200" cy="284480"/>
          <wp:effectExtent l="0" t="0" r="0" b="0"/>
          <wp:docPr id="2"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Attachment 5-J(1) (Harmonisation Costs - NL) Final v2.5.doc</w:t>
    </w:r>
    <w:r>
      <w:rPr>
        <w:sz w:val="16"/>
        <w:szCs w:val="16"/>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sz w:val="20"/>
      </w:rPr>
      <w:drawing>
        <wp:inline distT="0" distB="0" distL="0" distR="0">
          <wp:extent cx="965200" cy="284480"/>
          <wp:effectExtent l="0" t="0" r="0" b="0"/>
          <wp:docPr id="3" name="Image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Copy 1"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Attachment 5-J(1) (Harmonisation Costs - NL) Final v2.5.doc</w:t>
    </w:r>
    <w:r>
      <w:rPr>
        <w:sz w:val="16"/>
        <w:szCs w:val="16"/>
      </w:rPr>
      <w:fldChar w:fldCharType="end"/>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20"/>
        </w:tabs>
        <w:ind w:start="720" w:hanging="720"/>
      </w:pPr>
      <w:rPr>
        <w:sz w:val="22"/>
        <w:i w:val="false"/>
        <w:b/>
        <w:szCs w:val="22"/>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8"/>
        <w:i w:val="false"/>
        <w:b/>
        <w:rFonts w:ascii="Times New Roman Bold;Times New Roman" w:hAnsi="Times New Roman Bold;Times New Roman" w:cs="Times New Roman Bold;Times New Roman"/>
      </w:rPr>
    </w:lvl>
    <w:lvl w:ilvl="2">
      <w:start w:val="1"/>
      <w:numFmt w:val="decimal"/>
      <w:lvlText w:val="%1.%2.%3"/>
      <w:lvlJc w:val="start"/>
      <w:pPr>
        <w:tabs>
          <w:tab w:val="num" w:pos="720"/>
        </w:tabs>
        <w:ind w:start="720" w:hanging="720"/>
      </w:pPr>
      <w:rPr>
        <w:sz w:val="24"/>
        <w:i w:val="false"/>
        <w:b/>
        <w:rFonts w:ascii="Times New Roman" w:hAnsi="Times New Roman" w:cs="Times New Roman"/>
      </w:rPr>
    </w:lvl>
    <w:lvl w:ilvl="3">
      <w:start w:val="1"/>
      <w:numFmt w:val="decimal"/>
      <w:lvlText w:val="%1.%2.%3.%4"/>
      <w:lvlJc w:val="start"/>
      <w:pPr>
        <w:tabs>
          <w:tab w:val="num" w:pos="720"/>
        </w:tabs>
        <w:ind w:start="720" w:hanging="720"/>
      </w:pPr>
      <w:rPr>
        <w:sz w:val="24"/>
        <w:i w:val="false"/>
        <w:b/>
        <w:rFonts w:ascii="Times New Roman" w:hAnsi="Times New Roman" w:cs="Times New Roman"/>
      </w:rPr>
    </w:lvl>
    <w:lvl w:ilvl="4">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3">
    <w:lvl w:ilvl="0">
      <w:start w:val="1"/>
      <w:numFmt w:val="bullet"/>
      <w:lvlText w:val=""/>
      <w:lvlJc w:val="start"/>
      <w:pPr>
        <w:tabs>
          <w:tab w:val="num" w:pos="1800"/>
        </w:tabs>
        <w:ind w:start="1800" w:hanging="360"/>
      </w:pPr>
      <w:rPr>
        <w:rFonts w:ascii="Symbol" w:hAnsi="Symbol" w:cs="Symbol" w:hint="default"/>
      </w:rPr>
    </w:lvl>
  </w:abstractNum>
  <w:abstractNum w:abstractNumId="4">
    <w:lvl w:ilvl="0">
      <w:start w:val="1"/>
      <w:numFmt w:val="decimal"/>
      <w:lvlText w:val="%1."/>
      <w:lvlJc w:val="start"/>
      <w:pPr>
        <w:tabs>
          <w:tab w:val="num" w:pos="1440"/>
        </w:tabs>
        <w:ind w:start="1440" w:hanging="360"/>
      </w:pPr>
      <w:rPr>
        <w:sz w:val="22"/>
        <w:i w:val="false"/>
        <w:b w:val="false"/>
        <w:rFonts w:ascii="Times New Roman" w:hAnsi="Times New Roman" w:cs="Times New Roman"/>
        <w:color w:val="000000"/>
      </w:rPr>
    </w:lvl>
    <w:lvl w:ilvl="1">
      <w:start w:val="1"/>
      <w:numFmt w:val="decimal"/>
      <w:lvlText w:val="%1.%2."/>
      <w:lvlJc w:val="start"/>
      <w:pPr>
        <w:tabs>
          <w:tab w:val="num" w:pos="1728"/>
        </w:tabs>
        <w:ind w:start="1728" w:hanging="619"/>
      </w:pPr>
      <w:rPr>
        <w:sz w:val="22"/>
        <w:i w:val="false"/>
        <w:b w:val="false"/>
        <w:rFonts w:ascii="Times New Roman" w:hAnsi="Times New Roman" w:cs="Times New Roman"/>
      </w:rPr>
    </w:lvl>
    <w:lvl w:ilvl="2">
      <w:start w:val="1"/>
      <w:numFmt w:val="decimal"/>
      <w:lvlText w:val="%1.%2.%3."/>
      <w:lvlJc w:val="start"/>
      <w:pPr>
        <w:tabs>
          <w:tab w:val="num" w:pos="2016"/>
        </w:tabs>
        <w:ind w:start="2016" w:hanging="878"/>
      </w:pPr>
      <w:rPr>
        <w:sz w:val="22"/>
        <w:i w:val="false"/>
        <w:b w:val="false"/>
        <w:rFonts w:ascii="Times New Roman" w:hAnsi="Times New Roman" w:cs="Times New Roman"/>
      </w:rPr>
    </w:lvl>
    <w:lvl w:ilvl="3">
      <w:start w:val="1"/>
      <w:numFmt w:val="decimal"/>
      <w:lvlText w:val="%1.%2.%3.%4."/>
      <w:lvlJc w:val="start"/>
      <w:pPr>
        <w:tabs>
          <w:tab w:val="num" w:pos="2304"/>
        </w:tabs>
        <w:ind w:start="2304" w:hanging="1138"/>
      </w:pPr>
      <w:rPr>
        <w:sz w:val="22"/>
        <w:i w:val="false"/>
        <w:b w:val="false"/>
        <w:rFonts w:ascii="Times New Roman" w:hAnsi="Times New Roman" w:cs="Times New Roman"/>
      </w:rPr>
    </w:lvl>
    <w:lvl w:ilvl="4">
      <w:start w:val="1"/>
      <w:numFmt w:val="none"/>
      <w:suff w:val="nothing"/>
      <w:lvlText w:val=""/>
      <w:lvlJc w:val="start"/>
      <w:pPr>
        <w:tabs>
          <w:tab w:val="num" w:pos="1080"/>
        </w:tabs>
        <w:ind w:start="720" w:hanging="0"/>
      </w:pPr>
      <w:rPr/>
    </w:lvl>
    <w:lvl w:ilvl="5">
      <w:start w:val="1"/>
      <w:numFmt w:val="none"/>
      <w:suff w:val="nothing"/>
      <w:lvlText w:val=""/>
      <w:lvlJc w:val="start"/>
      <w:pPr>
        <w:tabs>
          <w:tab w:val="num" w:pos="1080"/>
        </w:tabs>
        <w:ind w:start="720" w:hanging="0"/>
      </w:pPr>
      <w:rPr/>
    </w:lvl>
    <w:lvl w:ilvl="6">
      <w:start w:val="1"/>
      <w:numFmt w:val="none"/>
      <w:suff w:val="nothing"/>
      <w:lvlText w:val=""/>
      <w:lvlJc w:val="start"/>
      <w:pPr>
        <w:tabs>
          <w:tab w:val="num" w:pos="1080"/>
        </w:tabs>
        <w:ind w:start="720" w:hanging="0"/>
      </w:pPr>
      <w:rPr/>
    </w:lvl>
    <w:lvl w:ilvl="7">
      <w:start w:val="1"/>
      <w:numFmt w:val="none"/>
      <w:suff w:val="nothing"/>
      <w:lvlText w:val=""/>
      <w:lvlJc w:val="start"/>
      <w:pPr>
        <w:tabs>
          <w:tab w:val="num" w:pos="1080"/>
        </w:tabs>
        <w:ind w:start="720" w:hanging="0"/>
      </w:pPr>
      <w:rPr/>
    </w:lvl>
    <w:lvl w:ilvl="8">
      <w:start w:val="1"/>
      <w:numFmt w:val="none"/>
      <w:suff w:val="nothing"/>
      <w:lvlText w:val=""/>
      <w:lvlJc w:val="start"/>
      <w:pPr>
        <w:tabs>
          <w:tab w:val="num" w:pos="1080"/>
        </w:tabs>
        <w:ind w:start="720" w:hanging="0"/>
      </w:pPr>
      <w:rPr/>
    </w:lvl>
  </w:abstractNum>
  <w:abstractNum w:abstractNumId="5">
    <w:lvl w:ilvl="0">
      <w:start w:val="1"/>
      <w:numFmt w:val="decimal"/>
      <w:lvlText w:val="%1."/>
      <w:lvlJc w:val="start"/>
      <w:pPr>
        <w:tabs>
          <w:tab w:val="num" w:pos="720"/>
        </w:tabs>
        <w:ind w:start="720" w:hanging="360"/>
      </w:pPr>
      <w:rPr>
        <w:sz w:val="22"/>
        <w:i w:val="false"/>
        <w:b w:val="false"/>
        <w:rFonts w:ascii="Times New Roman" w:hAnsi="Times New Roman" w:cs="Times New Roman"/>
        <w:color w:val="000000"/>
      </w:rPr>
    </w:lvl>
    <w:lvl w:ilvl="1">
      <w:start w:val="1"/>
      <w:numFmt w:val="decimal"/>
      <w:lvlText w:val="%1.%2."/>
      <w:lvlJc w:val="start"/>
      <w:pPr>
        <w:tabs>
          <w:tab w:val="num" w:pos="1008"/>
        </w:tabs>
        <w:ind w:start="1008" w:hanging="619"/>
      </w:pPr>
      <w:rPr>
        <w:sz w:val="22"/>
        <w:i w:val="false"/>
        <w:b w:val="false"/>
        <w:rFonts w:ascii="Times New Roman" w:hAnsi="Times New Roman" w:cs="Times New Roman"/>
      </w:rPr>
    </w:lvl>
    <w:lvl w:ilvl="2">
      <w:start w:val="1"/>
      <w:numFmt w:val="decimal"/>
      <w:lvlText w:val="%1.%2.%3."/>
      <w:lvlJc w:val="start"/>
      <w:pPr>
        <w:tabs>
          <w:tab w:val="num" w:pos="1296"/>
        </w:tabs>
        <w:ind w:start="1296" w:hanging="878"/>
      </w:pPr>
      <w:rPr>
        <w:sz w:val="22"/>
        <w:i w:val="false"/>
        <w:b w:val="false"/>
        <w:rFonts w:ascii="Times New Roman" w:hAnsi="Times New Roman" w:cs="Times New Roman"/>
      </w:rPr>
    </w:lvl>
    <w:lvl w:ilvl="3">
      <w:start w:val="1"/>
      <w:numFmt w:val="decimal"/>
      <w:lvlText w:val="%1.%2.%3.%4."/>
      <w:lvlJc w:val="start"/>
      <w:pPr>
        <w:tabs>
          <w:tab w:val="num" w:pos="1440"/>
        </w:tabs>
        <w:ind w:start="1440" w:hanging="994"/>
      </w:pPr>
      <w:rPr>
        <w:sz w:val="22"/>
        <w:i w:val="false"/>
        <w:b w:val="false"/>
        <w:rFonts w:ascii="Times New Roman" w:hAnsi="Times New Roman" w:cs="Times New Roman"/>
      </w:rPr>
    </w:lvl>
    <w:lvl w:ilvl="4">
      <w:start w:val="1"/>
      <w:numFmt w:val="none"/>
      <w:suff w:val="nothing"/>
      <w:lvlText w:val=""/>
      <w:lvlJc w:val="start"/>
      <w:pPr>
        <w:tabs>
          <w:tab w:val="num" w:pos="360"/>
        </w:tabs>
        <w:ind w:start="0" w:hanging="0"/>
      </w:pPr>
      <w:rPr/>
    </w:lvl>
    <w:lvl w:ilvl="5">
      <w:start w:val="1"/>
      <w:numFmt w:val="none"/>
      <w:suff w:val="nothing"/>
      <w:lvlText w:val=""/>
      <w:lvlJc w:val="start"/>
      <w:pPr>
        <w:tabs>
          <w:tab w:val="num" w:pos="360"/>
        </w:tabs>
        <w:ind w:start="0" w:hanging="0"/>
      </w:pPr>
      <w:rPr/>
    </w:lvl>
    <w:lvl w:ilvl="6">
      <w:start w:val="1"/>
      <w:numFmt w:val="none"/>
      <w:suff w:val="nothing"/>
      <w:lvlText w:val=""/>
      <w:lvlJc w:val="start"/>
      <w:pPr>
        <w:tabs>
          <w:tab w:val="num" w:pos="360"/>
        </w:tabs>
        <w:ind w:start="0" w:hanging="0"/>
      </w:pPr>
      <w:rPr/>
    </w:lvl>
    <w:lvl w:ilvl="7">
      <w:start w:val="1"/>
      <w:numFmt w:val="none"/>
      <w:suff w:val="nothing"/>
      <w:lvlText w:val=""/>
      <w:lvlJc w:val="start"/>
      <w:pPr>
        <w:tabs>
          <w:tab w:val="num" w:pos="360"/>
        </w:tabs>
        <w:ind w:start="0" w:hanging="0"/>
      </w:pPr>
      <w:rPr/>
    </w:lvl>
    <w:lvl w:ilvl="8">
      <w:start w:val="1"/>
      <w:numFmt w:val="none"/>
      <w:suff w:val="nothing"/>
      <w:lvlText w:val=""/>
      <w:lvlJc w:val="start"/>
      <w:pPr>
        <w:tabs>
          <w:tab w:val="num" w:pos="360"/>
        </w:tabs>
        <w:ind w:start="0" w:hanging="0"/>
      </w:pPr>
      <w:rPr/>
    </w:lvl>
  </w:abstractNum>
  <w:abstractNum w:abstractNumId="6">
    <w:lvl w:ilvl="0">
      <w:start w:val="1"/>
      <w:numFmt w:val="decimal"/>
      <w:lvlText w:val="%1."/>
      <w:lvlJc w:val="start"/>
      <w:pPr>
        <w:tabs>
          <w:tab w:val="num" w:pos="720"/>
        </w:tabs>
        <w:ind w:start="720" w:hanging="360"/>
      </w:pPr>
      <w:rPr/>
    </w:lvl>
  </w:abstractNum>
  <w:abstractNum w:abstractNumId="7">
    <w:lvl w:ilvl="0">
      <w:start w:val="1"/>
      <w:numFmt w:val="decimal"/>
      <w:lvlText w:val="%1."/>
      <w:lvlJc w:val="start"/>
      <w:pPr>
        <w:tabs>
          <w:tab w:val="num" w:pos="720"/>
        </w:tabs>
        <w:ind w:start="720" w:hanging="360"/>
      </w:pPr>
      <w:rPr/>
    </w:lvl>
  </w:abstractNum>
  <w:abstractNum w:abstractNumId="8">
    <w:lvl w:ilvl="0">
      <w:start w:val="1"/>
      <w:numFmt w:val="bullet"/>
      <w:lvlText w:val=""/>
      <w:lvlJc w:val="start"/>
      <w:pPr>
        <w:tabs>
          <w:tab w:val="num" w:pos="720"/>
        </w:tabs>
        <w:ind w:start="720" w:hanging="360"/>
      </w:pPr>
      <w:rPr>
        <w:rFonts w:ascii="Symbol" w:hAnsi="Symbol" w:cs="Symbol" w:hint="default"/>
      </w:rPr>
    </w:lvl>
  </w:abstractNum>
  <w:abstractNum w:abstractNumId="9">
    <w:lvl w:ilvl="0">
      <w:start w:val="1"/>
      <w:numFmt w:val="bullet"/>
      <w:lvlText w:val=""/>
      <w:lvlJc w:val="start"/>
      <w:pPr>
        <w:tabs>
          <w:tab w:val="num" w:pos="360"/>
        </w:tabs>
        <w:ind w:start="36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before="120" w:after="120"/>
    </w:pPr>
    <w:rPr>
      <w:rFonts w:ascii="Times New Roman" w:hAnsi="Times New Roman" w:eastAsia="Times New Roman" w:cs="Times New Roman"/>
      <w:color w:val="auto"/>
      <w:sz w:val="22"/>
      <w:szCs w:val="24"/>
      <w:lang w:val="en-US" w:bidi="ar-SA" w:eastAsia="zh-CN"/>
    </w:rPr>
  </w:style>
  <w:style w:type="paragraph" w:styleId="Heading1">
    <w:name w:val="heading 1"/>
    <w:basedOn w:val="Normal"/>
    <w:next w:val="Normal"/>
    <w:qFormat/>
    <w:pPr>
      <w:numPr>
        <w:ilvl w:val="0"/>
        <w:numId w:val="1"/>
      </w:numPr>
      <w:tabs>
        <w:tab w:val="clear" w:pos="720"/>
        <w:tab w:val="left" w:pos="360" w:leader="none"/>
      </w:tabs>
      <w:spacing w:before="240" w:after="240"/>
      <w:outlineLvl w:val="0"/>
    </w:pPr>
    <w:rPr>
      <w:rFonts w:ascii="Times New Roman Bold;Times New Roman" w:hAnsi="Times New Roman Bold;Times New Roman" w:cs="Arial"/>
      <w:b/>
      <w:bCs/>
      <w:caps/>
      <w:kern w:val="2"/>
      <w:sz w:val="28"/>
      <w:szCs w:val="32"/>
    </w:rPr>
  </w:style>
  <w:style w:type="paragraph" w:styleId="Heading2">
    <w:name w:val="heading 2"/>
    <w:basedOn w:val="Heading1"/>
    <w:next w:val="Normal"/>
    <w:qFormat/>
    <w:pPr>
      <w:numPr>
        <w:ilvl w:val="1"/>
        <w:numId w:val="1"/>
      </w:numPr>
      <w:outlineLvl w:val="1"/>
    </w:pPr>
    <w:rPr>
      <w:bCs w:val="false"/>
      <w:iCs/>
      <w:caps w:val="false"/>
      <w:smallCaps w:val="false"/>
      <w:szCs w:val="28"/>
    </w:rPr>
  </w:style>
  <w:style w:type="paragraph" w:styleId="Heading3">
    <w:name w:val="heading 3"/>
    <w:basedOn w:val="Heading2"/>
    <w:next w:val="Normal"/>
    <w:qFormat/>
    <w:pPr>
      <w:numPr>
        <w:ilvl w:val="2"/>
        <w:numId w:val="1"/>
      </w:numPr>
      <w:outlineLvl w:val="2"/>
    </w:pPr>
    <w:rPr>
      <w:bCs/>
      <w:sz w:val="24"/>
      <w:szCs w:val="26"/>
    </w:rPr>
  </w:style>
  <w:style w:type="paragraph" w:styleId="Heading4">
    <w:name w:val="heading 4"/>
    <w:basedOn w:val="Heading3"/>
    <w:next w:val="Normal"/>
    <w:qFormat/>
    <w:pPr>
      <w:numPr>
        <w:ilvl w:val="3"/>
        <w:numId w:val="1"/>
      </w:numPr>
      <w:outlineLvl w:val="3"/>
    </w:pPr>
    <w:rPr>
      <w:bCs w:val="false"/>
      <w:szCs w:val="28"/>
    </w:rPr>
  </w:style>
  <w:style w:type="paragraph" w:styleId="Heading5">
    <w:name w:val="heading 5"/>
    <w:basedOn w:val="Normal"/>
    <w:next w:val="Normal"/>
    <w:qFormat/>
    <w:pPr>
      <w:numPr>
        <w:ilvl w:val="4"/>
        <w:numId w:val="1"/>
      </w:numPr>
      <w:tabs>
        <w:tab w:val="clear" w:pos="720"/>
        <w:tab w:val="left" w:pos="360" w:leader="none"/>
      </w:tabs>
      <w:spacing w:before="240" w:after="60"/>
      <w:outlineLvl w:val="4"/>
    </w:pPr>
    <w:rPr>
      <w:b/>
      <w:bCs/>
      <w:i/>
      <w:iCs/>
      <w:sz w:val="26"/>
      <w:szCs w:val="26"/>
    </w:rPr>
  </w:style>
  <w:style w:type="paragraph" w:styleId="Heading6">
    <w:name w:val="heading 6"/>
    <w:basedOn w:val="Normal"/>
    <w:next w:val="Normal"/>
    <w:qFormat/>
    <w:pPr>
      <w:numPr>
        <w:ilvl w:val="5"/>
        <w:numId w:val="1"/>
      </w:numPr>
      <w:tabs>
        <w:tab w:val="clear" w:pos="720"/>
        <w:tab w:val="left" w:pos="360" w:leader="none"/>
      </w:tabs>
      <w:spacing w:before="240" w:after="60"/>
      <w:outlineLvl w:val="5"/>
    </w:pPr>
    <w:rPr>
      <w:b/>
      <w:bCs/>
      <w:szCs w:val="22"/>
    </w:rPr>
  </w:style>
  <w:style w:type="paragraph" w:styleId="Heading7">
    <w:name w:val="heading 7"/>
    <w:basedOn w:val="Normal"/>
    <w:next w:val="Normal"/>
    <w:qFormat/>
    <w:pPr>
      <w:numPr>
        <w:ilvl w:val="6"/>
        <w:numId w:val="1"/>
      </w:numPr>
      <w:tabs>
        <w:tab w:val="clear" w:pos="720"/>
        <w:tab w:val="left" w:pos="360" w:leader="none"/>
      </w:tabs>
      <w:spacing w:before="240" w:after="60"/>
      <w:outlineLvl w:val="6"/>
    </w:pPr>
    <w:rPr>
      <w:sz w:val="24"/>
    </w:rPr>
  </w:style>
  <w:style w:type="paragraph" w:styleId="Heading8">
    <w:name w:val="heading 8"/>
    <w:basedOn w:val="Normal"/>
    <w:next w:val="Normal"/>
    <w:qFormat/>
    <w:pPr>
      <w:numPr>
        <w:ilvl w:val="7"/>
        <w:numId w:val="1"/>
      </w:numPr>
      <w:tabs>
        <w:tab w:val="clear" w:pos="720"/>
        <w:tab w:val="left" w:pos="360" w:leader="none"/>
      </w:tabs>
      <w:spacing w:before="240" w:after="60"/>
      <w:outlineLvl w:val="7"/>
    </w:pPr>
    <w:rPr>
      <w:i/>
      <w:iCs/>
      <w:sz w:val="24"/>
    </w:rPr>
  </w:style>
  <w:style w:type="paragraph" w:styleId="Heading9">
    <w:name w:val="heading 9"/>
    <w:basedOn w:val="Normal"/>
    <w:next w:val="Normal"/>
    <w:qFormat/>
    <w:pPr>
      <w:numPr>
        <w:ilvl w:val="8"/>
        <w:numId w:val="1"/>
      </w:numPr>
      <w:tabs>
        <w:tab w:val="clear" w:pos="720"/>
        <w:tab w:val="left" w:pos="360" w:leader="none"/>
      </w:tabs>
      <w:spacing w:before="240" w:after="60"/>
      <w:outlineLvl w:val="8"/>
    </w:pPr>
    <w:rPr>
      <w:rFonts w:ascii="Arial" w:hAnsi="Arial" w:cs="Arial"/>
      <w:szCs w:val="22"/>
    </w:rPr>
  </w:style>
  <w:style w:type="character" w:styleId="WW8Num1z0">
    <w:name w:val="WW8Num1z0"/>
    <w:qFormat/>
    <w:rPr>
      <w:rFonts w:ascii="Times New Roman Bold;Times New Roman" w:hAnsi="Times New Roman Bold;Times New Roman" w:cs="Times New Roman Bold;Times New Roman"/>
      <w:b/>
      <w:i w:val="false"/>
      <w:sz w:val="22"/>
      <w:szCs w:val="22"/>
    </w:rPr>
  </w:style>
  <w:style w:type="character" w:styleId="WW8Num1z1">
    <w:name w:val="WW8Num1z1"/>
    <w:qFormat/>
    <w:rPr>
      <w:rFonts w:ascii="Times New Roman Bold;Times New Roman" w:hAnsi="Times New Roman Bold;Times New Roman" w:cs="Times New Roman Bold;Times New Roman"/>
      <w:b/>
      <w:i w:val="false"/>
      <w:sz w:val="28"/>
    </w:rPr>
  </w:style>
  <w:style w:type="character" w:styleId="WW8Num1z2">
    <w:name w:val="WW8Num1z2"/>
    <w:qFormat/>
    <w:rPr>
      <w:rFonts w:ascii="Times New Roman" w:hAnsi="Times New Roman" w:cs="Times New Roman"/>
      <w:b/>
      <w:i w:val="false"/>
      <w:sz w:val="24"/>
    </w:rPr>
  </w:style>
  <w:style w:type="character" w:styleId="WW8Num1z4">
    <w:name w:val="WW8Num1z4"/>
    <w:qFormat/>
    <w:rPr>
      <w:rFonts w:ascii="Times New Roman" w:hAnsi="Times New Roman" w:cs="Times New Roman"/>
      <w:b w:val="false"/>
      <w:i w:val="false"/>
      <w:sz w:val="22"/>
    </w:rPr>
  </w:style>
  <w:style w:type="character" w:styleId="WW8Num1z8">
    <w:name w:val="WW8Num1z8"/>
    <w:qFormat/>
    <w:rPr/>
  </w:style>
  <w:style w:type="character" w:styleId="WW8Num2z0">
    <w:name w:val="WW8Num2z0"/>
    <w:qFormat/>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style>
  <w:style w:type="character" w:styleId="WW8Num5z0">
    <w:name w:val="WW8Num5z0"/>
    <w:qFormat/>
    <w:rPr>
      <w:rFonts w:ascii="Times New Roman" w:hAnsi="Times New Roman" w:cs="Times New Roman"/>
      <w:b w:val="false"/>
      <w:i w:val="false"/>
      <w:color w:val="000000"/>
      <w:sz w:val="22"/>
    </w:rPr>
  </w:style>
  <w:style w:type="character" w:styleId="WW8Num5z1">
    <w:name w:val="WW8Num5z1"/>
    <w:qFormat/>
    <w:rPr>
      <w:rFonts w:ascii="Times New Roman" w:hAnsi="Times New Roman" w:cs="Times New Roman"/>
      <w:b w:val="false"/>
      <w:i w:val="false"/>
      <w:sz w:val="22"/>
    </w:rPr>
  </w:style>
  <w:style w:type="character" w:styleId="WW8Num5z4">
    <w:name w:val="WW8Num5z4"/>
    <w:qFormat/>
    <w:rPr/>
  </w:style>
  <w:style w:type="character" w:styleId="WW8Num6z0">
    <w:name w:val="WW8Num6z0"/>
    <w:qFormat/>
    <w:rPr>
      <w:rFonts w:ascii="Times New Roman" w:hAnsi="Times New Roman" w:cs="Times New Roman"/>
      <w:b w:val="false"/>
      <w:i w:val="false"/>
      <w:color w:val="000000"/>
      <w:sz w:val="22"/>
    </w:rPr>
  </w:style>
  <w:style w:type="character" w:styleId="WW8Num6z1">
    <w:name w:val="WW8Num6z1"/>
    <w:qFormat/>
    <w:rPr>
      <w:rFonts w:ascii="Times New Roman" w:hAnsi="Times New Roman" w:cs="Times New Roman"/>
      <w:b w:val="false"/>
      <w:i w:val="false"/>
      <w:sz w:val="22"/>
    </w:rPr>
  </w:style>
  <w:style w:type="character" w:styleId="WW8Num6z4">
    <w:name w:val="WW8Num6z4"/>
    <w:qFormat/>
    <w:rPr/>
  </w:style>
  <w:style w:type="character" w:styleId="WW8Num7z0">
    <w:name w:val="WW8Num7z0"/>
    <w:qFormat/>
    <w:rPr/>
  </w:style>
  <w:style w:type="character" w:styleId="WW8Num8z0">
    <w:name w:val="WW8Num8z0"/>
    <w:qFormat/>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eastAsia="Times New Roman" w:cs="Times New Roman"/>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1z3">
    <w:name w:val="WW8Num11z3"/>
    <w:qFormat/>
    <w:rPr>
      <w:rFonts w:ascii="Symbol" w:hAnsi="Symbol" w:cs="Symbol"/>
    </w:rPr>
  </w:style>
  <w:style w:type="character" w:styleId="DefaultParagraphFont">
    <w:name w:val="Default Paragraph Font"/>
    <w:qFormat/>
    <w:rPr/>
  </w:style>
  <w:style w:type="character" w:styleId="Hyperlink">
    <w:name w:val="Hyperlink"/>
    <w:basedOn w:val="DefaultParagraphFont"/>
    <w:rPr>
      <w:color w:val="0000FF"/>
      <w:u w:val="single"/>
    </w:rPr>
  </w:style>
  <w:style w:type="character" w:styleId="CharChar">
    <w:name w:val=" Char Char"/>
    <w:basedOn w:val="DefaultParagraphFont"/>
    <w:qFormat/>
    <w:rPr>
      <w:rFonts w:ascii="Times New Roman Bold;Times New Roman" w:hAnsi="Times New Roman Bold;Times New Roman" w:cs="Arial"/>
      <w:b/>
      <w:iCs/>
      <w:kern w:val="2"/>
      <w:sz w:val="28"/>
      <w:szCs w:val="28"/>
      <w:lang w:val="en-US" w:bidi="ar-SA"/>
    </w:rPr>
  </w:style>
  <w:style w:type="character" w:styleId="CommentReference">
    <w:name w:val="Comment Reference"/>
    <w:basedOn w:val="DefaultParagraphFont"/>
    <w:qFormat/>
    <w:rPr>
      <w:sz w:val="16"/>
      <w:szCs w:val="16"/>
    </w:rPr>
  </w:style>
  <w:style w:type="character" w:styleId="IndexLink">
    <w:name w:val="Index Link"/>
    <w:qFormat/>
    <w:rPr/>
  </w:style>
  <w:style w:type="paragraph" w:styleId="Heading">
    <w:name w:val="Heading"/>
    <w:basedOn w:val="Normal"/>
    <w:next w:val="BodyText"/>
    <w:qFormat/>
    <w:pPr>
      <w:spacing w:before="240" w:after="120"/>
      <w:jc w:val="center"/>
    </w:pPr>
    <w:rPr>
      <w:b/>
      <w:caps/>
      <w:sz w:val="28"/>
    </w:rPr>
  </w:style>
  <w:style w:type="paragraph" w:styleId="BodyText">
    <w:name w:val="Body Text"/>
    <w:basedOn w:val="Normal"/>
    <w:pPr>
      <w:spacing w:before="360" w:after="360"/>
      <w:ind w:hanging="0" w:start="720" w:end="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BodyText"/>
    <w:pPr>
      <w:ind w:hanging="0" w:start="1080"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left" w:pos="4320" w:leader="none"/>
        <w:tab w:val="right" w:pos="8640" w:leader="none"/>
      </w:tabs>
    </w:pPr>
    <w:rPr>
      <w:sz w:val="12"/>
    </w:rPr>
  </w:style>
  <w:style w:type="paragraph" w:styleId="Header">
    <w:name w:val="header"/>
    <w:basedOn w:val="Normal"/>
    <w:pPr>
      <w:tabs>
        <w:tab w:val="clear" w:pos="720"/>
        <w:tab w:val="center" w:pos="4320" w:leader="none"/>
        <w:tab w:val="right" w:pos="8640" w:leader="none"/>
      </w:tabs>
    </w:pPr>
    <w:rPr>
      <w:sz w:val="18"/>
    </w:rPr>
  </w:style>
  <w:style w:type="paragraph" w:styleId="HeadingTable">
    <w:name w:val="Heading Table"/>
    <w:basedOn w:val="Normal"/>
    <w:qFormat/>
    <w:pPr>
      <w:jc w:val="center"/>
    </w:pPr>
    <w:rPr>
      <w:rFonts w:ascii="Times New Roman Bold;Times New Roman" w:hAnsi="Times New Roman Bold;Times New Roman" w:cs="Times New Roman Bold;Times New Roman"/>
      <w:b/>
    </w:rPr>
  </w:style>
  <w:style w:type="paragraph" w:styleId="Title">
    <w:name w:val="Title"/>
    <w:basedOn w:val="Normal"/>
    <w:next w:val="BodyText"/>
    <w:qFormat/>
    <w:pPr>
      <w:spacing w:before="240" w:after="240"/>
      <w:jc w:val="center"/>
      <w:outlineLvl w:val="0"/>
    </w:pPr>
    <w:rPr>
      <w:rFonts w:cs="Arial"/>
      <w:b/>
      <w:bCs/>
      <w:caps/>
      <w:kern w:val="2"/>
      <w:sz w:val="32"/>
      <w:szCs w:val="32"/>
    </w:rPr>
  </w:style>
  <w:style w:type="paragraph" w:styleId="TOC1">
    <w:name w:val="toc 1"/>
    <w:basedOn w:val="Normal"/>
    <w:next w:val="Normal"/>
    <w:pPr/>
    <w:rPr>
      <w:b/>
      <w:sz w:val="24"/>
    </w:rPr>
  </w:style>
  <w:style w:type="paragraph" w:styleId="TOC2">
    <w:name w:val="toc 2"/>
    <w:basedOn w:val="Normal"/>
    <w:next w:val="Normal"/>
    <w:pPr>
      <w:ind w:hanging="0" w:start="220" w:end="0"/>
    </w:pPr>
    <w:rPr>
      <w:b/>
    </w:rPr>
  </w:style>
  <w:style w:type="paragraph" w:styleId="TOC3">
    <w:name w:val="toc 3"/>
    <w:basedOn w:val="Normal"/>
    <w:next w:val="Normal"/>
    <w:pPr>
      <w:ind w:hanging="0" w:start="440" w:end="0"/>
    </w:pPr>
    <w:rPr/>
  </w:style>
  <w:style w:type="paragraph" w:styleId="TOC4">
    <w:name w:val="toc 4"/>
    <w:basedOn w:val="Normal"/>
    <w:next w:val="Normal"/>
    <w:pPr>
      <w:ind w:hanging="0" w:start="660" w:end="0"/>
    </w:pPr>
    <w:rPr/>
  </w:style>
  <w:style w:type="paragraph" w:styleId="Subtitle">
    <w:name w:val="Subtitle"/>
    <w:basedOn w:val="Normal"/>
    <w:next w:val="BodyText"/>
    <w:qFormat/>
    <w:pPr>
      <w:spacing w:before="240" w:after="240"/>
    </w:pPr>
    <w:rPr>
      <w:rFonts w:ascii="Times New Roman Bold;Times New Roman" w:hAnsi="Times New Roman Bold;Times New Roman" w:cs="Arial"/>
      <w:b/>
      <w:sz w:val="28"/>
    </w:rPr>
  </w:style>
  <w:style w:type="paragraph" w:styleId="TOC5">
    <w:name w:val="toc 5"/>
    <w:basedOn w:val="Normal"/>
    <w:next w:val="Normal"/>
    <w:pPr>
      <w:ind w:hanging="0" w:start="880" w:end="0"/>
    </w:pPr>
    <w:rPr/>
  </w:style>
  <w:style w:type="paragraph" w:styleId="TOC6">
    <w:name w:val="toc 6"/>
    <w:basedOn w:val="Normal"/>
    <w:next w:val="Normal"/>
    <w:pPr>
      <w:ind w:hanging="0" w:start="1100" w:end="0"/>
    </w:pPr>
    <w:rPr/>
  </w:style>
  <w:style w:type="paragraph" w:styleId="TOC7">
    <w:name w:val="toc 7"/>
    <w:basedOn w:val="Normal"/>
    <w:next w:val="Normal"/>
    <w:pPr>
      <w:ind w:hanging="0" w:start="1320" w:end="0"/>
    </w:pPr>
    <w:rPr/>
  </w:style>
  <w:style w:type="paragraph" w:styleId="TOC8">
    <w:name w:val="toc 8"/>
    <w:basedOn w:val="Normal"/>
    <w:next w:val="Normal"/>
    <w:pPr>
      <w:ind w:hanging="0" w:start="1540" w:end="0"/>
    </w:pPr>
    <w:rPr/>
  </w:style>
  <w:style w:type="paragraph" w:styleId="TOC9">
    <w:name w:val="toc 9"/>
    <w:basedOn w:val="Normal"/>
    <w:next w:val="Normal"/>
    <w:pPr>
      <w:ind w:hanging="0" w:start="1760" w:end="0"/>
    </w:pPr>
    <w:rPr/>
  </w:style>
  <w:style w:type="paragraph" w:styleId="Bullet1BodyText">
    <w:name w:val="Bullet 1 Body Text"/>
    <w:basedOn w:val="Normal"/>
    <w:qFormat/>
    <w:pPr>
      <w:numPr>
        <w:ilvl w:val="0"/>
        <w:numId w:val="3"/>
      </w:numPr>
      <w:spacing w:before="240" w:after="240"/>
    </w:pPr>
    <w:rPr/>
  </w:style>
  <w:style w:type="paragraph" w:styleId="TableLevel1Numbered">
    <w:name w:val="Table Level 1 Numbered"/>
    <w:basedOn w:val="Normal"/>
    <w:qFormat/>
    <w:pPr/>
    <w:rPr>
      <w:bCs/>
    </w:rPr>
  </w:style>
  <w:style w:type="paragraph" w:styleId="Bullet1Table">
    <w:name w:val="Bullet 1 Table"/>
    <w:basedOn w:val="Normal"/>
    <w:qFormat/>
    <w:pPr>
      <w:numPr>
        <w:ilvl w:val="0"/>
        <w:numId w:val="9"/>
      </w:numPr>
    </w:pPr>
    <w:rPr/>
  </w:style>
  <w:style w:type="paragraph" w:styleId="Heading1Numbered">
    <w:name w:val="Heading 1 Numbered"/>
    <w:basedOn w:val="Normal"/>
    <w:qFormat/>
    <w:pPr>
      <w:numPr>
        <w:ilvl w:val="0"/>
        <w:numId w:val="2"/>
      </w:numPr>
      <w:spacing w:before="240" w:after="240"/>
    </w:pPr>
    <w:rPr>
      <w:rFonts w:ascii="Times New Roman Bold;Times New Roman" w:hAnsi="Times New Roman Bold;Times New Roman" w:cs="Times New Roman Bold;Times New Roman"/>
      <w:b/>
      <w:caps/>
      <w:sz w:val="28"/>
    </w:rPr>
  </w:style>
  <w:style w:type="paragraph" w:styleId="Heading2Numbered">
    <w:name w:val="Heading 2 Numbered"/>
    <w:basedOn w:val="Normal"/>
    <w:qFormat/>
    <w:pPr>
      <w:numPr>
        <w:ilvl w:val="0"/>
        <w:numId w:val="2"/>
      </w:numPr>
      <w:spacing w:before="240" w:after="240"/>
    </w:pPr>
    <w:rPr>
      <w:rFonts w:ascii="Times New Roman Bold;Times New Roman" w:hAnsi="Times New Roman Bold;Times New Roman" w:cs="Times New Roman Bold;Times New Roman"/>
      <w:b/>
      <w:sz w:val="28"/>
    </w:rPr>
  </w:style>
  <w:style w:type="paragraph" w:styleId="Heading3Numbered">
    <w:name w:val="Heading 3 Numbered"/>
    <w:basedOn w:val="Normal"/>
    <w:qFormat/>
    <w:pPr>
      <w:numPr>
        <w:ilvl w:val="0"/>
        <w:numId w:val="2"/>
      </w:numPr>
      <w:spacing w:before="240" w:after="240"/>
    </w:pPr>
    <w:rPr>
      <w:rFonts w:ascii="Times New Roman Bold;Times New Roman" w:hAnsi="Times New Roman Bold;Times New Roman" w:cs="Times New Roman Bold;Times New Roman"/>
      <w:b/>
      <w:sz w:val="24"/>
    </w:rPr>
  </w:style>
  <w:style w:type="paragraph" w:styleId="Heading4Numbered">
    <w:name w:val="Heading 4 Numbered"/>
    <w:basedOn w:val="Normal"/>
    <w:qFormat/>
    <w:pPr>
      <w:numPr>
        <w:ilvl w:val="0"/>
        <w:numId w:val="2"/>
      </w:numPr>
      <w:spacing w:before="240" w:after="240"/>
    </w:pPr>
    <w:rPr>
      <w:rFonts w:ascii="Times New Roman Bold;Times New Roman" w:hAnsi="Times New Roman Bold;Times New Roman" w:cs="Times New Roman Bold;Times New Roman"/>
      <w:b/>
      <w:sz w:val="24"/>
    </w:rPr>
  </w:style>
  <w:style w:type="paragraph" w:styleId="TableText">
    <w:name w:val="Table Text"/>
    <w:basedOn w:val="Normal"/>
    <w:qFormat/>
    <w:pPr/>
    <w:rPr/>
  </w:style>
  <w:style w:type="paragraph" w:styleId="TableLevel2Numbered">
    <w:name w:val="Table Level 2 Numbered"/>
    <w:basedOn w:val="Normal"/>
    <w:qFormat/>
    <w:pPr>
      <w:numPr>
        <w:ilvl w:val="0"/>
        <w:numId w:val="5"/>
      </w:numPr>
    </w:pPr>
    <w:rPr>
      <w:bCs/>
    </w:rPr>
  </w:style>
  <w:style w:type="paragraph" w:styleId="TableLevel3Numbered">
    <w:name w:val="Table Level 3 Numbered"/>
    <w:basedOn w:val="Normal"/>
    <w:qFormat/>
    <w:pPr>
      <w:numPr>
        <w:ilvl w:val="0"/>
        <w:numId w:val="5"/>
      </w:numPr>
    </w:pPr>
    <w:rPr/>
  </w:style>
  <w:style w:type="paragraph" w:styleId="TableLevel4Numbered">
    <w:name w:val="Table Level 4 Numbered"/>
    <w:basedOn w:val="Normal"/>
    <w:qFormat/>
    <w:pPr>
      <w:numPr>
        <w:ilvl w:val="0"/>
        <w:numId w:val="5"/>
      </w:numPr>
    </w:pPr>
    <w:rPr/>
  </w:style>
  <w:style w:type="paragraph" w:styleId="TableLevel1Text">
    <w:name w:val="Table Level 1 Text"/>
    <w:basedOn w:val="BodyText"/>
    <w:qFormat/>
    <w:pPr/>
    <w:rPr>
      <w:iCs/>
    </w:rPr>
  </w:style>
  <w:style w:type="paragraph" w:styleId="TableLevel2Text">
    <w:name w:val="Table Level 2 Text"/>
    <w:basedOn w:val="BodyText"/>
    <w:qFormat/>
    <w:pPr>
      <w:ind w:hanging="0" w:start="1008" w:end="0"/>
    </w:pPr>
    <w:rPr/>
  </w:style>
  <w:style w:type="paragraph" w:styleId="TableLevel3Text">
    <w:name w:val="Table Level 3 Text"/>
    <w:basedOn w:val="BodyText"/>
    <w:qFormat/>
    <w:pPr>
      <w:ind w:hanging="0" w:start="1296" w:end="0"/>
    </w:pPr>
    <w:rPr/>
  </w:style>
  <w:style w:type="paragraph" w:styleId="TableLevel4Text">
    <w:name w:val="Table Level 4 Text"/>
    <w:basedOn w:val="BodyText"/>
    <w:qFormat/>
    <w:pPr>
      <w:ind w:hanging="0" w:start="1440" w:end="0"/>
    </w:pPr>
    <w:rPr/>
  </w:style>
  <w:style w:type="paragraph" w:styleId="BodyLevel1Numbered">
    <w:name w:val="Body Level 1 Numbered"/>
    <w:basedOn w:val="Normal"/>
    <w:qFormat/>
    <w:pPr>
      <w:numPr>
        <w:ilvl w:val="0"/>
        <w:numId w:val="4"/>
      </w:numPr>
      <w:spacing w:before="240" w:after="240"/>
    </w:pPr>
    <w:rPr/>
  </w:style>
  <w:style w:type="paragraph" w:styleId="BodyLevel2Numbered">
    <w:name w:val="Body Level 2 Numbered"/>
    <w:basedOn w:val="Normal"/>
    <w:qFormat/>
    <w:pPr>
      <w:numPr>
        <w:ilvl w:val="0"/>
        <w:numId w:val="4"/>
      </w:numPr>
      <w:spacing w:before="240" w:after="240"/>
    </w:pPr>
    <w:rPr/>
  </w:style>
  <w:style w:type="paragraph" w:styleId="BodyLevel3Numbered">
    <w:name w:val="Body Level 3 Numbered"/>
    <w:basedOn w:val="Normal"/>
    <w:qFormat/>
    <w:pPr>
      <w:numPr>
        <w:ilvl w:val="0"/>
        <w:numId w:val="4"/>
      </w:numPr>
      <w:spacing w:before="240" w:after="240"/>
    </w:pPr>
    <w:rPr/>
  </w:style>
  <w:style w:type="paragraph" w:styleId="BodyLevel4Numbered">
    <w:name w:val="Body Level 4 Numbered"/>
    <w:basedOn w:val="Normal"/>
    <w:qFormat/>
    <w:pPr>
      <w:numPr>
        <w:ilvl w:val="0"/>
        <w:numId w:val="4"/>
      </w:numPr>
      <w:spacing w:before="240" w:after="240"/>
    </w:pPr>
    <w:rPr/>
  </w:style>
  <w:style w:type="paragraph" w:styleId="BodyLevel1Text">
    <w:name w:val="Body Level 1 Text"/>
    <w:basedOn w:val="BodyText"/>
    <w:qFormat/>
    <w:pPr>
      <w:ind w:hanging="0" w:start="1440" w:end="0"/>
    </w:pPr>
    <w:rPr/>
  </w:style>
  <w:style w:type="paragraph" w:styleId="BodyLevel2Text">
    <w:name w:val="Body Level 2 Text"/>
    <w:basedOn w:val="BodyText"/>
    <w:qFormat/>
    <w:pPr>
      <w:ind w:hanging="0" w:start="1728" w:end="0"/>
    </w:pPr>
    <w:rPr/>
  </w:style>
  <w:style w:type="paragraph" w:styleId="BodyLevel3Text">
    <w:name w:val="Body Level 3 Text"/>
    <w:basedOn w:val="BodyText"/>
    <w:qFormat/>
    <w:pPr>
      <w:ind w:hanging="0" w:start="2016" w:end="0"/>
    </w:pPr>
    <w:rPr/>
  </w:style>
  <w:style w:type="paragraph" w:styleId="BodyLevel4Text">
    <w:name w:val="Body Level 4 Text"/>
    <w:basedOn w:val="BodyText"/>
    <w:qFormat/>
    <w:pPr>
      <w:ind w:hanging="0" w:start="2304" w:end="0"/>
    </w:pPr>
    <w:rPr/>
  </w:style>
  <w:style w:type="paragraph" w:styleId="Bullet1Level1">
    <w:name w:val="Bullet 1 Level 1"/>
    <w:basedOn w:val="Normal"/>
    <w:qFormat/>
    <w:pPr>
      <w:tabs>
        <w:tab w:val="clear" w:pos="720"/>
        <w:tab w:val="left" w:pos="1080" w:leader="none"/>
      </w:tabs>
      <w:ind w:hanging="360" w:start="1080" w:end="0"/>
    </w:pPr>
    <w:rPr/>
  </w:style>
  <w:style w:type="paragraph" w:styleId="BalloonText">
    <w:name w:val="Balloon Text"/>
    <w:basedOn w:val="Normal"/>
    <w:qFormat/>
    <w:pPr/>
    <w:rPr>
      <w:rFonts w:ascii="Tahoma" w:hAnsi="Tahoma" w:cs="Tahoma"/>
      <w:sz w:val="16"/>
      <w:szCs w:val="16"/>
    </w:rPr>
  </w:style>
  <w:style w:type="paragraph" w:styleId="CommentText">
    <w:name w:val="Comment Text"/>
    <w:basedOn w:val="Normal"/>
    <w:qFormat/>
    <w:pPr/>
    <w:rPr>
      <w:sz w:val="20"/>
      <w:szCs w:val="20"/>
    </w:rPr>
  </w:style>
  <w:style w:type="paragraph" w:styleId="CommentSubject">
    <w:name w:val="Comment Subject"/>
    <w:basedOn w:val="CommentText"/>
    <w:next w:val="CommentText"/>
    <w:qFormat/>
    <w:pPr/>
    <w:rPr>
      <w:b/>
      <w:bCs/>
    </w:rPr>
  </w:style>
  <w:style w:type="paragraph" w:styleId="NormalWeb">
    <w:name w:val="Normal (Web)"/>
    <w:basedOn w:val="Normal"/>
    <w:qFormat/>
    <w:pPr>
      <w:spacing w:before="280" w:after="280"/>
    </w:pPr>
    <w:rPr>
      <w:sz w:val="24"/>
      <w:lang w:val="nl-NL"/>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3</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2006-12-13T18:40:00Z</dcterms:created>
  <dc:creator> </dc:creator>
  <dc:description/>
  <cp:keywords/>
  <dc:language>en-US</dc:language>
  <cp:lastModifiedBy>Stuart Johnson</cp:lastModifiedBy>
  <cp:lastPrinted>2006-12-13T13:17:00Z</cp:lastPrinted>
  <dcterms:modified xsi:type="dcterms:W3CDTF">2006-12-13T18:42:00Z</dcterms:modified>
  <cp:revision>4</cp:revision>
  <dc:subject/>
  <dc:titl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-1978888856</vt:r8>
  </property>
  <property fmtid="{D5CDD505-2E9C-101B-9397-08002B2CF9AE}" pid="3" name="_AuthorEmail">
    <vt:lpwstr>ilse.persoons@ing.be</vt:lpwstr>
  </property>
  <property fmtid="{D5CDD505-2E9C-101B-9397-08002B2CF9AE}" pid="4" name="_AuthorEmailDisplayName">
    <vt:lpwstr>Persoons, I. (Ilse)</vt:lpwstr>
  </property>
  <property fmtid="{D5CDD505-2E9C-101B-9397-08002B2CF9AE}" pid="5" name="_EmailSubject">
    <vt:lpwstr>5 J NL</vt:lpwstr>
  </property>
  <property fmtid="{D5CDD505-2E9C-101B-9397-08002B2CF9AE}" pid="6" name="_ReviewingToolsShownOnce">
    <vt:lpwstr/>
  </property>
</Properties>
</file>