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Attachment 5-J (2)</w:t>
      </w:r>
    </w:p>
    <w:p>
      <w:pPr>
        <w:pStyle w:val="Title"/>
        <w:rPr>
          <w:lang w:val="en-GB"/>
        </w:rPr>
      </w:pPr>
      <w:r>
        <w:rPr>
          <w:lang w:val="en-GB"/>
        </w:rPr>
      </w:r>
    </w:p>
    <w:p>
      <w:pPr>
        <w:pStyle w:val="Title"/>
        <w:rPr>
          <w:lang w:val="en-GB"/>
        </w:rPr>
      </w:pPr>
      <w:r>
        <w:rPr>
          <w:lang w:val="en-GB"/>
        </w:rPr>
        <w:t>Harmonisation Costs - Belgium</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rPr>
          <w:lang w:val="en-GB"/>
        </w:rPr>
      </w:pPr>
      <w:r>
        <w:rPr>
          <w:lang w:val="en-GB"/>
        </w:rPr>
      </w:r>
    </w:p>
    <w:p>
      <w:pPr>
        <w:pStyle w:val="Normal"/>
        <w:rPr>
          <w:lang w:val="en-GB"/>
        </w:rPr>
      </w:pPr>
      <w:r>
        <w:rPr>
          <w:lang w:val="en-GB"/>
        </w:rPr>
      </w:r>
    </w:p>
    <w:p>
      <w:pPr>
        <w:pStyle w:val="Title"/>
        <w:rPr/>
      </w:pPr>
      <w:r>
        <w:rPr/>
        <w:t>Table of Contents</w:t>
      </w:r>
    </w:p>
    <w:sdt>
      <w:sdtPr>
        <w:docPartObj>
          <w:docPartGallery w:val="Table of Contents"/>
          <w:docPartUnique w:val="true"/>
        </w:docPartObj>
      </w:sdtPr>
      <w:sdtContent>
        <w:p>
          <w:pPr>
            <w:pStyle w:val="TOC2"/>
            <w:tabs>
              <w:tab w:val="clear" w:pos="720"/>
              <w:tab w:val="right" w:pos="8441" w:leader="dot"/>
            </w:tabs>
            <w:rPr>
              <w:b w:val="false"/>
              <w:sz w:val="18"/>
              <w:szCs w:val="18"/>
              <w:lang w:val="en-US" w:eastAsia="en-US"/>
            </w:rPr>
          </w:pPr>
          <w:r>
            <w:fldChar w:fldCharType="begin"/>
          </w:r>
          <w:r>
            <w:rPr>
              <w:sz w:val="18"/>
              <w:szCs w:val="18"/>
              <w:lang w:val="en-GB" w:eastAsia="en-US"/>
            </w:rPr>
            <w:instrText xml:space="preserve"> TOC \o "2-2" \t "Heading,1" </w:instrText>
          </w:r>
          <w:r>
            <w:rPr>
              <w:sz w:val="18"/>
              <w:szCs w:val="18"/>
              <w:lang w:val="en-GB" w:eastAsia="en-US"/>
            </w:rPr>
            <w:fldChar w:fldCharType="separate"/>
          </w:r>
          <w:r>
            <w:rPr>
              <w:sz w:val="18"/>
              <w:szCs w:val="18"/>
              <w:lang w:val="en-GB" w:eastAsia="en-US"/>
            </w:rPr>
            <w:t>Harmonisation Lump Sum(s)</w:t>
          </w:r>
          <w:r>
            <w:rPr>
              <w:sz w:val="18"/>
              <w:szCs w:val="18"/>
              <w:lang w:val="en-US" w:eastAsia="en-US"/>
            </w:rPr>
            <w:tab/>
          </w:r>
          <w:hyperlink w:anchor="__RefHeading___Toc153713319">
            <w:r>
              <w:rPr>
                <w:rStyle w:val="IndexLink"/>
                <w:sz w:val="18"/>
                <w:szCs w:val="18"/>
                <w:lang w:val="en-US" w:eastAsia="en-US"/>
              </w:rPr>
              <w:t>1</w:t>
            </w:r>
          </w:hyperlink>
        </w:p>
        <w:p>
          <w:pPr>
            <w:pStyle w:val="TOC2"/>
            <w:tabs>
              <w:tab w:val="clear" w:pos="720"/>
              <w:tab w:val="right" w:pos="8441" w:leader="dot"/>
            </w:tabs>
            <w:rPr>
              <w:b w:val="false"/>
              <w:sz w:val="18"/>
              <w:szCs w:val="18"/>
              <w:lang w:val="en-US" w:eastAsia="en-US"/>
            </w:rPr>
          </w:pPr>
          <w:r>
            <w:rPr>
              <w:sz w:val="18"/>
              <w:szCs w:val="18"/>
              <w:lang w:val="en-GB" w:eastAsia="en-US"/>
            </w:rPr>
            <w:t>ING Technics</w:t>
          </w:r>
          <w:r>
            <w:rPr>
              <w:sz w:val="18"/>
              <w:szCs w:val="18"/>
              <w:lang w:val="en-US" w:eastAsia="en-US"/>
            </w:rPr>
            <w:tab/>
          </w:r>
          <w:hyperlink w:anchor="__RefHeading___Toc153713320">
            <w:r>
              <w:rPr>
                <w:rStyle w:val="IndexLink"/>
                <w:sz w:val="18"/>
                <w:szCs w:val="18"/>
                <w:lang w:val="en-US" w:eastAsia="en-US"/>
              </w:rPr>
              <w:t>1</w:t>
            </w:r>
          </w:hyperlink>
        </w:p>
        <w:p>
          <w:pPr>
            <w:pStyle w:val="TOC2"/>
            <w:tabs>
              <w:tab w:val="clear" w:pos="720"/>
              <w:tab w:val="right" w:pos="8441" w:leader="dot"/>
            </w:tabs>
            <w:rPr>
              <w:b w:val="false"/>
              <w:sz w:val="18"/>
              <w:szCs w:val="18"/>
              <w:lang w:val="en-US" w:eastAsia="en-US"/>
            </w:rPr>
          </w:pPr>
          <w:r>
            <w:rPr>
              <w:sz w:val="18"/>
              <w:szCs w:val="18"/>
              <w:lang w:val="en-GB" w:eastAsia="en-US"/>
            </w:rPr>
            <w:t>Method of Payment</w:t>
          </w:r>
          <w:r>
            <w:rPr>
              <w:sz w:val="18"/>
              <w:szCs w:val="18"/>
              <w:lang w:val="en-US" w:eastAsia="en-US"/>
            </w:rPr>
            <w:tab/>
          </w:r>
          <w:hyperlink w:anchor="__RefHeading___Toc153713321">
            <w:r>
              <w:rPr>
                <w:rStyle w:val="IndexLink"/>
                <w:sz w:val="18"/>
                <w:szCs w:val="18"/>
                <w:lang w:val="en-US" w:eastAsia="en-US"/>
              </w:rPr>
              <w:t>1</w:t>
            </w:r>
          </w:hyperlink>
        </w:p>
        <w:p>
          <w:pPr>
            <w:pStyle w:val="TOC2"/>
            <w:tabs>
              <w:tab w:val="clear" w:pos="720"/>
              <w:tab w:val="right" w:pos="8441" w:leader="dot"/>
            </w:tabs>
            <w:rPr>
              <w:b w:val="false"/>
              <w:sz w:val="18"/>
              <w:szCs w:val="18"/>
              <w:lang w:val="en-US" w:eastAsia="en-US"/>
            </w:rPr>
          </w:pPr>
          <w:r>
            <w:rPr>
              <w:sz w:val="18"/>
              <w:szCs w:val="18"/>
              <w:lang w:val="en-GB" w:eastAsia="en-US"/>
            </w:rPr>
            <w:t>Treatment if Affected Employees return to ING</w:t>
          </w:r>
          <w:r>
            <w:rPr>
              <w:sz w:val="18"/>
              <w:szCs w:val="18"/>
              <w:lang w:val="en-US" w:eastAsia="en-US"/>
            </w:rPr>
            <w:tab/>
          </w:r>
          <w:hyperlink w:anchor="__RefHeading___Toc153713322">
            <w:r>
              <w:rPr>
                <w:rStyle w:val="IndexLink"/>
                <w:sz w:val="18"/>
                <w:szCs w:val="18"/>
                <w:lang w:val="en-US" w:eastAsia="en-US"/>
              </w:rPr>
              <w:t>1</w:t>
            </w:r>
          </w:hyperlink>
        </w:p>
        <w:p>
          <w:pPr>
            <w:pStyle w:val="TOC2"/>
            <w:tabs>
              <w:tab w:val="clear" w:pos="720"/>
              <w:tab w:val="right" w:pos="8441" w:leader="dot"/>
            </w:tabs>
            <w:rPr>
              <w:b w:val="false"/>
              <w:sz w:val="18"/>
              <w:szCs w:val="18"/>
              <w:lang w:val="en-US" w:eastAsia="en-US"/>
            </w:rPr>
          </w:pPr>
          <w:r>
            <w:rPr>
              <w:sz w:val="18"/>
              <w:szCs w:val="18"/>
              <w:lang w:val="en-GB" w:eastAsia="en-US"/>
            </w:rPr>
            <w:t>Included in Harmonisation Lump Sum</w:t>
          </w:r>
          <w:r>
            <w:rPr>
              <w:sz w:val="18"/>
              <w:szCs w:val="18"/>
              <w:lang w:val="en-US" w:eastAsia="en-US"/>
            </w:rPr>
            <w:tab/>
          </w:r>
          <w:hyperlink w:anchor="__RefHeading___Toc153713323">
            <w:r>
              <w:rPr>
                <w:rStyle w:val="IndexLink"/>
                <w:sz w:val="18"/>
                <w:szCs w:val="18"/>
                <w:lang w:val="en-US" w:eastAsia="en-US"/>
              </w:rPr>
              <w:t>1</w:t>
            </w:r>
          </w:hyperlink>
        </w:p>
        <w:p>
          <w:pPr>
            <w:pStyle w:val="TOC2"/>
            <w:tabs>
              <w:tab w:val="clear" w:pos="720"/>
              <w:tab w:val="right" w:pos="8441" w:leader="dot"/>
            </w:tabs>
            <w:rPr>
              <w:b w:val="false"/>
              <w:sz w:val="18"/>
              <w:szCs w:val="18"/>
              <w:lang w:val="en-US" w:eastAsia="en-US"/>
            </w:rPr>
          </w:pPr>
          <w:r>
            <w:rPr>
              <w:sz w:val="18"/>
              <w:szCs w:val="18"/>
              <w:lang w:val="en-GB" w:eastAsia="en-US"/>
            </w:rPr>
            <w:t>Not included in Harmonisation Lump Sum</w:t>
          </w:r>
          <w:r>
            <w:rPr>
              <w:sz w:val="18"/>
              <w:szCs w:val="18"/>
              <w:lang w:val="en-US" w:eastAsia="en-US"/>
            </w:rPr>
            <w:tab/>
          </w:r>
          <w:hyperlink w:anchor="__RefHeading___Toc153713324">
            <w:r>
              <w:rPr>
                <w:rStyle w:val="IndexLink"/>
                <w:sz w:val="18"/>
                <w:szCs w:val="18"/>
                <w:lang w:val="en-US" w:eastAsia="en-US"/>
              </w:rPr>
              <w:t>1</w:t>
            </w:r>
          </w:hyperlink>
        </w:p>
        <w:p>
          <w:pPr>
            <w:pStyle w:val="TOC2"/>
            <w:tabs>
              <w:tab w:val="clear" w:pos="720"/>
              <w:tab w:val="right" w:pos="8441" w:leader="dot"/>
            </w:tabs>
            <w:rPr>
              <w:b w:val="false"/>
              <w:sz w:val="18"/>
              <w:szCs w:val="18"/>
              <w:lang w:val="en-US" w:eastAsia="en-US"/>
            </w:rPr>
          </w:pPr>
          <w:r>
            <w:rPr>
              <w:sz w:val="18"/>
              <w:szCs w:val="18"/>
              <w:lang w:val="en-GB" w:eastAsia="en-US"/>
            </w:rPr>
            <w:t>Old Age Pensions: Getronics BE</w:t>
          </w:r>
          <w:r>
            <w:rPr>
              <w:sz w:val="18"/>
              <w:szCs w:val="18"/>
              <w:lang w:val="en-US" w:eastAsia="en-US"/>
            </w:rPr>
            <w:tab/>
          </w:r>
          <w:hyperlink w:anchor="__RefHeading___Toc153713325">
            <w:r>
              <w:rPr>
                <w:rStyle w:val="IndexLink"/>
                <w:b w:val="false"/>
                <w:bCs/>
                <w:sz w:val="18"/>
                <w:szCs w:val="18"/>
                <w:lang w:val="en-US" w:eastAsia="en-US"/>
              </w:rPr>
              <w:t>Error! Bookmark not defined.</w:t>
            </w:r>
          </w:hyperlink>
        </w:p>
        <w:p>
          <w:pPr>
            <w:pStyle w:val="TOC2"/>
            <w:tabs>
              <w:tab w:val="clear" w:pos="720"/>
              <w:tab w:val="right" w:pos="8441" w:leader="dot"/>
            </w:tabs>
            <w:rPr>
              <w:b w:val="false"/>
              <w:sz w:val="18"/>
              <w:szCs w:val="18"/>
              <w:lang w:val="en-US" w:eastAsia="en-US"/>
            </w:rPr>
          </w:pPr>
          <w:r>
            <w:rPr>
              <w:sz w:val="18"/>
              <w:szCs w:val="18"/>
              <w:lang w:val="en-GB" w:eastAsia="en-US"/>
            </w:rPr>
            <w:t>Bridge Pensions BE</w:t>
          </w:r>
          <w:r>
            <w:rPr>
              <w:sz w:val="18"/>
              <w:szCs w:val="18"/>
              <w:lang w:val="en-US" w:eastAsia="en-US"/>
            </w:rPr>
            <w:tab/>
          </w:r>
          <w:hyperlink w:anchor="__RefHeading___Toc153713326">
            <w:r>
              <w:rPr>
                <w:rStyle w:val="IndexLink"/>
                <w:b w:val="false"/>
                <w:bCs/>
                <w:sz w:val="18"/>
                <w:szCs w:val="18"/>
                <w:lang w:val="en-US" w:eastAsia="en-US"/>
              </w:rPr>
              <w:t>Error! Bookmark not defined.</w:t>
            </w:r>
          </w:hyperlink>
        </w:p>
        <w:p>
          <w:pPr>
            <w:pStyle w:val="TOC2"/>
            <w:tabs>
              <w:tab w:val="clear" w:pos="720"/>
              <w:tab w:val="right" w:pos="8441" w:leader="dot"/>
            </w:tabs>
            <w:rPr>
              <w:sz w:val="18"/>
              <w:szCs w:val="18"/>
              <w:lang w:val="en-US" w:eastAsia="en-US"/>
            </w:rPr>
          </w:pPr>
          <w:r>
            <w:rPr>
              <w:b w:val="false"/>
              <w:sz w:val="18"/>
              <w:szCs w:val="18"/>
              <w:lang w:val="en-GB" w:eastAsia="en-US"/>
            </w:rPr>
            <w:t>General</w:t>
          </w:r>
          <w:r>
            <w:rPr>
              <w:b w:val="false"/>
              <w:sz w:val="18"/>
              <w:szCs w:val="18"/>
              <w:lang w:val="en-US" w:eastAsia="en-US"/>
            </w:rPr>
            <w:tab/>
          </w:r>
          <w:hyperlink w:anchor="__RefHeading___Toc153713327">
            <w:r>
              <w:rPr>
                <w:rStyle w:val="IndexLink"/>
                <w:b w:val="false"/>
                <w:sz w:val="18"/>
                <w:szCs w:val="18"/>
                <w:lang w:val="en-US" w:eastAsia="en-US"/>
              </w:rPr>
              <w:t>1</w:t>
            </w:r>
          </w:hyperlink>
          <w:r>
            <w:rPr>
              <w:rStyle w:val="IndexLink"/>
              <w:sz w:val="18"/>
              <w:b w:val="false"/>
              <w:szCs w:val="18"/>
              <w:lang w:val="en-US" w:eastAsia="en-US"/>
            </w:rPr>
            <w:fldChar w:fldCharType="end"/>
          </w:r>
        </w:p>
      </w:sdtContent>
    </w:sdt>
    <w:p>
      <w:pPr>
        <w:pStyle w:val="Normal"/>
        <w:rPr>
          <w:b/>
          <w:caps/>
          <w:sz w:val="20"/>
          <w:szCs w:val="20"/>
          <w:lang w:val="en-GB" w:eastAsia="en-US"/>
        </w:rPr>
      </w:pPr>
      <w:r>
        <w:rPr>
          <w:b/>
          <w:caps/>
          <w:sz w:val="20"/>
          <w:szCs w:val="20"/>
          <w:lang w:val="en-GB" w:eastAsia="en-US"/>
        </w:rPr>
      </w:r>
    </w:p>
    <w:p>
      <w:pPr>
        <w:pStyle w:val="Normal"/>
        <w:rPr>
          <w:b/>
          <w:caps/>
          <w:sz w:val="20"/>
          <w:szCs w:val="20"/>
          <w:lang w:val="en-GB"/>
        </w:rPr>
      </w:pPr>
      <w:r>
        <w:rPr>
          <w:b/>
          <w:caps/>
          <w:sz w:val="20"/>
          <w:szCs w:val="20"/>
          <w:lang w:val="en-GB"/>
        </w:rPr>
      </w:r>
    </w:p>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rPr>
          <w:b/>
          <w:caps/>
          <w:sz w:val="20"/>
          <w:szCs w:val="20"/>
          <w:lang w:val="en-GB"/>
        </w:rPr>
      </w:pPr>
      <w:r>
        <w:rPr>
          <w:b/>
          <w:caps/>
          <w:sz w:val="20"/>
          <w:szCs w:val="20"/>
          <w:lang w:val="en-GB"/>
        </w:rPr>
      </w:r>
    </w:p>
    <w:p>
      <w:pPr>
        <w:pStyle w:val="Heading2"/>
        <w:ind w:hanging="0" w:start="0"/>
        <w:rPr>
          <w:sz w:val="22"/>
          <w:szCs w:val="22"/>
          <w:lang w:val="en-GB"/>
        </w:rPr>
      </w:pPr>
      <w:bookmarkStart w:id="0" w:name="__RefHeading___Toc153713319"/>
      <w:bookmarkEnd w:id="0"/>
      <w:r>
        <w:rPr>
          <w:sz w:val="22"/>
          <w:szCs w:val="22"/>
          <w:lang w:val="en-GB"/>
        </w:rPr>
        <w:t>Harmonisation Lump Sum(s)</w:t>
      </w:r>
    </w:p>
    <w:p>
      <w:pPr>
        <w:pStyle w:val="Normal"/>
        <w:jc w:val="both"/>
        <w:rPr/>
      </w:pPr>
      <w:r>
        <w:rPr>
          <w:lang w:val="en-GB"/>
        </w:rPr>
        <w:t>Harmonisation Costs will be calculated as lump sums to be paid by EuroBank to each of the PST Suppliers in respect of the actual number of Affected Employees transferring to the relevant PST Supplier as at the Commencement Date. Subject to the provisions below, the total sum for the Harmonisation Costs to be paid by EuroBank for all Affected Employees in The Netherlands and Belgium is €31,500,000. These Harmonisation Costs shall be payable to the PST Suppliers as follows:</w:t>
      </w:r>
    </w:p>
    <w:p>
      <w:pPr>
        <w:pStyle w:val="Normal"/>
        <w:spacing w:before="0" w:after="0"/>
        <w:jc w:val="both"/>
        <w:rPr>
          <w:lang w:val="en-GB"/>
        </w:rPr>
      </w:pPr>
      <w:r>
        <w:rPr>
          <w:lang w:val="en-GB"/>
        </w:rPr>
      </w:r>
    </w:p>
    <w:tbl>
      <w:tblPr>
        <w:tblW w:w="3888" w:type="dxa"/>
        <w:jc w:val="start"/>
        <w:tblInd w:w="0" w:type="dxa"/>
        <w:tblLayout w:type="fixed"/>
        <w:tblCellMar>
          <w:top w:w="0" w:type="dxa"/>
          <w:start w:w="108" w:type="dxa"/>
          <w:bottom w:w="0" w:type="dxa"/>
          <w:end w:w="108" w:type="dxa"/>
        </w:tblCellMar>
      </w:tblPr>
      <w:tblGrid>
        <w:gridCol w:w="1908"/>
        <w:gridCol w:w="1980"/>
      </w:tblGrid>
      <w:tr>
        <w:trPr/>
        <w:tc>
          <w:tcPr>
            <w:tcW w:w="1908" w:type="dxa"/>
            <w:tcBorders>
              <w:top w:val="single" w:sz="4" w:space="0" w:color="000000"/>
              <w:start w:val="single" w:sz="4" w:space="0" w:color="000000"/>
              <w:bottom w:val="single" w:sz="4" w:space="0" w:color="000000"/>
              <w:end w:val="single" w:sz="4" w:space="0" w:color="000000"/>
            </w:tcBorders>
          </w:tcPr>
          <w:p>
            <w:pPr>
              <w:pStyle w:val="Normal"/>
              <w:spacing w:before="0" w:after="120"/>
              <w:rPr>
                <w:b/>
                <w:sz w:val="18"/>
                <w:szCs w:val="18"/>
                <w:lang w:val="en-GB"/>
              </w:rPr>
            </w:pPr>
            <w:r>
              <w:rPr>
                <w:b/>
                <w:sz w:val="18"/>
                <w:szCs w:val="18"/>
                <w:lang w:val="en-GB"/>
              </w:rPr>
              <w:t>Netherlands</w:t>
            </w:r>
          </w:p>
        </w:tc>
        <w:tc>
          <w:tcPr>
            <w:tcW w:w="1980" w:type="dxa"/>
            <w:tcBorders>
              <w:top w:val="single" w:sz="4" w:space="0" w:color="000000"/>
              <w:start w:val="single" w:sz="4" w:space="0" w:color="000000"/>
              <w:bottom w:val="single" w:sz="4" w:space="0" w:color="000000"/>
              <w:end w:val="single" w:sz="4" w:space="0" w:color="000000"/>
            </w:tcBorders>
          </w:tcPr>
          <w:p>
            <w:pPr>
              <w:pStyle w:val="Normal"/>
              <w:spacing w:before="0" w:after="120"/>
              <w:jc w:val="end"/>
              <w:rPr>
                <w:b/>
                <w:sz w:val="18"/>
                <w:szCs w:val="18"/>
                <w:lang w:val="en-GB"/>
              </w:rPr>
            </w:pPr>
            <w:r>
              <w:rPr>
                <w:b/>
                <w:sz w:val="18"/>
                <w:szCs w:val="18"/>
                <w:lang w:val="en-GB"/>
              </w:rPr>
              <w:t>Total (in Euros)</w:t>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spacing w:before="0" w:after="120"/>
              <w:rPr>
                <w:sz w:val="18"/>
                <w:szCs w:val="18"/>
                <w:lang w:val="en-GB"/>
              </w:rPr>
            </w:pPr>
            <w:r>
              <w:rPr>
                <w:sz w:val="18"/>
                <w:szCs w:val="18"/>
                <w:lang w:val="en-GB"/>
              </w:rPr>
              <w:t>Vendor Alpha</w:t>
            </w:r>
          </w:p>
        </w:tc>
        <w:tc>
          <w:tcPr>
            <w:tcW w:w="1980" w:type="dxa"/>
            <w:tcBorders>
              <w:top w:val="single" w:sz="4" w:space="0" w:color="000000"/>
              <w:start w:val="single" w:sz="4" w:space="0" w:color="000000"/>
              <w:bottom w:val="single" w:sz="4" w:space="0" w:color="000000"/>
              <w:end w:val="single" w:sz="4" w:space="0" w:color="000000"/>
            </w:tcBorders>
          </w:tcPr>
          <w:p>
            <w:pPr>
              <w:pStyle w:val="Normal"/>
              <w:spacing w:before="0" w:after="120"/>
              <w:jc w:val="end"/>
              <w:rPr>
                <w:sz w:val="18"/>
                <w:szCs w:val="18"/>
                <w:lang w:val="en-GB"/>
              </w:rPr>
            </w:pPr>
            <w:r>
              <w:rPr>
                <w:sz w:val="18"/>
                <w:szCs w:val="18"/>
                <w:lang w:val="en-GB"/>
              </w:rPr>
              <w:t>14.374.000</w:t>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spacing w:before="0" w:after="120"/>
              <w:rPr>
                <w:sz w:val="18"/>
                <w:szCs w:val="18"/>
                <w:lang w:val="en-GB"/>
              </w:rPr>
            </w:pPr>
            <w:r>
              <w:rPr>
                <w:sz w:val="18"/>
                <w:szCs w:val="18"/>
                <w:lang w:val="en-GB"/>
              </w:rPr>
              <w:t>Vendor Gamma</w:t>
            </w:r>
          </w:p>
        </w:tc>
        <w:tc>
          <w:tcPr>
            <w:tcW w:w="1980" w:type="dxa"/>
            <w:tcBorders>
              <w:top w:val="single" w:sz="4" w:space="0" w:color="000000"/>
              <w:start w:val="single" w:sz="4" w:space="0" w:color="000000"/>
              <w:bottom w:val="single" w:sz="4" w:space="0" w:color="000000"/>
              <w:end w:val="single" w:sz="4" w:space="0" w:color="000000"/>
            </w:tcBorders>
          </w:tcPr>
          <w:p>
            <w:pPr>
              <w:pStyle w:val="Normal"/>
              <w:spacing w:before="0" w:after="120"/>
              <w:jc w:val="end"/>
              <w:rPr>
                <w:sz w:val="18"/>
                <w:szCs w:val="18"/>
                <w:lang w:val="en-GB"/>
              </w:rPr>
            </w:pPr>
            <w:r>
              <w:rPr>
                <w:sz w:val="18"/>
                <w:szCs w:val="18"/>
                <w:lang w:val="en-GB"/>
              </w:rPr>
              <w:t>9.482.000</w:t>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spacing w:before="0" w:after="120"/>
              <w:rPr>
                <w:sz w:val="18"/>
                <w:szCs w:val="18"/>
                <w:lang w:val="en-GB"/>
              </w:rPr>
            </w:pPr>
            <w:r>
              <w:rPr>
                <w:sz w:val="18"/>
                <w:szCs w:val="18"/>
                <w:lang w:val="en-GB"/>
              </w:rPr>
              <w:t>TelCo</w:t>
            </w:r>
          </w:p>
        </w:tc>
        <w:tc>
          <w:tcPr>
            <w:tcW w:w="1980" w:type="dxa"/>
            <w:tcBorders>
              <w:top w:val="single" w:sz="4" w:space="0" w:color="000000"/>
              <w:start w:val="single" w:sz="4" w:space="0" w:color="000000"/>
              <w:bottom w:val="single" w:sz="4" w:space="0" w:color="000000"/>
              <w:end w:val="single" w:sz="4" w:space="0" w:color="000000"/>
            </w:tcBorders>
          </w:tcPr>
          <w:p>
            <w:pPr>
              <w:pStyle w:val="Normal"/>
              <w:spacing w:before="0" w:after="120"/>
              <w:jc w:val="end"/>
              <w:rPr>
                <w:sz w:val="18"/>
                <w:szCs w:val="18"/>
                <w:lang w:val="en-GB"/>
              </w:rPr>
            </w:pPr>
            <w:r>
              <w:rPr>
                <w:sz w:val="18"/>
                <w:szCs w:val="18"/>
                <w:lang w:val="en-GB"/>
              </w:rPr>
              <w:t>4.049.386</w:t>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120"/>
              <w:rPr>
                <w:sz w:val="18"/>
                <w:szCs w:val="18"/>
                <w:lang w:val="en-GB" w:eastAsia="nl-NL"/>
              </w:rPr>
            </w:pPr>
            <w:r>
              <w:rPr>
                <w:sz w:val="18"/>
                <w:szCs w:val="18"/>
                <w:lang w:val="en-GB" w:eastAsia="nl-NL"/>
              </w:rPr>
            </w:r>
          </w:p>
        </w:tc>
        <w:tc>
          <w:tcPr>
            <w:tcW w:w="1980"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120"/>
              <w:jc w:val="end"/>
              <w:rPr>
                <w:sz w:val="18"/>
                <w:szCs w:val="18"/>
                <w:lang w:val="en-GB"/>
              </w:rPr>
            </w:pPr>
            <w:r>
              <w:rPr>
                <w:sz w:val="18"/>
                <w:szCs w:val="18"/>
                <w:lang w:val="en-GB"/>
              </w:rPr>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spacing w:before="0" w:after="120"/>
              <w:rPr>
                <w:b/>
                <w:sz w:val="18"/>
                <w:szCs w:val="18"/>
                <w:lang w:val="en-GB"/>
              </w:rPr>
            </w:pPr>
            <w:r>
              <w:rPr>
                <w:b/>
                <w:sz w:val="18"/>
                <w:szCs w:val="18"/>
                <w:lang w:val="en-GB"/>
              </w:rPr>
              <w:t>Belgium</w:t>
            </w:r>
          </w:p>
        </w:tc>
        <w:tc>
          <w:tcPr>
            <w:tcW w:w="1980"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120"/>
              <w:rPr>
                <w:b/>
                <w:sz w:val="18"/>
                <w:szCs w:val="18"/>
                <w:lang w:val="en-GB"/>
              </w:rPr>
            </w:pPr>
            <w:r>
              <w:rPr>
                <w:b/>
                <w:sz w:val="18"/>
                <w:szCs w:val="18"/>
                <w:lang w:val="en-GB"/>
              </w:rPr>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spacing w:before="0" w:after="120"/>
              <w:rPr>
                <w:sz w:val="18"/>
                <w:szCs w:val="18"/>
                <w:lang w:val="en-GB"/>
              </w:rPr>
            </w:pPr>
            <w:r>
              <w:rPr>
                <w:sz w:val="18"/>
                <w:szCs w:val="18"/>
                <w:lang w:val="en-GB"/>
              </w:rPr>
              <w:t>Vendor Alpha</w:t>
            </w:r>
          </w:p>
        </w:tc>
        <w:tc>
          <w:tcPr>
            <w:tcW w:w="1980" w:type="dxa"/>
            <w:tcBorders>
              <w:top w:val="single" w:sz="4" w:space="0" w:color="000000"/>
              <w:start w:val="single" w:sz="4" w:space="0" w:color="000000"/>
              <w:bottom w:val="single" w:sz="4" w:space="0" w:color="000000"/>
              <w:end w:val="single" w:sz="4" w:space="0" w:color="000000"/>
            </w:tcBorders>
          </w:tcPr>
          <w:p>
            <w:pPr>
              <w:pStyle w:val="Normal"/>
              <w:spacing w:before="0" w:after="120"/>
              <w:jc w:val="end"/>
              <w:rPr>
                <w:sz w:val="18"/>
                <w:szCs w:val="18"/>
                <w:lang w:val="en-GB"/>
              </w:rPr>
            </w:pPr>
            <w:r>
              <w:rPr>
                <w:sz w:val="18"/>
                <w:szCs w:val="18"/>
                <w:lang w:val="en-GB"/>
              </w:rPr>
              <w:t>1.763.000</w:t>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spacing w:before="0" w:after="120"/>
              <w:rPr>
                <w:sz w:val="18"/>
                <w:szCs w:val="18"/>
                <w:lang w:val="en-GB"/>
              </w:rPr>
            </w:pPr>
            <w:r>
              <w:rPr>
                <w:sz w:val="18"/>
                <w:szCs w:val="18"/>
                <w:lang w:val="en-GB"/>
              </w:rPr>
              <w:t>Vendor Gamma</w:t>
            </w:r>
          </w:p>
        </w:tc>
        <w:tc>
          <w:tcPr>
            <w:tcW w:w="1980" w:type="dxa"/>
            <w:tcBorders>
              <w:top w:val="single" w:sz="4" w:space="0" w:color="000000"/>
              <w:start w:val="single" w:sz="4" w:space="0" w:color="000000"/>
              <w:bottom w:val="single" w:sz="4" w:space="0" w:color="000000"/>
              <w:end w:val="single" w:sz="4" w:space="0" w:color="000000"/>
            </w:tcBorders>
          </w:tcPr>
          <w:p>
            <w:pPr>
              <w:pStyle w:val="Normal"/>
              <w:spacing w:before="0" w:after="120"/>
              <w:jc w:val="end"/>
              <w:rPr>
                <w:sz w:val="18"/>
                <w:szCs w:val="18"/>
                <w:lang w:val="en-GB"/>
              </w:rPr>
            </w:pPr>
            <w:r>
              <w:rPr>
                <w:sz w:val="18"/>
                <w:szCs w:val="18"/>
                <w:lang w:val="en-GB"/>
              </w:rPr>
              <w:t>1.586.000</w:t>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spacing w:before="0" w:after="120"/>
              <w:rPr>
                <w:sz w:val="18"/>
                <w:szCs w:val="18"/>
                <w:lang w:val="en-GB"/>
              </w:rPr>
            </w:pPr>
            <w:r>
              <w:rPr>
                <w:sz w:val="18"/>
                <w:szCs w:val="18"/>
                <w:lang w:val="en-GB"/>
              </w:rPr>
              <w:t>TelCo</w:t>
            </w:r>
          </w:p>
        </w:tc>
        <w:tc>
          <w:tcPr>
            <w:tcW w:w="1980" w:type="dxa"/>
            <w:tcBorders>
              <w:top w:val="single" w:sz="4" w:space="0" w:color="000000"/>
              <w:start w:val="single" w:sz="4" w:space="0" w:color="000000"/>
              <w:bottom w:val="single" w:sz="4" w:space="0" w:color="000000"/>
              <w:end w:val="single" w:sz="4" w:space="0" w:color="000000"/>
            </w:tcBorders>
          </w:tcPr>
          <w:p>
            <w:pPr>
              <w:pStyle w:val="Normal"/>
              <w:spacing w:before="0" w:after="120"/>
              <w:jc w:val="end"/>
              <w:rPr>
                <w:sz w:val="18"/>
                <w:szCs w:val="18"/>
                <w:lang w:val="en-GB"/>
              </w:rPr>
            </w:pPr>
            <w:r>
              <w:rPr>
                <w:sz w:val="18"/>
                <w:szCs w:val="18"/>
                <w:lang w:val="en-GB"/>
              </w:rPr>
              <w:t>245.614</w:t>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spacing w:before="120" w:after="120"/>
              <w:jc w:val="end"/>
              <w:rPr>
                <w:b/>
                <w:sz w:val="18"/>
                <w:szCs w:val="18"/>
                <w:lang w:val="en-GB"/>
              </w:rPr>
            </w:pPr>
            <w:r>
              <w:rPr>
                <w:b/>
                <w:sz w:val="18"/>
                <w:szCs w:val="18"/>
                <w:lang w:val="en-GB"/>
              </w:rPr>
              <w:t>Total:</w:t>
            </w:r>
          </w:p>
        </w:tc>
        <w:tc>
          <w:tcPr>
            <w:tcW w:w="1980" w:type="dxa"/>
            <w:tcBorders>
              <w:top w:val="single" w:sz="4" w:space="0" w:color="000000"/>
              <w:start w:val="single" w:sz="4" w:space="0" w:color="000000"/>
              <w:bottom w:val="single" w:sz="4" w:space="0" w:color="000000"/>
              <w:end w:val="single" w:sz="4" w:space="0" w:color="000000"/>
            </w:tcBorders>
          </w:tcPr>
          <w:p>
            <w:pPr>
              <w:pStyle w:val="Normal"/>
              <w:spacing w:before="120" w:after="120"/>
              <w:jc w:val="end"/>
              <w:rPr>
                <w:b/>
                <w:sz w:val="18"/>
                <w:szCs w:val="18"/>
                <w:lang w:val="nl-NL" w:eastAsia="nl-NL"/>
              </w:rPr>
            </w:pPr>
            <w:r>
              <w:rPr>
                <w:b/>
                <w:sz w:val="18"/>
                <w:szCs w:val="18"/>
                <w:lang w:val="nl-NL" w:eastAsia="nl-NL"/>
              </w:rPr>
              <w:t>€</w:t>
            </w:r>
            <w:r>
              <w:rPr>
                <w:b/>
                <w:sz w:val="18"/>
                <w:szCs w:val="18"/>
                <w:lang w:val="nl-NL" w:eastAsia="nl-NL"/>
              </w:rPr>
              <w:t>31.500.000</w:t>
            </w:r>
          </w:p>
        </w:tc>
      </w:tr>
    </w:tbl>
    <w:p>
      <w:pPr>
        <w:pStyle w:val="Normal"/>
        <w:spacing w:before="0" w:after="0"/>
        <w:jc w:val="both"/>
        <w:rPr>
          <w:lang w:val="en-GB"/>
        </w:rPr>
      </w:pPr>
      <w:r>
        <w:rPr>
          <w:lang w:val="en-GB"/>
        </w:rPr>
      </w:r>
    </w:p>
    <w:p>
      <w:pPr>
        <w:pStyle w:val="Normal"/>
        <w:spacing w:before="0" w:after="0"/>
        <w:jc w:val="both"/>
        <w:rPr/>
      </w:pPr>
      <w:r>
        <w:rPr>
          <w:lang w:val="en-GB"/>
        </w:rPr>
        <w:t>(each row being a “</w:t>
      </w:r>
      <w:r>
        <w:rPr>
          <w:b/>
          <w:i/>
          <w:lang w:val="en-GB"/>
        </w:rPr>
        <w:t>Harmonisation Lump Sum</w:t>
      </w:r>
      <w:r>
        <w:rPr>
          <w:lang w:val="en-GB"/>
        </w:rPr>
        <w:t>”)</w:t>
      </w:r>
    </w:p>
    <w:p>
      <w:pPr>
        <w:pStyle w:val="Normal"/>
        <w:spacing w:before="0" w:after="0"/>
        <w:jc w:val="both"/>
        <w:rPr>
          <w:lang w:val="en-GB"/>
        </w:rPr>
      </w:pPr>
      <w:r>
        <w:rPr>
          <w:lang w:val="en-GB"/>
        </w:rPr>
      </w:r>
    </w:p>
    <w:p>
      <w:pPr>
        <w:pStyle w:val="Normal"/>
        <w:jc w:val="both"/>
        <w:rPr/>
      </w:pPr>
      <w:r>
        <w:rPr>
          <w:lang w:val="en-GB"/>
        </w:rPr>
        <w:t>The above payments to each PST Supplier shall be made in 6 equal six-monthly instalments starting on the Commencement Date.</w:t>
      </w:r>
    </w:p>
    <w:p>
      <w:pPr>
        <w:pStyle w:val="Normal"/>
        <w:jc w:val="both"/>
        <w:rPr>
          <w:lang w:val="en-GB"/>
        </w:rPr>
      </w:pPr>
      <w:r>
        <w:rPr>
          <w:lang w:val="en-GB"/>
        </w:rPr>
      </w:r>
    </w:p>
    <w:p>
      <w:pPr>
        <w:pStyle w:val="Normal"/>
        <w:jc w:val="both"/>
        <w:rPr/>
      </w:pPr>
      <w:r>
        <w:rPr>
          <w:lang w:val="en-GB"/>
        </w:rPr>
        <w:t>The aggregate of the Harmonisation Lump Sums shall remain fixed provided the number of Affected Employees in the Belgium is between 30 and 39. The Harmonisation Lump Sums may be adjusted in the following circumstances:</w:t>
      </w:r>
    </w:p>
    <w:p>
      <w:pPr>
        <w:pStyle w:val="Normal"/>
        <w:jc w:val="both"/>
        <w:rPr>
          <w:lang w:val="en-GB"/>
        </w:rPr>
      </w:pPr>
      <w:r>
        <w:rPr>
          <w:lang w:val="en-GB"/>
        </w:rPr>
      </w:r>
    </w:p>
    <w:p>
      <w:pPr>
        <w:pStyle w:val="Normal"/>
        <w:numPr>
          <w:ilvl w:val="0"/>
          <w:numId w:val="9"/>
        </w:numPr>
        <w:spacing w:before="0" w:after="0"/>
        <w:jc w:val="both"/>
        <w:rPr>
          <w:lang w:val="en-GB"/>
        </w:rPr>
      </w:pPr>
      <w:r>
        <w:rPr>
          <w:lang w:val="en-GB"/>
        </w:rPr>
        <w:t>if the number of Affected Employees is less than 30, then EuroBank shall be entitled to reduce the relevant Harmonisation Lump Sum by €66,000 for each Affected Employee below 30 and the instalment payment shall be adjusted accordingly; or</w:t>
      </w:r>
    </w:p>
    <w:p>
      <w:pPr>
        <w:pStyle w:val="Normal"/>
        <w:ind w:start="360" w:end="0"/>
        <w:jc w:val="both"/>
        <w:rPr>
          <w:lang w:val="en-GB"/>
        </w:rPr>
      </w:pPr>
      <w:r>
        <w:rPr>
          <w:lang w:val="en-GB"/>
        </w:rPr>
      </w:r>
    </w:p>
    <w:p>
      <w:pPr>
        <w:pStyle w:val="Normal"/>
        <w:numPr>
          <w:ilvl w:val="0"/>
          <w:numId w:val="9"/>
        </w:numPr>
        <w:spacing w:before="0" w:after="0"/>
        <w:jc w:val="both"/>
        <w:rPr>
          <w:lang w:val="en-GB"/>
        </w:rPr>
      </w:pPr>
      <w:r>
        <w:rPr>
          <w:lang w:val="en-GB"/>
        </w:rPr>
        <w:t>if the number of Affected Employees is greater than 39 then the PST Supplier shall be entitled to invoice EuroBank the sum of €66,000 for each such additional Affected Employee above 39, and the relevant Harmonisation Lump Sum and instalment payments shall be adjusted accordingly.</w:t>
      </w:r>
    </w:p>
    <w:p>
      <w:pPr>
        <w:pStyle w:val="Normal"/>
        <w:jc w:val="both"/>
        <w:rPr>
          <w:lang w:val="en-GB"/>
        </w:rPr>
      </w:pPr>
      <w:r>
        <w:rPr>
          <w:lang w:val="en-GB"/>
        </w:rPr>
      </w:r>
    </w:p>
    <w:p>
      <w:pPr>
        <w:pStyle w:val="Normal"/>
        <w:jc w:val="both"/>
        <w:rPr>
          <w:lang w:val="en-GB"/>
        </w:rPr>
      </w:pPr>
      <w:r>
        <w:rPr>
          <w:lang w:val="en-GB"/>
        </w:rPr>
        <w:t>The PST Suppliers shall consult with the 2IM in the circumstances set out in 1 above in order to determine which PST Supplier shall have its Harmonisation Lump Sum reduced. The 2IM’s determination shall be final and EuroBank shall make the adjustment to that PST Supplier’s Harmonisation Lump Sum accordingly</w:t>
      </w:r>
    </w:p>
    <w:p>
      <w:pPr>
        <w:pStyle w:val="Normal"/>
        <w:jc w:val="both"/>
        <w:rPr>
          <w:szCs w:val="22"/>
          <w:lang w:val="en-GB"/>
        </w:rPr>
      </w:pPr>
      <w:r>
        <w:rPr>
          <w:szCs w:val="22"/>
          <w:lang w:val="en-GB"/>
        </w:rPr>
      </w:r>
    </w:p>
    <w:p>
      <w:pPr>
        <w:pStyle w:val="NormalWeb"/>
        <w:rPr/>
      </w:pPr>
      <w:r>
        <w:rPr>
          <w:sz w:val="22"/>
          <w:szCs w:val="22"/>
          <w:lang w:val="en-GB"/>
        </w:rPr>
        <w:t>In the event that Harmonisation Costs apply to Vendor Beta, these will be handled on a case by case basis.</w:t>
      </w:r>
    </w:p>
    <w:p>
      <w:pPr>
        <w:pStyle w:val="Heading2"/>
        <w:ind w:hanging="0" w:start="0"/>
        <w:rPr>
          <w:sz w:val="22"/>
          <w:szCs w:val="22"/>
          <w:lang w:val="en-GB"/>
        </w:rPr>
      </w:pPr>
      <w:bookmarkStart w:id="1" w:name="__RefHeading___Toc153713320"/>
      <w:bookmarkEnd w:id="1"/>
      <w:r>
        <w:rPr>
          <w:sz w:val="22"/>
          <w:szCs w:val="22"/>
          <w:lang w:val="en-GB"/>
        </w:rPr>
        <w:t>EuroBank Technics</w:t>
      </w:r>
    </w:p>
    <w:p>
      <w:pPr>
        <w:pStyle w:val="Normal"/>
        <w:spacing w:before="0" w:after="0"/>
        <w:jc w:val="both"/>
        <w:rPr>
          <w:lang w:val="en-GB"/>
        </w:rPr>
      </w:pPr>
      <w:r>
        <w:rPr>
          <w:lang w:val="en-GB"/>
        </w:rPr>
        <w:t>Upon the handover of the activities performed by EuroBank Technics as more particularly set out in Exhibit 4 paragraph 7.1, the parties shall calculate the Harmonisation Costs (if any) relevant thereto in accordance with the terms of this Attachment.</w:t>
      </w:r>
    </w:p>
    <w:p>
      <w:pPr>
        <w:pStyle w:val="Heading2"/>
        <w:ind w:hanging="0" w:start="0"/>
        <w:rPr>
          <w:sz w:val="22"/>
          <w:szCs w:val="22"/>
          <w:lang w:val="en-GB"/>
        </w:rPr>
      </w:pPr>
      <w:bookmarkStart w:id="2" w:name="__RefHeading___Toc153713321"/>
      <w:bookmarkEnd w:id="2"/>
      <w:r>
        <w:rPr>
          <w:sz w:val="22"/>
          <w:szCs w:val="22"/>
          <w:lang w:val="en-GB"/>
        </w:rPr>
        <w:t>Method of Payment</w:t>
      </w:r>
    </w:p>
    <w:p>
      <w:pPr>
        <w:pStyle w:val="Normal"/>
        <w:spacing w:before="0" w:after="0"/>
        <w:jc w:val="both"/>
        <w:rPr/>
      </w:pPr>
      <w:r>
        <w:rPr>
          <w:lang w:val="en-GB"/>
        </w:rPr>
        <w:t>The PST Suppliers will invoice EuroBank for the first amount at Commencement Date and then every six months,.</w:t>
      </w:r>
    </w:p>
    <w:p>
      <w:pPr>
        <w:pStyle w:val="Heading2"/>
        <w:ind w:hanging="0" w:start="0"/>
        <w:rPr/>
      </w:pPr>
      <w:bookmarkStart w:id="3" w:name="__RefHeading___Toc153713322"/>
      <w:bookmarkEnd w:id="3"/>
      <w:r>
        <w:rPr>
          <w:sz w:val="22"/>
          <w:szCs w:val="22"/>
          <w:lang w:val="en-GB"/>
        </w:rPr>
        <w:t>Treatment if Affected Employees return to EuroBank</w:t>
      </w:r>
    </w:p>
    <w:p>
      <w:pPr>
        <w:pStyle w:val="Normal"/>
        <w:spacing w:before="0" w:after="0"/>
        <w:jc w:val="both"/>
        <w:rPr/>
      </w:pPr>
      <w:r>
        <w:rPr>
          <w:lang w:val="en-GB"/>
        </w:rPr>
        <w:t>For every Affected Employee who returns to EuroBank within 3 years (36 months) after Commencement Date under the right of return as described in the Collective Labour Agreement Sourcing (artikel 3.2.2. Collectieve Ondernemingsovereenkomst van 31 mei 2006 (Docking) / (WPS), and subject to any other agreements made in Exhibit 5, the PST Supplier shall repay EuroBank the amount of the relevant Harmonisation Lump Sum (see table as mentioned above) relative to the unexpired time of the 36-month period calculated from the date that the Affected Employee returns to EuroBank.</w:t>
      </w:r>
    </w:p>
    <w:p>
      <w:pPr>
        <w:pStyle w:val="Heading2"/>
        <w:ind w:hanging="0" w:start="0"/>
        <w:rPr>
          <w:sz w:val="22"/>
          <w:szCs w:val="22"/>
          <w:lang w:val="en-GB"/>
        </w:rPr>
      </w:pPr>
      <w:bookmarkStart w:id="4" w:name="__RefHeading___Toc153713323"/>
      <w:bookmarkEnd w:id="4"/>
      <w:r>
        <w:rPr>
          <w:sz w:val="22"/>
          <w:szCs w:val="22"/>
          <w:lang w:val="en-GB"/>
        </w:rPr>
        <w:t>Included in Harmonisation Lump Sum</w:t>
      </w:r>
    </w:p>
    <w:p>
      <w:pPr>
        <w:pStyle w:val="Normal"/>
        <w:rPr>
          <w:lang w:val="en-GB"/>
        </w:rPr>
      </w:pPr>
      <w:r>
        <w:rPr>
          <w:lang w:val="en-GB"/>
        </w:rPr>
        <w:t>All terms , conditions, salary components or similar advantages as described in the CLA’s, individual labour contracts or any other source applicable in EuroBank Belgium, such as for example:</w:t>
      </w:r>
    </w:p>
    <w:p>
      <w:pPr>
        <w:pStyle w:val="Normal"/>
        <w:rPr>
          <w:lang w:val="en-GB"/>
        </w:rPr>
      </w:pPr>
      <w:r>
        <w:rPr>
          <w:lang w:val="en-GB"/>
        </w:rPr>
      </w:r>
    </w:p>
    <w:tbl>
      <w:tblPr>
        <w:tblW w:w="8667" w:type="dxa"/>
        <w:jc w:val="start"/>
        <w:tblInd w:w="0" w:type="dxa"/>
        <w:tblLayout w:type="fixed"/>
        <w:tblCellMar>
          <w:top w:w="0" w:type="dxa"/>
          <w:start w:w="108" w:type="dxa"/>
          <w:bottom w:w="0" w:type="dxa"/>
          <w:end w:w="108" w:type="dxa"/>
        </w:tblCellMar>
      </w:tblPr>
      <w:tblGrid>
        <w:gridCol w:w="2880"/>
        <w:gridCol w:w="2566"/>
        <w:gridCol w:w="3221"/>
      </w:tblGrid>
      <w:tr>
        <w:trPr/>
        <w:tc>
          <w:tcPr>
            <w:tcW w:w="2880" w:type="dxa"/>
            <w:tcBorders/>
          </w:tcPr>
          <w:p>
            <w:pPr>
              <w:pStyle w:val="Normal"/>
              <w:spacing w:before="120" w:after="120"/>
              <w:rPr>
                <w:b/>
                <w:i/>
                <w:i/>
                <w:sz w:val="18"/>
                <w:szCs w:val="18"/>
              </w:rPr>
            </w:pPr>
            <w:r>
              <w:rPr>
                <w:b/>
                <w:i/>
                <w:sz w:val="18"/>
                <w:szCs w:val="18"/>
              </w:rPr>
              <w:t>Base Salary + Additional components</w:t>
            </w:r>
          </w:p>
        </w:tc>
        <w:tc>
          <w:tcPr>
            <w:tcW w:w="2566" w:type="dxa"/>
            <w:tcBorders/>
          </w:tcPr>
          <w:p>
            <w:pPr>
              <w:pStyle w:val="Normal"/>
              <w:spacing w:before="120" w:after="120"/>
              <w:rPr>
                <w:b/>
                <w:i/>
                <w:i/>
                <w:sz w:val="18"/>
                <w:szCs w:val="18"/>
              </w:rPr>
            </w:pPr>
            <w:r>
              <w:rPr>
                <w:b/>
                <w:i/>
                <w:sz w:val="18"/>
                <w:szCs w:val="18"/>
              </w:rPr>
              <w:t>Pension</w:t>
            </w:r>
          </w:p>
        </w:tc>
        <w:tc>
          <w:tcPr>
            <w:tcW w:w="3221" w:type="dxa"/>
            <w:tcBorders/>
          </w:tcPr>
          <w:p>
            <w:pPr>
              <w:pStyle w:val="Normal"/>
              <w:spacing w:before="120" w:after="120"/>
              <w:rPr>
                <w:b/>
                <w:i/>
                <w:i/>
                <w:sz w:val="18"/>
                <w:szCs w:val="18"/>
              </w:rPr>
            </w:pPr>
            <w:r>
              <w:rPr>
                <w:b/>
                <w:i/>
                <w:sz w:val="18"/>
                <w:szCs w:val="18"/>
              </w:rPr>
              <w:t>Other</w:t>
            </w:r>
          </w:p>
        </w:tc>
      </w:tr>
      <w:tr>
        <w:trPr/>
        <w:tc>
          <w:tcPr>
            <w:tcW w:w="2880" w:type="dxa"/>
            <w:tcBorders/>
          </w:tcPr>
          <w:p>
            <w:pPr>
              <w:pStyle w:val="Normal"/>
              <w:numPr>
                <w:ilvl w:val="0"/>
                <w:numId w:val="10"/>
              </w:numPr>
              <w:tabs>
                <w:tab w:val="clear" w:pos="720"/>
                <w:tab w:val="left" w:pos="360" w:leader="none"/>
              </w:tabs>
              <w:spacing w:before="0" w:after="0"/>
              <w:ind w:hanging="360" w:start="360" w:end="0"/>
              <w:rPr>
                <w:sz w:val="18"/>
                <w:szCs w:val="18"/>
              </w:rPr>
            </w:pPr>
            <w:r>
              <w:rPr>
                <w:sz w:val="18"/>
                <w:szCs w:val="18"/>
              </w:rPr>
              <w:t>Fixed Annual Salary</w:t>
            </w:r>
          </w:p>
        </w:tc>
        <w:tc>
          <w:tcPr>
            <w:tcW w:w="2566" w:type="dxa"/>
            <w:tcBorders/>
          </w:tcPr>
          <w:p>
            <w:pPr>
              <w:pStyle w:val="Normal"/>
              <w:numPr>
                <w:ilvl w:val="0"/>
                <w:numId w:val="10"/>
              </w:numPr>
              <w:tabs>
                <w:tab w:val="clear" w:pos="720"/>
                <w:tab w:val="left" w:pos="360" w:leader="none"/>
              </w:tabs>
              <w:spacing w:before="0" w:after="0"/>
              <w:ind w:hanging="360" w:start="360" w:end="0"/>
              <w:rPr>
                <w:sz w:val="18"/>
                <w:szCs w:val="18"/>
              </w:rPr>
            </w:pPr>
            <w:r>
              <w:rPr>
                <w:sz w:val="18"/>
                <w:szCs w:val="18"/>
              </w:rPr>
              <w:t>Pre-pensions</w:t>
            </w:r>
          </w:p>
        </w:tc>
        <w:tc>
          <w:tcPr>
            <w:tcW w:w="3221" w:type="dxa"/>
            <w:tcBorders/>
          </w:tcPr>
          <w:p>
            <w:pPr>
              <w:pStyle w:val="Normal"/>
              <w:numPr>
                <w:ilvl w:val="0"/>
                <w:numId w:val="10"/>
              </w:numPr>
              <w:tabs>
                <w:tab w:val="clear" w:pos="720"/>
                <w:tab w:val="left" w:pos="360" w:leader="none"/>
              </w:tabs>
              <w:spacing w:before="0" w:after="0"/>
              <w:ind w:hanging="360" w:start="360" w:end="0"/>
              <w:rPr>
                <w:sz w:val="18"/>
                <w:szCs w:val="18"/>
              </w:rPr>
            </w:pPr>
            <w:r>
              <w:rPr>
                <w:sz w:val="18"/>
                <w:szCs w:val="18"/>
              </w:rPr>
              <w:t>Employers Costs</w:t>
            </w:r>
          </w:p>
        </w:tc>
      </w:tr>
      <w:tr>
        <w:trPr/>
        <w:tc>
          <w:tcPr>
            <w:tcW w:w="2880" w:type="dxa"/>
            <w:tcBorders/>
          </w:tcPr>
          <w:p>
            <w:pPr>
              <w:pStyle w:val="Normal"/>
              <w:numPr>
                <w:ilvl w:val="0"/>
                <w:numId w:val="10"/>
              </w:numPr>
              <w:tabs>
                <w:tab w:val="clear" w:pos="720"/>
                <w:tab w:val="left" w:pos="360" w:leader="none"/>
              </w:tabs>
              <w:spacing w:before="0" w:after="0"/>
              <w:ind w:hanging="360" w:start="360" w:end="0"/>
              <w:rPr>
                <w:sz w:val="18"/>
                <w:szCs w:val="18"/>
              </w:rPr>
            </w:pPr>
            <w:r>
              <w:rPr>
                <w:sz w:val="18"/>
                <w:szCs w:val="18"/>
              </w:rPr>
              <w:t>Contractual working hours</w:t>
            </w:r>
          </w:p>
        </w:tc>
        <w:tc>
          <w:tcPr>
            <w:tcW w:w="2566" w:type="dxa"/>
            <w:tcBorders/>
          </w:tcPr>
          <w:p>
            <w:pPr>
              <w:pStyle w:val="Normal"/>
              <w:numPr>
                <w:ilvl w:val="0"/>
                <w:numId w:val="10"/>
              </w:numPr>
              <w:tabs>
                <w:tab w:val="clear" w:pos="720"/>
                <w:tab w:val="left" w:pos="360" w:leader="none"/>
              </w:tabs>
              <w:spacing w:before="0" w:after="0"/>
              <w:ind w:hanging="360" w:start="360" w:end="0"/>
              <w:rPr>
                <w:sz w:val="18"/>
                <w:szCs w:val="18"/>
              </w:rPr>
            </w:pPr>
            <w:r>
              <w:rPr>
                <w:sz w:val="18"/>
                <w:szCs w:val="18"/>
              </w:rPr>
              <w:t>Early retirement</w:t>
            </w:r>
          </w:p>
        </w:tc>
        <w:tc>
          <w:tcPr>
            <w:tcW w:w="3221" w:type="dxa"/>
            <w:tcBorders/>
          </w:tcPr>
          <w:p>
            <w:pPr>
              <w:pStyle w:val="Normal"/>
              <w:numPr>
                <w:ilvl w:val="0"/>
                <w:numId w:val="10"/>
              </w:numPr>
              <w:tabs>
                <w:tab w:val="clear" w:pos="720"/>
                <w:tab w:val="left" w:pos="360" w:leader="none"/>
              </w:tabs>
              <w:spacing w:before="0" w:after="0"/>
              <w:ind w:hanging="360" w:start="360" w:end="0"/>
              <w:rPr>
                <w:sz w:val="18"/>
                <w:szCs w:val="18"/>
              </w:rPr>
            </w:pPr>
            <w:r>
              <w:rPr>
                <w:sz w:val="18"/>
                <w:szCs w:val="18"/>
              </w:rPr>
              <w:t>Jubilee</w:t>
            </w:r>
          </w:p>
        </w:tc>
      </w:tr>
      <w:tr>
        <w:trPr/>
        <w:tc>
          <w:tcPr>
            <w:tcW w:w="2880" w:type="dxa"/>
            <w:tcBorders/>
          </w:tcPr>
          <w:p>
            <w:pPr>
              <w:pStyle w:val="Normal"/>
              <w:numPr>
                <w:ilvl w:val="0"/>
                <w:numId w:val="10"/>
              </w:numPr>
              <w:tabs>
                <w:tab w:val="clear" w:pos="720"/>
                <w:tab w:val="left" w:pos="360" w:leader="none"/>
              </w:tabs>
              <w:spacing w:before="0" w:after="0"/>
              <w:ind w:hanging="360" w:start="360" w:end="0"/>
              <w:rPr>
                <w:sz w:val="18"/>
                <w:szCs w:val="18"/>
              </w:rPr>
            </w:pPr>
            <w:r>
              <w:rPr>
                <w:sz w:val="18"/>
                <w:szCs w:val="18"/>
              </w:rPr>
              <w:t>Working hour bonus</w:t>
            </w:r>
          </w:p>
        </w:tc>
        <w:tc>
          <w:tcPr>
            <w:tcW w:w="2566" w:type="dxa"/>
            <w:tcBorders/>
          </w:tcPr>
          <w:p>
            <w:pPr>
              <w:pStyle w:val="Normal"/>
              <w:numPr>
                <w:ilvl w:val="0"/>
                <w:numId w:val="10"/>
              </w:numPr>
              <w:tabs>
                <w:tab w:val="clear" w:pos="720"/>
                <w:tab w:val="left" w:pos="360" w:leader="none"/>
              </w:tabs>
              <w:spacing w:before="0" w:after="0"/>
              <w:ind w:hanging="360" w:start="360" w:end="0"/>
              <w:rPr>
                <w:sz w:val="18"/>
                <w:szCs w:val="18"/>
              </w:rPr>
            </w:pPr>
            <w:r>
              <w:rPr>
                <w:sz w:val="18"/>
                <w:szCs w:val="18"/>
              </w:rPr>
              <w:t>Bridge pensions</w:t>
            </w:r>
          </w:p>
        </w:tc>
        <w:tc>
          <w:tcPr>
            <w:tcW w:w="3221" w:type="dxa"/>
            <w:tcBorders/>
          </w:tcPr>
          <w:p>
            <w:pPr>
              <w:pStyle w:val="Normal"/>
              <w:numPr>
                <w:ilvl w:val="0"/>
                <w:numId w:val="10"/>
              </w:numPr>
              <w:tabs>
                <w:tab w:val="clear" w:pos="720"/>
                <w:tab w:val="left" w:pos="360" w:leader="none"/>
              </w:tabs>
              <w:spacing w:before="0" w:after="0"/>
              <w:ind w:hanging="360" w:start="360" w:end="0"/>
              <w:rPr>
                <w:sz w:val="18"/>
                <w:szCs w:val="18"/>
              </w:rPr>
            </w:pPr>
            <w:r>
              <w:rPr>
                <w:sz w:val="18"/>
                <w:szCs w:val="18"/>
              </w:rPr>
              <w:t>Leasecar</w:t>
            </w:r>
          </w:p>
        </w:tc>
      </w:tr>
      <w:tr>
        <w:trPr/>
        <w:tc>
          <w:tcPr>
            <w:tcW w:w="2880" w:type="dxa"/>
            <w:tcBorders/>
          </w:tcPr>
          <w:p>
            <w:pPr>
              <w:pStyle w:val="Normal"/>
              <w:numPr>
                <w:ilvl w:val="0"/>
                <w:numId w:val="10"/>
              </w:numPr>
              <w:tabs>
                <w:tab w:val="clear" w:pos="720"/>
                <w:tab w:val="left" w:pos="360" w:leader="none"/>
              </w:tabs>
              <w:spacing w:before="0" w:after="0"/>
              <w:ind w:hanging="360" w:start="360" w:end="0"/>
              <w:rPr>
                <w:sz w:val="18"/>
                <w:szCs w:val="18"/>
              </w:rPr>
            </w:pPr>
            <w:r>
              <w:rPr>
                <w:sz w:val="18"/>
                <w:szCs w:val="18"/>
              </w:rPr>
              <w:t>Working hours</w:t>
            </w:r>
          </w:p>
        </w:tc>
        <w:tc>
          <w:tcPr>
            <w:tcW w:w="2566" w:type="dxa"/>
            <w:tcBorders/>
          </w:tcPr>
          <w:p>
            <w:pPr>
              <w:pStyle w:val="Normal"/>
              <w:snapToGrid w:val="false"/>
              <w:spacing w:before="0" w:after="0"/>
              <w:rPr>
                <w:sz w:val="18"/>
                <w:szCs w:val="18"/>
              </w:rPr>
            </w:pPr>
            <w:r>
              <w:rPr>
                <w:sz w:val="18"/>
                <w:szCs w:val="18"/>
              </w:rPr>
            </w:r>
          </w:p>
        </w:tc>
        <w:tc>
          <w:tcPr>
            <w:tcW w:w="3221" w:type="dxa"/>
            <w:tcBorders/>
          </w:tcPr>
          <w:p>
            <w:pPr>
              <w:pStyle w:val="Normal"/>
              <w:numPr>
                <w:ilvl w:val="0"/>
                <w:numId w:val="10"/>
              </w:numPr>
              <w:tabs>
                <w:tab w:val="clear" w:pos="720"/>
                <w:tab w:val="left" w:pos="360" w:leader="none"/>
              </w:tabs>
              <w:spacing w:before="0" w:after="0"/>
              <w:ind w:hanging="360" w:start="360" w:end="0"/>
              <w:rPr>
                <w:sz w:val="18"/>
                <w:szCs w:val="18"/>
              </w:rPr>
            </w:pPr>
            <w:r>
              <w:rPr>
                <w:sz w:val="18"/>
                <w:szCs w:val="18"/>
              </w:rPr>
              <w:t>Cost compensations</w:t>
            </w:r>
          </w:p>
        </w:tc>
      </w:tr>
      <w:tr>
        <w:trPr/>
        <w:tc>
          <w:tcPr>
            <w:tcW w:w="2880" w:type="dxa"/>
            <w:tcBorders/>
          </w:tcPr>
          <w:p>
            <w:pPr>
              <w:pStyle w:val="Normal"/>
              <w:numPr>
                <w:ilvl w:val="0"/>
                <w:numId w:val="10"/>
              </w:numPr>
              <w:tabs>
                <w:tab w:val="clear" w:pos="720"/>
                <w:tab w:val="left" w:pos="360" w:leader="none"/>
              </w:tabs>
              <w:spacing w:before="0" w:after="0"/>
              <w:ind w:hanging="360" w:start="360" w:end="0"/>
              <w:rPr>
                <w:sz w:val="18"/>
                <w:szCs w:val="18"/>
              </w:rPr>
            </w:pPr>
            <w:r>
              <w:rPr>
                <w:sz w:val="18"/>
                <w:szCs w:val="18"/>
              </w:rPr>
              <w:t>Leave hours</w:t>
            </w:r>
          </w:p>
          <w:p>
            <w:pPr>
              <w:pStyle w:val="Normal"/>
              <w:numPr>
                <w:ilvl w:val="0"/>
                <w:numId w:val="10"/>
              </w:numPr>
              <w:spacing w:before="0" w:after="0"/>
              <w:ind w:hanging="0" w:start="0" w:end="0"/>
              <w:rPr>
                <w:sz w:val="18"/>
                <w:szCs w:val="18"/>
              </w:rPr>
            </w:pPr>
            <w:r>
              <w:rPr>
                <w:sz w:val="18"/>
                <w:szCs w:val="18"/>
              </w:rPr>
              <w:t>On call bonus (*)</w:t>
            </w:r>
          </w:p>
        </w:tc>
        <w:tc>
          <w:tcPr>
            <w:tcW w:w="2566" w:type="dxa"/>
            <w:tcBorders/>
          </w:tcPr>
          <w:p>
            <w:pPr>
              <w:pStyle w:val="Normal"/>
              <w:snapToGrid w:val="false"/>
              <w:spacing w:before="0" w:after="0"/>
              <w:rPr>
                <w:sz w:val="18"/>
                <w:szCs w:val="18"/>
              </w:rPr>
            </w:pPr>
            <w:r>
              <w:rPr>
                <w:sz w:val="18"/>
                <w:szCs w:val="18"/>
              </w:rPr>
            </w:r>
          </w:p>
        </w:tc>
        <w:tc>
          <w:tcPr>
            <w:tcW w:w="3221" w:type="dxa"/>
            <w:tcBorders/>
          </w:tcPr>
          <w:p>
            <w:pPr>
              <w:pStyle w:val="Normal"/>
              <w:numPr>
                <w:ilvl w:val="0"/>
                <w:numId w:val="10"/>
              </w:numPr>
              <w:tabs>
                <w:tab w:val="clear" w:pos="720"/>
                <w:tab w:val="left" w:pos="360" w:leader="none"/>
              </w:tabs>
              <w:spacing w:before="0" w:after="0"/>
              <w:ind w:hanging="360" w:start="360" w:end="0"/>
              <w:rPr>
                <w:sz w:val="18"/>
                <w:szCs w:val="18"/>
              </w:rPr>
            </w:pPr>
            <w:r>
              <w:rPr>
                <w:sz w:val="18"/>
                <w:szCs w:val="18"/>
              </w:rPr>
              <w:t>Sickness pay continuation and disability</w:t>
            </w:r>
          </w:p>
        </w:tc>
      </w:tr>
      <w:tr>
        <w:trPr/>
        <w:tc>
          <w:tcPr>
            <w:tcW w:w="2880" w:type="dxa"/>
            <w:tcBorders/>
          </w:tcPr>
          <w:p>
            <w:pPr>
              <w:pStyle w:val="Normal"/>
              <w:numPr>
                <w:ilvl w:val="0"/>
                <w:numId w:val="10"/>
              </w:numPr>
              <w:tabs>
                <w:tab w:val="clear" w:pos="720"/>
                <w:tab w:val="left" w:pos="360" w:leader="none"/>
              </w:tabs>
              <w:spacing w:before="0" w:after="0"/>
              <w:ind w:hanging="360" w:start="360" w:end="0"/>
              <w:rPr>
                <w:sz w:val="18"/>
                <w:szCs w:val="18"/>
              </w:rPr>
            </w:pPr>
            <w:r>
              <w:rPr>
                <w:sz w:val="18"/>
                <w:szCs w:val="18"/>
              </w:rPr>
              <w:t>Holidays</w:t>
            </w:r>
          </w:p>
        </w:tc>
        <w:tc>
          <w:tcPr>
            <w:tcW w:w="2566" w:type="dxa"/>
            <w:tcBorders/>
          </w:tcPr>
          <w:p>
            <w:pPr>
              <w:pStyle w:val="Normal"/>
              <w:snapToGrid w:val="false"/>
              <w:spacing w:before="0" w:after="0"/>
              <w:rPr>
                <w:sz w:val="18"/>
                <w:szCs w:val="18"/>
              </w:rPr>
            </w:pPr>
            <w:r>
              <w:rPr>
                <w:sz w:val="18"/>
                <w:szCs w:val="18"/>
              </w:rPr>
            </w:r>
          </w:p>
        </w:tc>
        <w:tc>
          <w:tcPr>
            <w:tcW w:w="3221" w:type="dxa"/>
            <w:tcBorders/>
          </w:tcPr>
          <w:p>
            <w:pPr>
              <w:pStyle w:val="Normal"/>
              <w:numPr>
                <w:ilvl w:val="0"/>
                <w:numId w:val="10"/>
              </w:numPr>
              <w:tabs>
                <w:tab w:val="clear" w:pos="720"/>
                <w:tab w:val="left" w:pos="360" w:leader="none"/>
              </w:tabs>
              <w:spacing w:before="0" w:after="0"/>
              <w:ind w:hanging="360" w:start="360" w:end="0"/>
              <w:rPr>
                <w:sz w:val="18"/>
                <w:szCs w:val="18"/>
              </w:rPr>
            </w:pPr>
            <w:r>
              <w:rPr>
                <w:sz w:val="18"/>
                <w:szCs w:val="18"/>
              </w:rPr>
              <w:t>Medical insurance</w:t>
            </w:r>
          </w:p>
        </w:tc>
      </w:tr>
      <w:tr>
        <w:trPr/>
        <w:tc>
          <w:tcPr>
            <w:tcW w:w="2880" w:type="dxa"/>
            <w:tcBorders/>
          </w:tcPr>
          <w:p>
            <w:pPr>
              <w:pStyle w:val="Normal"/>
              <w:numPr>
                <w:ilvl w:val="0"/>
                <w:numId w:val="10"/>
              </w:numPr>
              <w:tabs>
                <w:tab w:val="clear" w:pos="720"/>
                <w:tab w:val="left" w:pos="360" w:leader="none"/>
              </w:tabs>
              <w:spacing w:before="0" w:after="0"/>
              <w:ind w:hanging="360" w:start="360" w:end="0"/>
              <w:rPr>
                <w:sz w:val="18"/>
                <w:szCs w:val="18"/>
              </w:rPr>
            </w:pPr>
            <w:r>
              <w:rPr>
                <w:sz w:val="18"/>
                <w:szCs w:val="18"/>
              </w:rPr>
              <w:t>Variable payment</w:t>
            </w:r>
          </w:p>
        </w:tc>
        <w:tc>
          <w:tcPr>
            <w:tcW w:w="2566" w:type="dxa"/>
            <w:tcBorders/>
          </w:tcPr>
          <w:p>
            <w:pPr>
              <w:pStyle w:val="Normal"/>
              <w:snapToGrid w:val="false"/>
              <w:spacing w:before="0" w:after="0"/>
              <w:rPr>
                <w:sz w:val="18"/>
                <w:szCs w:val="18"/>
              </w:rPr>
            </w:pPr>
            <w:r>
              <w:rPr>
                <w:sz w:val="18"/>
                <w:szCs w:val="18"/>
              </w:rPr>
            </w:r>
          </w:p>
        </w:tc>
        <w:tc>
          <w:tcPr>
            <w:tcW w:w="3221" w:type="dxa"/>
            <w:tcBorders/>
          </w:tcPr>
          <w:p>
            <w:pPr>
              <w:pStyle w:val="Normal"/>
              <w:numPr>
                <w:ilvl w:val="0"/>
                <w:numId w:val="10"/>
              </w:numPr>
              <w:tabs>
                <w:tab w:val="clear" w:pos="720"/>
                <w:tab w:val="left" w:pos="360" w:leader="none"/>
              </w:tabs>
              <w:spacing w:before="0" w:after="0"/>
              <w:ind w:hanging="360" w:start="360" w:end="0"/>
              <w:rPr>
                <w:sz w:val="18"/>
                <w:szCs w:val="18"/>
              </w:rPr>
            </w:pPr>
            <w:r>
              <w:rPr>
                <w:sz w:val="18"/>
                <w:szCs w:val="18"/>
              </w:rPr>
              <w:t>Special Leave</w:t>
            </w:r>
          </w:p>
        </w:tc>
      </w:tr>
      <w:tr>
        <w:trPr/>
        <w:tc>
          <w:tcPr>
            <w:tcW w:w="2880" w:type="dxa"/>
            <w:tcBorders/>
          </w:tcPr>
          <w:p>
            <w:pPr>
              <w:pStyle w:val="Normal"/>
              <w:numPr>
                <w:ilvl w:val="0"/>
                <w:numId w:val="10"/>
              </w:numPr>
              <w:tabs>
                <w:tab w:val="clear" w:pos="720"/>
                <w:tab w:val="left" w:pos="360" w:leader="none"/>
              </w:tabs>
              <w:spacing w:before="0" w:after="0"/>
              <w:ind w:hanging="360" w:start="360" w:end="0"/>
              <w:rPr>
                <w:sz w:val="18"/>
                <w:szCs w:val="18"/>
              </w:rPr>
            </w:pPr>
            <w:r>
              <w:rPr>
                <w:sz w:val="18"/>
                <w:szCs w:val="18"/>
              </w:rPr>
              <w:t>Profit sharing bonus</w:t>
            </w:r>
          </w:p>
        </w:tc>
        <w:tc>
          <w:tcPr>
            <w:tcW w:w="2566" w:type="dxa"/>
            <w:tcBorders/>
          </w:tcPr>
          <w:p>
            <w:pPr>
              <w:pStyle w:val="Normal"/>
              <w:snapToGrid w:val="false"/>
              <w:spacing w:before="0" w:after="0"/>
              <w:rPr>
                <w:sz w:val="18"/>
                <w:szCs w:val="18"/>
              </w:rPr>
            </w:pPr>
            <w:r>
              <w:rPr>
                <w:sz w:val="18"/>
                <w:szCs w:val="18"/>
              </w:rPr>
            </w:r>
          </w:p>
        </w:tc>
        <w:tc>
          <w:tcPr>
            <w:tcW w:w="3221" w:type="dxa"/>
            <w:tcBorders/>
          </w:tcPr>
          <w:p>
            <w:pPr>
              <w:pStyle w:val="Normal"/>
              <w:numPr>
                <w:ilvl w:val="0"/>
                <w:numId w:val="10"/>
              </w:numPr>
              <w:tabs>
                <w:tab w:val="clear" w:pos="720"/>
                <w:tab w:val="left" w:pos="360" w:leader="none"/>
              </w:tabs>
              <w:snapToGrid w:val="false"/>
              <w:spacing w:before="0" w:after="0"/>
              <w:ind w:hanging="360" w:start="360" w:end="0"/>
              <w:rPr>
                <w:sz w:val="18"/>
                <w:szCs w:val="18"/>
              </w:rPr>
            </w:pPr>
            <w:r>
              <w:rPr>
                <w:sz w:val="18"/>
                <w:szCs w:val="18"/>
              </w:rPr>
            </w:r>
          </w:p>
        </w:tc>
      </w:tr>
      <w:tr>
        <w:trPr/>
        <w:tc>
          <w:tcPr>
            <w:tcW w:w="2880" w:type="dxa"/>
            <w:tcBorders/>
          </w:tcPr>
          <w:p>
            <w:pPr>
              <w:pStyle w:val="Normal"/>
              <w:numPr>
                <w:ilvl w:val="0"/>
                <w:numId w:val="10"/>
              </w:numPr>
              <w:tabs>
                <w:tab w:val="clear" w:pos="720"/>
                <w:tab w:val="left" w:pos="360" w:leader="none"/>
              </w:tabs>
              <w:spacing w:before="0" w:after="0"/>
              <w:ind w:hanging="360" w:start="360" w:end="0"/>
              <w:rPr>
                <w:sz w:val="18"/>
                <w:szCs w:val="18"/>
              </w:rPr>
            </w:pPr>
            <w:r>
              <w:rPr>
                <w:sz w:val="18"/>
                <w:szCs w:val="18"/>
              </w:rPr>
              <w:t>Meal allowance</w:t>
            </w:r>
          </w:p>
          <w:p>
            <w:pPr>
              <w:pStyle w:val="Normal"/>
              <w:numPr>
                <w:ilvl w:val="0"/>
                <w:numId w:val="10"/>
              </w:numPr>
              <w:tabs>
                <w:tab w:val="clear" w:pos="720"/>
                <w:tab w:val="left" w:pos="360" w:leader="none"/>
              </w:tabs>
              <w:spacing w:before="0" w:after="0"/>
              <w:ind w:hanging="360" w:start="360" w:end="0"/>
              <w:rPr>
                <w:sz w:val="18"/>
                <w:szCs w:val="18"/>
              </w:rPr>
            </w:pPr>
            <w:r>
              <w:rPr>
                <w:sz w:val="18"/>
                <w:szCs w:val="18"/>
              </w:rPr>
              <w:t>CAR</w:t>
            </w:r>
          </w:p>
        </w:tc>
        <w:tc>
          <w:tcPr>
            <w:tcW w:w="2566" w:type="dxa"/>
            <w:tcBorders/>
          </w:tcPr>
          <w:p>
            <w:pPr>
              <w:pStyle w:val="Normal"/>
              <w:snapToGrid w:val="false"/>
              <w:spacing w:before="0" w:after="0"/>
              <w:rPr>
                <w:sz w:val="18"/>
                <w:szCs w:val="18"/>
              </w:rPr>
            </w:pPr>
            <w:r>
              <w:rPr>
                <w:sz w:val="18"/>
                <w:szCs w:val="18"/>
              </w:rPr>
            </w:r>
          </w:p>
        </w:tc>
        <w:tc>
          <w:tcPr>
            <w:tcW w:w="3221" w:type="dxa"/>
            <w:tcBorders/>
          </w:tcPr>
          <w:p>
            <w:pPr>
              <w:pStyle w:val="Normal"/>
              <w:numPr>
                <w:ilvl w:val="0"/>
                <w:numId w:val="10"/>
              </w:numPr>
              <w:tabs>
                <w:tab w:val="clear" w:pos="720"/>
                <w:tab w:val="left" w:pos="360" w:leader="none"/>
              </w:tabs>
              <w:spacing w:before="0" w:after="0"/>
              <w:ind w:hanging="360" w:start="360" w:end="0"/>
              <w:rPr>
                <w:sz w:val="18"/>
                <w:szCs w:val="18"/>
              </w:rPr>
            </w:pPr>
            <w:r>
              <w:rPr>
                <w:sz w:val="18"/>
                <w:szCs w:val="18"/>
              </w:rPr>
              <w:t>Time credit + uitstapregelingen</w:t>
            </w:r>
          </w:p>
          <w:p>
            <w:pPr>
              <w:pStyle w:val="Normal"/>
              <w:numPr>
                <w:ilvl w:val="0"/>
                <w:numId w:val="10"/>
              </w:numPr>
              <w:tabs>
                <w:tab w:val="clear" w:pos="720"/>
                <w:tab w:val="left" w:pos="360" w:leader="none"/>
              </w:tabs>
              <w:spacing w:before="0" w:after="0"/>
              <w:ind w:hanging="360" w:start="360" w:end="0"/>
              <w:rPr>
                <w:sz w:val="18"/>
                <w:szCs w:val="18"/>
              </w:rPr>
            </w:pPr>
            <w:r>
              <w:rPr>
                <w:sz w:val="18"/>
                <w:szCs w:val="18"/>
              </w:rPr>
              <w:t>Salary perspective</w:t>
            </w:r>
          </w:p>
          <w:p>
            <w:pPr>
              <w:pStyle w:val="Normal"/>
              <w:numPr>
                <w:ilvl w:val="0"/>
                <w:numId w:val="10"/>
              </w:numPr>
              <w:tabs>
                <w:tab w:val="clear" w:pos="720"/>
                <w:tab w:val="left" w:pos="360" w:leader="none"/>
              </w:tabs>
              <w:spacing w:before="0" w:after="0"/>
              <w:ind w:hanging="360" w:start="360" w:end="0"/>
              <w:rPr>
                <w:sz w:val="18"/>
                <w:szCs w:val="18"/>
              </w:rPr>
            </w:pPr>
            <w:r>
              <w:rPr>
                <w:sz w:val="18"/>
                <w:szCs w:val="18"/>
              </w:rPr>
              <w:t>Out of pocket exp. training started before ED</w:t>
            </w:r>
          </w:p>
        </w:tc>
      </w:tr>
    </w:tbl>
    <w:p>
      <w:pPr>
        <w:pStyle w:val="Normal"/>
        <w:spacing w:before="0" w:after="0"/>
        <w:rPr/>
      </w:pPr>
      <w:r>
        <w:rPr>
          <w:lang w:val="en-GB"/>
        </w:rPr>
        <w:t>(*) remark: during the comparison of the on-call bonus (“waakdienst/consignatie”) arrangements that are applicable at EuroBank and the PST Suppliers respectively, it was concluded that those arrangements are materially similar and therefore a € 0,- difference has been taken into account when determining the Harmonisation Costs.</w:t>
      </w:r>
      <w:r>
        <w:rPr>
          <w:i/>
          <w:lang w:val="en-GB"/>
        </w:rPr>
      </w:r>
      <w:r>
        <w:rPr>
          <w:lang w:val="en-GB"/>
        </w:rPr>
      </w:r>
      <w:r>
        <w:rPr>
          <w:i/>
          <w:lang w:val="en-GB"/>
        </w:rPr>
      </w:r>
      <w:r>
        <w:rPr>
          <w:lang w:val="en-GB"/>
        </w:rPr>
      </w:r>
    </w:p>
    <w:p>
      <w:pPr>
        <w:pStyle w:val="Normal"/>
        <w:spacing w:before="0" w:after="0"/>
        <w:rPr>
          <w:lang w:val="en-GB"/>
        </w:rPr>
      </w:pPr>
      <w:r>
        <w:rPr>
          <w:lang w:val="en-GB"/>
        </w:rPr>
      </w:r>
    </w:p>
    <w:p>
      <w:pPr>
        <w:pStyle w:val="Heading2"/>
        <w:ind w:hanging="0" w:start="0"/>
        <w:rPr>
          <w:sz w:val="22"/>
          <w:szCs w:val="22"/>
          <w:lang w:val="en-GB"/>
        </w:rPr>
      </w:pPr>
      <w:bookmarkStart w:id="5" w:name="__RefHeading___Toc153713324"/>
      <w:bookmarkEnd w:id="5"/>
      <w:r>
        <w:rPr>
          <w:sz w:val="22"/>
          <w:szCs w:val="22"/>
          <w:lang w:val="en-GB"/>
        </w:rPr>
        <w:t>Not included in Harmonisation Lump Sum</w:t>
      </w:r>
    </w:p>
    <w:p>
      <w:pPr>
        <w:pStyle w:val="Normal"/>
        <w:spacing w:before="0" w:after="0"/>
        <w:jc w:val="both"/>
        <w:rPr>
          <w:lang w:val="en-GB"/>
        </w:rPr>
      </w:pPr>
      <w:r>
        <w:rPr>
          <w:lang w:val="en-GB"/>
        </w:rPr>
        <w:t>The following components are not included in the Harmonisation Lump Sum if applicable for Belgium:</w:t>
      </w:r>
    </w:p>
    <w:p>
      <w:pPr>
        <w:pStyle w:val="Normal"/>
        <w:spacing w:before="0" w:after="0"/>
        <w:jc w:val="both"/>
        <w:rPr>
          <w:lang w:val="en-GB"/>
        </w:rPr>
      </w:pPr>
      <w:r>
        <w:rPr>
          <w:lang w:val="en-GB"/>
        </w:rPr>
      </w:r>
    </w:p>
    <w:p>
      <w:pPr>
        <w:pStyle w:val="Normal"/>
        <w:spacing w:before="0" w:after="0"/>
        <w:jc w:val="both"/>
        <w:rPr>
          <w:lang w:val="en-GB"/>
        </w:rPr>
      </w:pPr>
      <w:r>
        <w:rPr>
          <w:lang w:val="en-GB"/>
        </w:rPr>
        <w:t>•</w:t>
      </w:r>
      <w:r>
        <w:rPr>
          <w:lang w:val="en-GB"/>
        </w:rPr>
        <w:tab/>
        <w:t>VAT</w:t>
        <w:tab/>
      </w:r>
    </w:p>
    <w:p>
      <w:pPr>
        <w:pStyle w:val="Normal"/>
        <w:spacing w:before="0" w:after="0"/>
        <w:jc w:val="both"/>
        <w:rPr>
          <w:lang w:val="en-GB"/>
        </w:rPr>
      </w:pPr>
      <w:r>
        <w:rPr>
          <w:lang w:val="en-GB"/>
        </w:rPr>
      </w:r>
    </w:p>
    <w:p>
      <w:pPr>
        <w:pStyle w:val="Normal"/>
        <w:spacing w:before="0" w:after="0"/>
        <w:ind w:hanging="720" w:start="720" w:end="0"/>
        <w:jc w:val="both"/>
        <w:rPr>
          <w:lang w:val="en-GB"/>
        </w:rPr>
      </w:pPr>
      <w:r>
        <w:rPr>
          <w:lang w:val="en-GB"/>
        </w:rPr>
        <w:t>•</w:t>
        <w:tab/>
        <w:t>Final Payment after transfer of the employment contract linked to the execution of the employment contract before Commencement Date to Affected Employees by EuroBank, e.g.:</w:t>
      </w:r>
      <w:r>
        <w:rPr>
          <w:lang w:val="en-GB"/>
        </w:rPr>
      </w:r>
    </w:p>
    <w:p>
      <w:pPr>
        <w:pStyle w:val="Normal"/>
        <w:spacing w:before="0" w:after="0"/>
        <w:ind w:hanging="720" w:start="1440" w:end="0"/>
        <w:jc w:val="both"/>
        <w:rPr>
          <w:lang w:val="en-GB"/>
        </w:rPr>
      </w:pPr>
      <w:r>
        <w:rPr>
          <w:lang w:val="en-GB"/>
        </w:rPr>
        <w:t>o</w:t>
        <w:tab/>
        <w:t>Possible bonuses/commissions</w:t>
      </w:r>
    </w:p>
    <w:p>
      <w:pPr>
        <w:pStyle w:val="Normal"/>
        <w:spacing w:before="0" w:after="0"/>
        <w:ind w:hanging="720" w:start="1440" w:end="0"/>
        <w:jc w:val="both"/>
        <w:rPr>
          <w:lang w:val="en-GB"/>
        </w:rPr>
      </w:pPr>
      <w:r>
        <w:rPr>
          <w:lang w:val="en-GB"/>
        </w:rPr>
        <w:t>o</w:t>
        <w:tab/>
        <w:t>Possible end of year premiums</w:t>
      </w:r>
    </w:p>
    <w:p>
      <w:pPr>
        <w:pStyle w:val="Normal"/>
        <w:spacing w:before="0" w:after="0"/>
        <w:ind w:hanging="720" w:start="1440" w:end="0"/>
        <w:jc w:val="both"/>
        <w:rPr>
          <w:lang w:val="en-GB"/>
        </w:rPr>
      </w:pPr>
      <w:r>
        <w:rPr>
          <w:lang w:val="en-GB"/>
        </w:rPr>
        <w:t>o</w:t>
        <w:tab/>
        <w:t>Holiday allowance pro rato</w:t>
      </w:r>
    </w:p>
    <w:p>
      <w:pPr>
        <w:pStyle w:val="Normal"/>
        <w:spacing w:before="0" w:after="0"/>
        <w:ind w:hanging="720" w:start="1440" w:end="0"/>
        <w:jc w:val="both"/>
        <w:rPr>
          <w:lang w:val="en-GB"/>
        </w:rPr>
      </w:pPr>
      <w:r>
        <w:rPr>
          <w:lang w:val="en-GB"/>
        </w:rPr>
        <w:t>o</w:t>
        <w:tab/>
        <w:t>13th month pro rato</w:t>
      </w:r>
    </w:p>
    <w:p>
      <w:pPr>
        <w:pStyle w:val="Normal"/>
        <w:spacing w:before="0" w:after="0"/>
        <w:ind w:hanging="720" w:start="1440" w:end="0"/>
        <w:jc w:val="both"/>
        <w:rPr>
          <w:lang w:val="en-GB"/>
        </w:rPr>
      </w:pPr>
      <w:r>
        <w:rPr>
          <w:lang w:val="en-GB"/>
        </w:rPr>
        <w:t>o</w:t>
        <w:tab/>
        <w:t>profit sharing bonus pro rata</w:t>
      </w:r>
    </w:p>
    <w:p>
      <w:pPr>
        <w:pStyle w:val="Normal"/>
        <w:spacing w:before="0" w:after="0"/>
        <w:ind w:hanging="720" w:start="1440" w:end="0"/>
        <w:jc w:val="both"/>
        <w:rPr>
          <w:lang w:val="en-GB"/>
        </w:rPr>
      </w:pPr>
      <w:r>
        <w:rPr>
          <w:lang w:val="en-GB"/>
        </w:rPr>
        <w:t>o</w:t>
        <w:tab/>
        <w:t>Overtime hours and compensation time</w:t>
        <w:tab/>
      </w:r>
    </w:p>
    <w:p>
      <w:pPr>
        <w:pStyle w:val="Normal"/>
        <w:spacing w:before="0" w:after="0"/>
        <w:ind w:hanging="720" w:start="1440" w:end="0"/>
        <w:jc w:val="both"/>
        <w:rPr>
          <w:lang w:val="en-GB"/>
        </w:rPr>
      </w:pPr>
      <w:r>
        <w:rPr>
          <w:lang w:val="en-GB"/>
        </w:rPr>
        <w:tab/>
      </w:r>
    </w:p>
    <w:p>
      <w:pPr>
        <w:pStyle w:val="Normal"/>
        <w:spacing w:before="0" w:after="0"/>
        <w:ind w:hanging="720" w:start="1440" w:end="0"/>
        <w:jc w:val="both"/>
        <w:rPr>
          <w:lang w:val="en-GB"/>
        </w:rPr>
      </w:pPr>
      <w:r>
        <w:rPr>
          <w:lang w:val="en-GB"/>
        </w:rPr>
        <w:t>Interest discounts</w:t>
      </w:r>
    </w:p>
    <w:p>
      <w:pPr>
        <w:pStyle w:val="Normal"/>
        <w:spacing w:before="0" w:after="0"/>
        <w:ind w:hanging="720" w:start="1440" w:end="0"/>
        <w:jc w:val="both"/>
        <w:rPr>
          <w:lang w:val="en-GB"/>
        </w:rPr>
      </w:pPr>
      <w:r>
        <w:rPr>
          <w:lang w:val="en-GB"/>
        </w:rPr>
        <w:t>o</w:t>
        <w:tab/>
        <w:t>Discounts in insurance, mortgages, etc.</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Other:</w:t>
      </w:r>
    </w:p>
    <w:p>
      <w:pPr>
        <w:pStyle w:val="Normal"/>
        <w:spacing w:before="0" w:after="0"/>
        <w:ind w:hanging="720" w:start="1440" w:end="0"/>
        <w:jc w:val="both"/>
        <w:rPr>
          <w:lang w:val="en-GB"/>
        </w:rPr>
      </w:pPr>
      <w:r>
        <w:rPr>
          <w:lang w:val="en-GB"/>
        </w:rPr>
        <w:t>o</w:t>
        <w:tab/>
        <w:t>Stock options</w:t>
      </w:r>
    </w:p>
    <w:p>
      <w:pPr>
        <w:pStyle w:val="Normal"/>
        <w:numPr>
          <w:ilvl w:val="0"/>
          <w:numId w:val="5"/>
        </w:numPr>
        <w:spacing w:before="0" w:after="0"/>
        <w:jc w:val="both"/>
        <w:rPr>
          <w:lang w:val="en-GB"/>
        </w:rPr>
      </w:pPr>
      <w:r>
        <w:rPr>
          <w:lang w:val="en-GB"/>
        </w:rPr>
        <w:t>VOSSCO (as already directly compensated by EuroBank Belgium SA)</w:t>
      </w:r>
    </w:p>
    <w:p>
      <w:pPr>
        <w:pStyle w:val="Normal"/>
        <w:spacing w:before="0" w:after="0"/>
        <w:ind w:hanging="720" w:start="1440" w:end="0"/>
        <w:jc w:val="both"/>
        <w:rPr>
          <w:lang w:val="en-GB"/>
        </w:rPr>
      </w:pPr>
      <w:r>
        <w:rPr>
          <w:lang w:val="en-GB"/>
        </w:rPr>
        <w:tab/>
      </w:r>
    </w:p>
    <w:p>
      <w:pPr>
        <w:pStyle w:val="Normal"/>
        <w:spacing w:before="0" w:after="0"/>
        <w:ind w:hanging="720" w:start="1440" w:end="0"/>
        <w:jc w:val="both"/>
        <w:rPr>
          <w:lang w:val="en-GB"/>
        </w:rPr>
      </w:pPr>
      <w:r>
        <w:rPr>
          <w:lang w:val="en-GB"/>
        </w:rPr>
      </w:r>
    </w:p>
    <w:p>
      <w:pPr>
        <w:pStyle w:val="Normal"/>
        <w:spacing w:before="0" w:after="0"/>
        <w:ind w:hanging="720" w:start="1440" w:end="0"/>
        <w:jc w:val="both"/>
        <w:rPr/>
      </w:pPr>
      <w:r>
        <w:rPr>
          <w:lang w:val="en-GB"/>
        </w:rPr>
        <w:t>Provisions:.</w:t>
      </w:r>
    </w:p>
    <w:p>
      <w:pPr>
        <w:pStyle w:val="Normal"/>
        <w:spacing w:before="0" w:after="0"/>
        <w:ind w:hanging="720" w:start="1440" w:end="0"/>
        <w:jc w:val="both"/>
        <w:rPr/>
      </w:pPr>
      <w:r>
        <w:rPr>
          <w:lang w:val="en-GB"/>
        </w:rPr>
        <w:t>o</w:t>
        <w:tab/>
        <w:t>Provisions for e.g. holidays and/or  sabbatical leave to be transferred</w:t>
      </w:r>
    </w:p>
    <w:p>
      <w:pPr>
        <w:pStyle w:val="Normal"/>
        <w:spacing w:before="0" w:after="0"/>
        <w:ind w:hanging="720" w:start="720" w:end="0"/>
        <w:jc w:val="both"/>
        <w:rPr>
          <w:lang w:val="en-GB"/>
        </w:rPr>
      </w:pPr>
      <w:r>
        <w:rPr>
          <w:lang w:val="en-GB"/>
        </w:rPr>
        <w:t>•</w:t>
      </w:r>
      <w:r>
        <w:rPr>
          <w:lang w:val="en-GB"/>
        </w:rPr>
        <w:tab/>
      </w:r>
    </w:p>
    <w:p>
      <w:pPr>
        <w:pStyle w:val="Heading2"/>
        <w:ind w:hanging="0" w:start="0"/>
        <w:rPr/>
      </w:pPr>
      <w:r>
        <w:rPr>
          <w:rFonts w:cs="Times New Roman" w:ascii="Times New Roman" w:hAnsi="Times New Roman"/>
          <w:b w:val="false"/>
          <w:iCs w:val="false"/>
          <w:kern w:val="0"/>
          <w:sz w:val="22"/>
          <w:szCs w:val="24"/>
          <w:lang w:val="en-GB"/>
        </w:rPr>
        <w:t>The Harmonisation Costs for Vendor Gamma Belgium include:</w:t>
      </w:r>
    </w:p>
    <w:p>
      <w:pPr>
        <w:pStyle w:val="Normal"/>
        <w:spacing w:before="0" w:after="0"/>
        <w:jc w:val="both"/>
        <w:rPr>
          <w:rFonts w:ascii="Times New Roman" w:hAnsi="Times New Roman" w:cs="Times New Roman"/>
          <w:b/>
          <w:iCs/>
          <w:kern w:val="0"/>
          <w:sz w:val="22"/>
          <w:szCs w:val="22"/>
          <w:lang w:val="en-GB"/>
        </w:rPr>
      </w:pPr>
      <w:r>
        <w:rPr>
          <w:rFonts w:cs="Times New Roman"/>
          <w:b/>
          <w:iCs/>
          <w:kern w:val="0"/>
          <w:sz w:val="22"/>
          <w:szCs w:val="22"/>
          <w:lang w:val="en-GB"/>
        </w:rPr>
      </w:r>
    </w:p>
    <w:p>
      <w:pPr>
        <w:pStyle w:val="Normal"/>
        <w:numPr>
          <w:ilvl w:val="0"/>
          <w:numId w:val="7"/>
        </w:numPr>
        <w:tabs>
          <w:tab w:val="clear" w:pos="720"/>
          <w:tab w:val="left" w:pos="780" w:leader="none"/>
        </w:tabs>
        <w:spacing w:before="0" w:after="0"/>
        <w:ind w:hanging="780" w:start="780" w:end="0"/>
        <w:jc w:val="both"/>
        <w:rPr>
          <w:iCs/>
          <w:szCs w:val="22"/>
          <w:lang w:val="en-GB"/>
        </w:rPr>
      </w:pPr>
      <w:r>
        <w:rPr>
          <w:iCs/>
          <w:szCs w:val="22"/>
          <w:lang w:val="en-GB"/>
        </w:rPr>
        <w:t>the sum of € 464.000, (including € 50.000 difference on pensions per FTE) for pensions relating to the Affected Employees.; and</w:t>
      </w:r>
    </w:p>
    <w:p>
      <w:pPr>
        <w:pStyle w:val="Normal"/>
        <w:spacing w:before="0" w:after="0"/>
        <w:jc w:val="both"/>
        <w:rPr>
          <w:iCs/>
          <w:szCs w:val="22"/>
          <w:lang w:val="en-GB"/>
        </w:rPr>
      </w:pPr>
      <w:r>
        <w:rPr>
          <w:iCs/>
          <w:szCs w:val="22"/>
          <w:lang w:val="en-GB"/>
        </w:rPr>
      </w:r>
    </w:p>
    <w:p>
      <w:pPr>
        <w:pStyle w:val="Normal"/>
        <w:spacing w:before="0" w:after="0"/>
        <w:ind w:hanging="720" w:start="720" w:end="0"/>
        <w:jc w:val="both"/>
        <w:rPr>
          <w:iCs/>
          <w:szCs w:val="22"/>
          <w:lang w:val="en-GB"/>
        </w:rPr>
      </w:pPr>
      <w:r>
        <w:rPr>
          <w:iCs/>
          <w:szCs w:val="22"/>
          <w:lang w:val="en-GB"/>
        </w:rPr>
        <w:t>(ii)</w:t>
        <w:tab/>
        <w:t>the sum of € 769.000 for end-of-career provisions, including bridge pensions, as set out in the table below:</w:t>
      </w:r>
    </w:p>
    <w:p>
      <w:pPr>
        <w:pStyle w:val="Normal"/>
        <w:spacing w:before="0" w:after="0"/>
        <w:jc w:val="both"/>
        <w:rPr>
          <w:iCs/>
          <w:szCs w:val="22"/>
          <w:lang w:val="en-GB"/>
        </w:rPr>
      </w:pPr>
      <w:r>
        <w:rPr>
          <w:iCs/>
          <w:szCs w:val="22"/>
          <w:lang w:val="en-GB"/>
        </w:rPr>
      </w:r>
    </w:p>
    <w:p>
      <w:pPr>
        <w:pStyle w:val="Normal"/>
        <w:spacing w:before="0" w:after="0"/>
        <w:jc w:val="both"/>
        <w:rPr>
          <w:rFonts w:ascii="Arial" w:hAnsi="Arial" w:cs="Arial"/>
          <w:color w:val="000000"/>
          <w:sz w:val="20"/>
          <w:szCs w:val="20"/>
        </w:rPr>
      </w:pPr>
      <w:r>
        <w:rPr>
          <w:rFonts w:cs="Arial" w:ascii="Arial" w:hAnsi="Arial"/>
          <w:color w:val="000000"/>
          <w:sz w:val="20"/>
          <w:szCs w:val="20"/>
        </w:rPr>
        <w:drawing>
          <wp:inline distT="0" distB="0" distL="0" distR="0">
            <wp:extent cx="2667000" cy="95250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8"/>
                    <a:srcRect l="-13" t="-38" r="-13" b="-38"/>
                    <a:stretch>
                      <a:fillRect/>
                    </a:stretch>
                  </pic:blipFill>
                  <pic:spPr bwMode="auto">
                    <a:xfrm>
                      <a:off x="0" y="0"/>
                      <a:ext cx="2667000" cy="952500"/>
                    </a:xfrm>
                    <a:prstGeom prst="rect">
                      <a:avLst/>
                    </a:prstGeom>
                    <a:noFill/>
                  </pic:spPr>
                </pic:pic>
              </a:graphicData>
            </a:graphic>
          </wp:inline>
        </w:drawing>
      </w:r>
    </w:p>
    <w:p>
      <w:pPr>
        <w:pStyle w:val="Normal"/>
        <w:spacing w:before="0" w:after="0"/>
        <w:jc w:val="both"/>
        <w:rPr>
          <w:rFonts w:ascii="Arial" w:hAnsi="Arial" w:cs="Arial"/>
          <w:color w:val="000000"/>
          <w:sz w:val="20"/>
          <w:szCs w:val="20"/>
        </w:rPr>
      </w:pPr>
      <w:r>
        <w:rPr>
          <w:rFonts w:cs="Arial" w:ascii="Arial" w:hAnsi="Arial"/>
          <w:color w:val="000000"/>
          <w:sz w:val="20"/>
          <w:szCs w:val="20"/>
        </w:rPr>
      </w:r>
    </w:p>
    <w:p>
      <w:pPr>
        <w:pStyle w:val="Normal"/>
        <w:spacing w:before="0" w:after="0"/>
        <w:jc w:val="both"/>
        <w:rPr>
          <w:iCs/>
          <w:szCs w:val="22"/>
          <w:lang w:val="en-GB"/>
        </w:rPr>
      </w:pPr>
      <w:r>
        <w:rPr>
          <w:iCs/>
          <w:szCs w:val="22"/>
          <w:lang w:val="en-GB"/>
        </w:rPr>
        <w:t>If any person does not transfer at the Commencement Date and so does not become an Affected Employee then a deduction shall be made from the Harmonisation Cost equating to the actual sum of the pensions contributions and end-of-career provisions payable in respect of that person.</w:t>
      </w:r>
    </w:p>
    <w:p>
      <w:pPr>
        <w:pStyle w:val="Normal"/>
        <w:spacing w:before="0" w:after="0"/>
        <w:jc w:val="both"/>
        <w:rPr>
          <w:iCs/>
          <w:szCs w:val="22"/>
          <w:lang w:val="en-GB"/>
        </w:rPr>
      </w:pPr>
      <w:r>
        <w:rPr>
          <w:iCs/>
          <w:szCs w:val="22"/>
          <w:lang w:val="en-GB"/>
        </w:rPr>
      </w:r>
    </w:p>
    <w:p>
      <w:pPr>
        <w:pStyle w:val="Normal"/>
        <w:spacing w:before="0" w:after="0"/>
        <w:ind w:hanging="720" w:start="720" w:end="0"/>
        <w:jc w:val="both"/>
        <w:rPr>
          <w:b/>
          <w:lang w:val="en-GB"/>
        </w:rPr>
      </w:pPr>
      <w:r>
        <w:rPr>
          <w:b/>
          <w:lang w:val="en-GB"/>
        </w:rPr>
        <w:t>Pensions</w:t>
      </w:r>
    </w:p>
    <w:p>
      <w:pPr>
        <w:pStyle w:val="Normal"/>
        <w:spacing w:before="0" w:after="0"/>
        <w:jc w:val="both"/>
        <w:rPr/>
      </w:pPr>
      <w:r>
        <w:rPr/>
        <w:t>As described in Exhibit 5 (Human Resources Provisions), EuroBank will pay a capped lump sum of € 50.000 per FTE, as stated below, to compensate the PST for the difference in cost of the different schemes of pension in Belgium as a One Time Charge.</w:t>
      </w:r>
      <w:r>
        <w:rPr>
          <w:i/>
        </w:rPr>
      </w:r>
      <w:r>
        <w:rPr/>
      </w:r>
    </w:p>
    <w:p>
      <w:pPr>
        <w:pStyle w:val="Normal"/>
        <w:spacing w:before="0" w:after="0"/>
        <w:jc w:val="both"/>
        <w:rPr/>
      </w:pPr>
      <w:r>
        <w:rPr/>
      </w:r>
    </w:p>
    <w:p>
      <w:pPr>
        <w:pStyle w:val="Normal"/>
        <w:spacing w:before="0" w:after="0"/>
        <w:jc w:val="both"/>
        <w:rPr/>
      </w:pPr>
      <w:r>
        <w:rPr/>
        <w:t>For Vendor Alpha, the lump sum amounts to: € 1,300,000.-- corresponding to 26 FTE’s</w:t>
      </w:r>
    </w:p>
    <w:p>
      <w:pPr>
        <w:pStyle w:val="Normal"/>
        <w:spacing w:before="0" w:after="0"/>
        <w:jc w:val="both"/>
        <w:rPr/>
      </w:pPr>
      <w:r>
        <w:rPr/>
      </w:r>
    </w:p>
    <w:p>
      <w:pPr>
        <w:pStyle w:val="Normal"/>
        <w:spacing w:before="0" w:after="0"/>
        <w:jc w:val="both"/>
        <w:rPr/>
      </w:pPr>
      <w:r>
        <w:rPr/>
        <w:t>For TelCo, the lump sum amounts to: € 200,000.- corresponding to 4 FTE’s.</w:t>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lang w:val="en-GB"/>
        </w:rPr>
      </w:pPr>
      <w:r>
        <w:rPr/>
        <w:t>EuroBank will pay the above amounts as a One Time Charge. For the amount to be used for the differences with the "aanvullende" pensions the amount needs to be transferred to the PST who needs to transfer this to the KAS</w:t>
      </w:r>
      <w:r>
        <w:rPr>
          <w:rFonts w:cs="Arial" w:ascii="Arial" w:hAnsi="Arial"/>
          <w:sz w:val="20"/>
          <w:szCs w:val="20"/>
        </w:rPr>
      </w:r>
    </w:p>
    <w:p>
      <w:pPr>
        <w:pStyle w:val="Normal"/>
        <w:spacing w:before="0" w:after="0"/>
        <w:jc w:val="both"/>
        <w:rPr>
          <w:lang w:val="en-GB"/>
        </w:rPr>
      </w:pPr>
      <w:r>
        <w:rPr>
          <w:lang w:val="en-GB"/>
        </w:rPr>
      </w:r>
    </w:p>
    <w:p>
      <w:pPr>
        <w:pStyle w:val="Normal"/>
        <w:spacing w:before="0" w:after="0"/>
        <w:jc w:val="both"/>
        <w:rPr>
          <w:lang w:val="en-GB"/>
        </w:rPr>
      </w:pPr>
      <w:r>
        <w:rPr>
          <w:lang w:val="en-GB"/>
        </w:rPr>
      </w:r>
    </w:p>
    <w:p>
      <w:pPr>
        <w:pStyle w:val="Heading2"/>
        <w:ind w:hanging="0" w:start="0"/>
        <w:rPr>
          <w:sz w:val="22"/>
          <w:szCs w:val="22"/>
          <w:lang w:val="en-GB"/>
        </w:rPr>
      </w:pPr>
      <w:bookmarkStart w:id="6" w:name="__RefHeading___Toc153713327"/>
      <w:bookmarkEnd w:id="6"/>
      <w:r>
        <w:rPr>
          <w:sz w:val="22"/>
          <w:szCs w:val="22"/>
          <w:lang w:val="en-GB"/>
        </w:rPr>
        <w:t>General</w:t>
      </w:r>
    </w:p>
    <w:p>
      <w:pPr>
        <w:pStyle w:val="Normal"/>
        <w:spacing w:before="0" w:after="0"/>
        <w:jc w:val="both"/>
        <w:rPr>
          <w:szCs w:val="22"/>
          <w:lang w:val="en-GB"/>
        </w:rPr>
      </w:pPr>
      <w:r>
        <w:rPr>
          <w:szCs w:val="22"/>
          <w:lang w:val="en-GB"/>
        </w:rPr>
        <w:t>The methodology for calculation of the Harmonisation Costs as set out in this Attachment within the SWS Function, shall be applied for any future transfer of Affected Employees resulting from the inclusion of the activities performed by additional EuroBank departments such as “ISSNL”.</w:t>
      </w:r>
    </w:p>
    <w:p>
      <w:pPr>
        <w:pStyle w:val="Normal"/>
        <w:spacing w:before="0" w:after="0"/>
        <w:jc w:val="both"/>
        <w:rPr>
          <w:szCs w:val="22"/>
          <w:lang w:val="en-GB"/>
        </w:rPr>
      </w:pPr>
      <w:r>
        <w:rPr>
          <w:szCs w:val="22"/>
          <w:lang w:val="en-GB"/>
        </w:rPr>
      </w:r>
    </w:p>
    <w:sectPr>
      <w:headerReference w:type="default" r:id="rId9"/>
      <w:headerReference w:type="first" r:id="rId10"/>
      <w:footerReference w:type="default" r:id="rId11"/>
      <w:footerReference w:type="first" r:id="rId12"/>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right" w:pos="8460" w:leader="none"/>
      </w:tabs>
      <w:spacing w:before="120" w:after="120"/>
      <w:rPr/>
    </w:pPr>
    <w:r>
      <w:rPr>
        <w:sz w:val="16"/>
        <w:szCs w:val="16"/>
      </w:rPr>
      <w:t>Ops&amp;IT Banking Confidential</w:t>
      <w:tab/>
      <w:tab/>
      <w:t>30/11/06</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4</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1"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5-J(2) (Harmonisation Costs - BE) Final v2 5.doc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5-J(2) (Harmonisation Costs - BE) Final v2 5.doc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4"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5-J(2) (Harmonisation Costs - BE) Final v2 5.doc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abstractNum>
  <w:abstractNum w:abstractNumId="3">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4">
    <w:lvl w:ilvl="0">
      <w:start w:val="1"/>
      <w:numFmt w:val="bullet"/>
      <w:lvlText w:val=""/>
      <w:lvlJc w:val="start"/>
      <w:pPr>
        <w:tabs>
          <w:tab w:val="num" w:pos="1800"/>
        </w:tabs>
        <w:ind w:start="1800" w:hanging="360"/>
      </w:pPr>
      <w:rPr>
        <w:rFonts w:ascii="Symbol" w:hAnsi="Symbol" w:cs="Symbol" w:hint="default"/>
      </w:rPr>
    </w:lvl>
  </w:abstractNum>
  <w:abstractNum w:abstractNumId="5">
    <w:lvl w:ilvl="0">
      <w:start w:val="1"/>
      <w:numFmt w:val="bullet"/>
      <w:lvlText w:val=""/>
      <w:lvlJc w:val="start"/>
      <w:pPr>
        <w:tabs>
          <w:tab w:val="num" w:pos="1080"/>
        </w:tabs>
        <w:ind w:start="1080" w:hanging="360"/>
      </w:pPr>
      <w:rPr>
        <w:rFonts w:ascii="Symbol" w:hAnsi="Symbol" w:cs="Symbol" w:hint="default"/>
      </w:rPr>
    </w:lvl>
  </w:abstractNum>
  <w:abstractNum w:abstractNumId="6">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7">
    <w:lvl w:ilvl="0">
      <w:start w:val="1"/>
      <w:numFmt w:val="lowerRoman"/>
      <w:lvlText w:val="(%1)"/>
      <w:lvlJc w:val="start"/>
      <w:pPr>
        <w:tabs>
          <w:tab w:val="num" w:pos="1140"/>
        </w:tabs>
        <w:ind w:start="1140" w:hanging="780"/>
      </w:pPr>
      <w:rPr/>
    </w:lvl>
  </w:abstractNum>
  <w:abstractNum w:abstractNumId="8">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9">
    <w:lvl w:ilvl="0">
      <w:start w:val="1"/>
      <w:numFmt w:val="decimal"/>
      <w:lvlText w:val="%1."/>
      <w:lvlJc w:val="start"/>
      <w:pPr>
        <w:tabs>
          <w:tab w:val="num" w:pos="720"/>
        </w:tabs>
        <w:ind w:start="720" w:hanging="360"/>
      </w:pPr>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rFonts w:ascii="Symbol" w:hAnsi="Symbol" w:cs="Symbol"/>
    </w:rPr>
  </w:style>
  <w:style w:type="character" w:styleId="WW8Num2z0">
    <w:name w:val="WW8Num2z0"/>
    <w:qFormat/>
    <w:rPr>
      <w:rFonts w:ascii="Times New Roman Bold;Times New Roman" w:hAnsi="Times New Roman Bold;Times New Roman" w:cs="Times New Roman Bold;Times New Roman"/>
      <w:b/>
      <w:i w:val="false"/>
      <w:sz w:val="22"/>
      <w:szCs w:val="22"/>
    </w:rPr>
  </w:style>
  <w:style w:type="character" w:styleId="WW8Num2z1">
    <w:name w:val="WW8Num2z1"/>
    <w:qFormat/>
    <w:rPr>
      <w:rFonts w:ascii="Times New Roman Bold;Times New Roman" w:hAnsi="Times New Roman Bold;Times New Roman" w:cs="Times New Roman Bold;Times New Roman"/>
      <w:b/>
      <w:i w:val="false"/>
      <w:sz w:val="28"/>
    </w:rPr>
  </w:style>
  <w:style w:type="character" w:styleId="WW8Num2z2">
    <w:name w:val="WW8Num2z2"/>
    <w:qFormat/>
    <w:rPr>
      <w:rFonts w:ascii="Times New Roman" w:hAnsi="Times New Roman" w:cs="Times New Roman"/>
      <w:b/>
      <w:i w:val="false"/>
      <w:sz w:val="24"/>
    </w:rPr>
  </w:style>
  <w:style w:type="character" w:styleId="WW8Num2z4">
    <w:name w:val="WW8Num2z4"/>
    <w:qFormat/>
    <w:rPr>
      <w:rFonts w:ascii="Times New Roman" w:hAnsi="Times New Roman" w:cs="Times New Roman"/>
      <w:b w:val="false"/>
      <w:i w:val="false"/>
      <w:sz w:val="22"/>
    </w:rPr>
  </w:style>
  <w:style w:type="character" w:styleId="WW8Num2z8">
    <w:name w:val="WW8Num2z8"/>
    <w:qFormat/>
    <w:rPr/>
  </w:style>
  <w:style w:type="character" w:styleId="WW8Num3z0">
    <w:name w:val="WW8Num3z0"/>
    <w:qFormat/>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Times New Roman" w:hAnsi="Times New Roman" w:eastAsia="Times New Roman"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style>
  <w:style w:type="character" w:styleId="WW8Num7z0">
    <w:name w:val="WW8Num7z0"/>
    <w:qFormat/>
    <w:rPr>
      <w:rFonts w:ascii="Times New Roman" w:hAnsi="Times New Roman" w:eastAsia="Times New Roman"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Times New Roman" w:hAnsi="Times New Roman" w:eastAsia="Times New Roman"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Times New Roman" w:hAnsi="Times New Roman"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Times New Roman" w:hAnsi="Times New Roman" w:cs="Times New Roman"/>
      <w:b w:val="false"/>
      <w:i w:val="false"/>
      <w:color w:val="000000"/>
      <w:sz w:val="22"/>
    </w:rPr>
  </w:style>
  <w:style w:type="character" w:styleId="WW8Num12z1">
    <w:name w:val="WW8Num12z1"/>
    <w:qFormat/>
    <w:rPr>
      <w:rFonts w:ascii="Times New Roman" w:hAnsi="Times New Roman" w:cs="Times New Roman"/>
      <w:b w:val="false"/>
      <w:i w:val="false"/>
      <w:sz w:val="22"/>
    </w:rPr>
  </w:style>
  <w:style w:type="character" w:styleId="WW8Num12z4">
    <w:name w:val="WW8Num12z4"/>
    <w:qFormat/>
    <w:rPr/>
  </w:style>
  <w:style w:type="character" w:styleId="WW8Num13z0">
    <w:name w:val="WW8Num13z0"/>
    <w:qFormat/>
    <w:rPr>
      <w:rFonts w:ascii="Times New Roman" w:hAnsi="Times New Roman" w:eastAsia="Times New Roman" w:cs="Times New Roman"/>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style>
  <w:style w:type="character" w:styleId="WW8Num15z0">
    <w:name w:val="WW8Num15z0"/>
    <w:qFormat/>
    <w:rPr>
      <w:rFonts w:ascii="Times New Roman" w:hAnsi="Times New Roman" w:cs="Times New Roman"/>
      <w:b w:val="false"/>
      <w:i w:val="false"/>
      <w:color w:val="000000"/>
      <w:sz w:val="22"/>
    </w:rPr>
  </w:style>
  <w:style w:type="character" w:styleId="WW8Num15z1">
    <w:name w:val="WW8Num15z1"/>
    <w:qFormat/>
    <w:rPr>
      <w:rFonts w:ascii="Times New Roman" w:hAnsi="Times New Roman" w:cs="Times New Roman"/>
      <w:b w:val="false"/>
      <w:i w:val="false"/>
      <w:sz w:val="22"/>
    </w:rPr>
  </w:style>
  <w:style w:type="character" w:styleId="WW8Num15z4">
    <w:name w:val="WW8Num15z4"/>
    <w:qFormat/>
    <w:rPr/>
  </w:style>
  <w:style w:type="character" w:styleId="WW8Num16z0">
    <w:name w:val="WW8Num16z0"/>
    <w:qFormat/>
    <w:rPr>
      <w:rFonts w:ascii="Times New Roman" w:hAnsi="Times New Roman"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Times New Roman" w:hAnsi="Times New Roman" w:eastAsia="Times New Roman" w:cs="Times New Roman"/>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style>
  <w:style w:type="character" w:styleId="WW8Num19z2">
    <w:name w:val="WW8Num19z2"/>
    <w:qFormat/>
    <w:rPr>
      <w:rFonts w:ascii="Wingdings" w:hAnsi="Wingdings" w:cs="Wingdings"/>
    </w:rPr>
  </w:style>
  <w:style w:type="character" w:styleId="WW8Num19z4">
    <w:name w:val="WW8Num19z4"/>
    <w:qFormat/>
    <w:rPr>
      <w:rFonts w:ascii="Courier New" w:hAnsi="Courier New" w:cs="Courier New"/>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CommentReference">
    <w:name w:val="Comment Reference"/>
    <w:basedOn w:val="DefaultParagraphFont"/>
    <w:qFormat/>
    <w:rPr>
      <w:sz w:val="16"/>
      <w:szCs w:val="16"/>
    </w:rPr>
  </w:style>
  <w:style w:type="character" w:styleId="Emphasis">
    <w:name w:val="Emphasis"/>
    <w:basedOn w:val="DefaultParagraphFont"/>
    <w:qFormat/>
    <w:rPr>
      <w:i/>
      <w:iCs/>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4"/>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11"/>
      </w:numPr>
    </w:pPr>
    <w:rPr/>
  </w:style>
  <w:style w:type="paragraph" w:styleId="Heading1Numbered">
    <w:name w:val="Heading 1 Numbered"/>
    <w:basedOn w:val="Normal"/>
    <w:qFormat/>
    <w:pPr>
      <w:numPr>
        <w:ilvl w:val="0"/>
        <w:numId w:val="3"/>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3"/>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3"/>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3"/>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8"/>
      </w:numPr>
    </w:pPr>
    <w:rPr>
      <w:bCs/>
    </w:rPr>
  </w:style>
  <w:style w:type="paragraph" w:styleId="TableLevel3Numbered">
    <w:name w:val="Table Level 3 Numbered"/>
    <w:basedOn w:val="Normal"/>
    <w:qFormat/>
    <w:pPr>
      <w:numPr>
        <w:ilvl w:val="0"/>
        <w:numId w:val="8"/>
      </w:numPr>
    </w:pPr>
    <w:rPr/>
  </w:style>
  <w:style w:type="paragraph" w:styleId="TableLevel4Numbered">
    <w:name w:val="Table Level 4 Numbered"/>
    <w:basedOn w:val="Normal"/>
    <w:qFormat/>
    <w:pPr>
      <w:numPr>
        <w:ilvl w:val="0"/>
        <w:numId w:val="8"/>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6"/>
      </w:numPr>
      <w:spacing w:before="240" w:after="240"/>
    </w:pPr>
    <w:rPr/>
  </w:style>
  <w:style w:type="paragraph" w:styleId="BodyLevel2Numbered">
    <w:name w:val="Body Level 2 Numbered"/>
    <w:basedOn w:val="Normal"/>
    <w:qFormat/>
    <w:pPr>
      <w:numPr>
        <w:ilvl w:val="0"/>
        <w:numId w:val="6"/>
      </w:numPr>
      <w:spacing w:before="240" w:after="240"/>
    </w:pPr>
    <w:rPr/>
  </w:style>
  <w:style w:type="paragraph" w:styleId="BodyLevel3Numbered">
    <w:name w:val="Body Level 3 Numbered"/>
    <w:basedOn w:val="Normal"/>
    <w:qFormat/>
    <w:pPr>
      <w:numPr>
        <w:ilvl w:val="0"/>
        <w:numId w:val="6"/>
      </w:numPr>
      <w:spacing w:before="240" w:after="240"/>
    </w:pPr>
    <w:rPr/>
  </w:style>
  <w:style w:type="paragraph" w:styleId="BodyLevel4Numbered">
    <w:name w:val="Body Level 4 Numbered"/>
    <w:basedOn w:val="Normal"/>
    <w:qFormat/>
    <w:pPr>
      <w:numPr>
        <w:ilvl w:val="0"/>
        <w:numId w:val="6"/>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ListBullet">
    <w:name w:val="List Bullet"/>
    <w:basedOn w:val="Normal"/>
    <w:qFormat/>
    <w:pPr>
      <w:numPr>
        <w:ilvl w:val="0"/>
        <w:numId w:val="2"/>
      </w:numPr>
      <w:spacing w:before="0" w:after="0"/>
    </w:pPr>
    <w:rPr>
      <w:sz w:val="24"/>
      <w:lang w:val="nl-NL"/>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NormalWeb">
    <w:name w:val="Normal (Web)"/>
    <w:basedOn w:val="Normal"/>
    <w:qFormat/>
    <w:pPr>
      <w:spacing w:before="280" w:after="280"/>
    </w:pPr>
    <w:rPr>
      <w:sz w:val="24"/>
      <w:lang w:val="nl-N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2.png"/><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2006-12-13T16:02:00Z</dcterms:created>
  <dc:creator> </dc:creator>
  <dc:description/>
  <cp:keywords/>
  <dc:language>en-US</dc:language>
  <cp:lastModifiedBy>Stuart Johnson</cp:lastModifiedBy>
  <cp:lastPrinted>2006-12-13T10:14:00Z</cp:lastPrinted>
  <dcterms:modified xsi:type="dcterms:W3CDTF">2006-12-13T16:02:00Z</dcterms:modified>
  <cp:revision>4</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231826154</vt:r8>
  </property>
  <property fmtid="{D5CDD505-2E9C-101B-9397-08002B2CF9AE}" pid="3" name="_AuthorEmail">
    <vt:lpwstr>ilse.persoons@ing.be</vt:lpwstr>
  </property>
  <property fmtid="{D5CDD505-2E9C-101B-9397-08002B2CF9AE}" pid="4" name="_AuthorEmailDisplayName">
    <vt:lpwstr>Persoons, I. (Ilse)</vt:lpwstr>
  </property>
  <property fmtid="{D5CDD505-2E9C-101B-9397-08002B2CF9AE}" pid="5" name="_EmailSubject">
    <vt:lpwstr>5-J be as agreed with Peter</vt:lpwstr>
  </property>
  <property fmtid="{D5CDD505-2E9C-101B-9397-08002B2CF9AE}" pid="6" name="_ReviewingToolsShownOnce">
    <vt:lpwstr/>
  </property>
</Properties>
</file>