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6-B</w:t>
      </w:r>
    </w:p>
    <w:p>
      <w:pPr>
        <w:pStyle w:val="Title"/>
        <w:rPr>
          <w:lang w:val="en-GB"/>
        </w:rPr>
      </w:pPr>
      <w:r>
        <w:rPr>
          <w:lang w:val="en-GB"/>
        </w:rPr>
      </w:r>
    </w:p>
    <w:p>
      <w:pPr>
        <w:pStyle w:val="Title"/>
        <w:rPr>
          <w:lang w:val="en-GB"/>
        </w:rPr>
      </w:pPr>
      <w:r>
        <w:rPr>
          <w:lang w:val="en-GB"/>
        </w:rPr>
        <w:t>Policy &amp; procedures Manual Content</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right" w:pos="8441" w:leader="dot"/>
            </w:tabs>
            <w:rPr>
              <w:b w:val="false"/>
              <w:lang w:val="en-US" w:eastAsia="en-US"/>
            </w:rPr>
          </w:pPr>
          <w:r>
            <w:fldChar w:fldCharType="begin"/>
          </w:r>
          <w:r>
            <w:rPr>
              <w:lang w:val="en-GB" w:eastAsia="en-US"/>
            </w:rPr>
            <w:instrText xml:space="preserve"> TOC \t "Heading 1,1,Heading,1,Heading 1 Numbered,2" </w:instrText>
          </w:r>
          <w:r>
            <w:rPr>
              <w:lang w:val="en-GB" w:eastAsia="en-US"/>
            </w:rPr>
            <w:fldChar w:fldCharType="separate"/>
          </w:r>
          <w:r>
            <w:rPr>
              <w:lang w:val="en-GB" w:eastAsia="en-US"/>
            </w:rPr>
            <w:t>Introduction</w:t>
          </w:r>
          <w:r>
            <w:rPr>
              <w:lang w:val="en-US" w:eastAsia="en-US"/>
            </w:rPr>
            <w:tab/>
          </w:r>
          <w:hyperlink w:anchor="__RefHeading___Toc148942469">
            <w:r>
              <w:rPr>
                <w:rStyle w:val="IndexLink"/>
                <w:lang w:val="en-US" w:eastAsia="en-US"/>
              </w:rPr>
              <w:t>1</w:t>
            </w:r>
          </w:hyperlink>
        </w:p>
        <w:p>
          <w:pPr>
            <w:pStyle w:val="TOC1"/>
            <w:tabs>
              <w:tab w:val="clear" w:pos="720"/>
              <w:tab w:val="right" w:pos="8441" w:leader="dot"/>
            </w:tabs>
            <w:rPr>
              <w:b w:val="false"/>
              <w:lang w:val="en-US" w:eastAsia="en-US"/>
            </w:rPr>
          </w:pPr>
          <w:r>
            <w:rPr>
              <w:lang w:val="en-GB" w:eastAsia="en-US"/>
            </w:rPr>
            <w:t>General Content and Organisation</w:t>
          </w:r>
          <w:r>
            <w:rPr>
              <w:lang w:val="en-US" w:eastAsia="en-US"/>
            </w:rPr>
            <w:tab/>
          </w:r>
          <w:hyperlink w:anchor="__RefHeading___Toc148942470">
            <w:r>
              <w:rPr>
                <w:rStyle w:val="IndexLink"/>
                <w:lang w:val="en-US" w:eastAsia="en-US"/>
              </w:rPr>
              <w:t>1</w:t>
            </w:r>
          </w:hyperlink>
        </w:p>
        <w:p>
          <w:pPr>
            <w:pStyle w:val="TOC2"/>
            <w:tabs>
              <w:tab w:val="clear" w:pos="720"/>
              <w:tab w:val="left" w:pos="660" w:leader="none"/>
              <w:tab w:val="right" w:pos="8441" w:leader="dot"/>
            </w:tabs>
            <w:rPr>
              <w:b w:val="false"/>
              <w:sz w:val="24"/>
              <w:lang w:val="en-US" w:eastAsia="en-US"/>
            </w:rPr>
          </w:pPr>
          <w:r>
            <w:rPr>
              <w:lang w:val="en-GB" w:eastAsia="en-US"/>
            </w:rPr>
            <w:t>1.</w:t>
          </w:r>
          <w:r>
            <w:rPr>
              <w:b w:val="false"/>
              <w:sz w:val="24"/>
              <w:lang w:val="en-US" w:eastAsia="en-US"/>
            </w:rPr>
            <w:tab/>
          </w:r>
          <w:r>
            <w:rPr>
              <w:lang w:val="en-GB" w:eastAsia="en-US"/>
            </w:rPr>
            <w:t>Organisational Overview</w:t>
          </w:r>
          <w:r>
            <w:rPr>
              <w:lang w:val="en-US" w:eastAsia="en-US"/>
            </w:rPr>
            <w:tab/>
          </w:r>
          <w:hyperlink w:anchor="__RefHeading___Toc148942471">
            <w:r>
              <w:rPr>
                <w:rStyle w:val="IndexLink"/>
                <w:lang w:val="en-US" w:eastAsia="en-US"/>
              </w:rPr>
              <w:t>1</w:t>
            </w:r>
          </w:hyperlink>
        </w:p>
        <w:p>
          <w:pPr>
            <w:pStyle w:val="TOC2"/>
            <w:tabs>
              <w:tab w:val="clear" w:pos="720"/>
              <w:tab w:val="left" w:pos="660" w:leader="none"/>
              <w:tab w:val="right" w:pos="8441" w:leader="dot"/>
            </w:tabs>
            <w:rPr>
              <w:b w:val="false"/>
              <w:sz w:val="24"/>
              <w:lang w:val="en-US" w:eastAsia="en-US"/>
            </w:rPr>
          </w:pPr>
          <w:r>
            <w:rPr>
              <w:lang w:val="en-GB" w:eastAsia="en-US"/>
            </w:rPr>
            <w:t>2.</w:t>
          </w:r>
          <w:r>
            <w:rPr>
              <w:b w:val="false"/>
              <w:sz w:val="24"/>
              <w:lang w:val="en-US" w:eastAsia="en-US"/>
            </w:rPr>
            <w:tab/>
          </w:r>
          <w:r>
            <w:rPr>
              <w:lang w:val="en-GB" w:eastAsia="en-US"/>
            </w:rPr>
            <w:t>Transition Activities and Responsibilities</w:t>
          </w:r>
          <w:r>
            <w:rPr>
              <w:lang w:val="en-US" w:eastAsia="en-US"/>
            </w:rPr>
            <w:tab/>
          </w:r>
          <w:hyperlink w:anchor="__RefHeading___Toc148942472">
            <w:r>
              <w:rPr>
                <w:rStyle w:val="IndexLink"/>
                <w:lang w:val="en-US" w:eastAsia="en-US"/>
              </w:rPr>
              <w:t>2</w:t>
            </w:r>
          </w:hyperlink>
        </w:p>
        <w:p>
          <w:pPr>
            <w:pStyle w:val="TOC2"/>
            <w:tabs>
              <w:tab w:val="clear" w:pos="720"/>
              <w:tab w:val="left" w:pos="660" w:leader="none"/>
              <w:tab w:val="right" w:pos="8441" w:leader="dot"/>
            </w:tabs>
            <w:rPr>
              <w:b w:val="false"/>
              <w:sz w:val="24"/>
              <w:lang w:val="en-US" w:eastAsia="en-US"/>
            </w:rPr>
          </w:pPr>
          <w:r>
            <w:rPr>
              <w:lang w:val="en-GB" w:eastAsia="en-US"/>
            </w:rPr>
            <w:t>3.</w:t>
          </w:r>
          <w:r>
            <w:rPr>
              <w:b w:val="false"/>
              <w:sz w:val="24"/>
              <w:lang w:val="en-US" w:eastAsia="en-US"/>
            </w:rPr>
            <w:tab/>
          </w:r>
          <w:r>
            <w:rPr>
              <w:lang w:val="en-GB" w:eastAsia="en-US"/>
            </w:rPr>
            <w:t>Performance Management Procedures</w:t>
          </w:r>
          <w:r>
            <w:rPr>
              <w:lang w:val="en-US" w:eastAsia="en-US"/>
            </w:rPr>
            <w:tab/>
          </w:r>
          <w:hyperlink w:anchor="__RefHeading___Toc148942473">
            <w:r>
              <w:rPr>
                <w:rStyle w:val="IndexLink"/>
                <w:lang w:val="en-US" w:eastAsia="en-US"/>
              </w:rPr>
              <w:t>3</w:t>
            </w:r>
          </w:hyperlink>
        </w:p>
        <w:p>
          <w:pPr>
            <w:pStyle w:val="TOC2"/>
            <w:tabs>
              <w:tab w:val="clear" w:pos="720"/>
              <w:tab w:val="left" w:pos="660" w:leader="none"/>
              <w:tab w:val="right" w:pos="8441" w:leader="dot"/>
            </w:tabs>
            <w:rPr>
              <w:b w:val="false"/>
              <w:sz w:val="24"/>
              <w:lang w:val="en-US" w:eastAsia="en-US"/>
            </w:rPr>
          </w:pPr>
          <w:r>
            <w:rPr>
              <w:lang w:val="en-GB" w:eastAsia="en-US"/>
            </w:rPr>
            <w:t>4.</w:t>
          </w:r>
          <w:r>
            <w:rPr>
              <w:b w:val="false"/>
              <w:sz w:val="24"/>
              <w:lang w:val="en-US" w:eastAsia="en-US"/>
            </w:rPr>
            <w:tab/>
          </w:r>
          <w:r>
            <w:rPr>
              <w:lang w:val="en-GB" w:eastAsia="en-US"/>
            </w:rPr>
            <w:t>Financial Management Procedures</w:t>
          </w:r>
          <w:r>
            <w:rPr>
              <w:lang w:val="en-US" w:eastAsia="en-US"/>
            </w:rPr>
            <w:tab/>
          </w:r>
          <w:hyperlink w:anchor="__RefHeading___Toc148942474">
            <w:r>
              <w:rPr>
                <w:rStyle w:val="IndexLink"/>
                <w:lang w:val="en-US" w:eastAsia="en-US"/>
              </w:rPr>
              <w:t>5</w:t>
            </w:r>
          </w:hyperlink>
        </w:p>
        <w:p>
          <w:pPr>
            <w:pStyle w:val="TOC2"/>
            <w:tabs>
              <w:tab w:val="clear" w:pos="720"/>
              <w:tab w:val="left" w:pos="660" w:leader="none"/>
              <w:tab w:val="right" w:pos="8441" w:leader="dot"/>
            </w:tabs>
            <w:rPr>
              <w:b w:val="false"/>
              <w:sz w:val="24"/>
              <w:lang w:val="en-US" w:eastAsia="en-US"/>
            </w:rPr>
          </w:pPr>
          <w:r>
            <w:rPr>
              <w:lang w:val="en-GB" w:eastAsia="en-US"/>
            </w:rPr>
            <w:t>5.</w:t>
          </w:r>
          <w:r>
            <w:rPr>
              <w:b w:val="false"/>
              <w:sz w:val="24"/>
              <w:lang w:val="en-US" w:eastAsia="en-US"/>
            </w:rPr>
            <w:tab/>
          </w:r>
          <w:r>
            <w:rPr>
              <w:lang w:val="en-GB" w:eastAsia="en-US"/>
            </w:rPr>
            <w:t>Contract Management Procedures</w:t>
          </w:r>
          <w:r>
            <w:rPr>
              <w:lang w:val="en-US" w:eastAsia="en-US"/>
            </w:rPr>
            <w:tab/>
          </w:r>
          <w:hyperlink w:anchor="__RefHeading___Toc148942475">
            <w:r>
              <w:rPr>
                <w:rStyle w:val="IndexLink"/>
                <w:lang w:val="en-US" w:eastAsia="en-US"/>
              </w:rPr>
              <w:t>7</w:t>
            </w:r>
          </w:hyperlink>
        </w:p>
        <w:p>
          <w:pPr>
            <w:pStyle w:val="TOC2"/>
            <w:tabs>
              <w:tab w:val="clear" w:pos="720"/>
              <w:tab w:val="left" w:pos="660" w:leader="none"/>
              <w:tab w:val="right" w:pos="8441" w:leader="dot"/>
            </w:tabs>
            <w:rPr>
              <w:b w:val="false"/>
              <w:sz w:val="24"/>
              <w:lang w:val="en-US" w:eastAsia="en-US"/>
            </w:rPr>
          </w:pPr>
          <w:r>
            <w:rPr>
              <w:lang w:val="en-GB" w:eastAsia="en-US"/>
            </w:rPr>
            <w:t>6.</w:t>
          </w:r>
          <w:r>
            <w:rPr>
              <w:b w:val="false"/>
              <w:sz w:val="24"/>
              <w:lang w:val="en-US" w:eastAsia="en-US"/>
            </w:rPr>
            <w:tab/>
          </w:r>
          <w:r>
            <w:rPr>
              <w:lang w:val="en-GB" w:eastAsia="en-US"/>
            </w:rPr>
            <w:t>Relationship Management Procedures</w:t>
          </w:r>
          <w:r>
            <w:rPr>
              <w:lang w:val="en-US" w:eastAsia="en-US"/>
            </w:rPr>
            <w:tab/>
          </w:r>
          <w:hyperlink w:anchor="__RefHeading___Toc148942476">
            <w:r>
              <w:rPr>
                <w:rStyle w:val="IndexLink"/>
                <w:lang w:val="en-US" w:eastAsia="en-US"/>
              </w:rPr>
              <w:t>9</w:t>
            </w:r>
          </w:hyperlink>
        </w:p>
        <w:p>
          <w:pPr>
            <w:pStyle w:val="TOC2"/>
            <w:tabs>
              <w:tab w:val="clear" w:pos="720"/>
              <w:tab w:val="left" w:pos="660" w:leader="none"/>
              <w:tab w:val="right" w:pos="8441" w:leader="dot"/>
            </w:tabs>
            <w:rPr>
              <w:sz w:val="24"/>
              <w:lang w:val="en-US" w:eastAsia="en-US"/>
            </w:rPr>
          </w:pPr>
          <w:r>
            <w:rPr>
              <w:b w:val="false"/>
              <w:lang w:val="en-GB" w:eastAsia="en-US"/>
            </w:rPr>
            <w:t>7.</w:t>
          </w:r>
          <w:r>
            <w:rPr>
              <w:b w:val="false"/>
              <w:sz w:val="24"/>
              <w:lang w:val="en-US" w:eastAsia="en-US"/>
            </w:rPr>
            <w:tab/>
          </w:r>
          <w:r>
            <w:rPr>
              <w:b w:val="false"/>
              <w:lang w:val="en-GB" w:eastAsia="en-US"/>
            </w:rPr>
            <w:t>2IM Operational Procedures</w:t>
          </w:r>
          <w:r>
            <w:rPr>
              <w:b w:val="false"/>
              <w:lang w:val="en-US" w:eastAsia="en-US"/>
            </w:rPr>
            <w:tab/>
          </w:r>
          <w:hyperlink w:anchor="__RefHeading___Toc148942477">
            <w:r>
              <w:rPr>
                <w:rStyle w:val="IndexLink"/>
                <w:b w:val="false"/>
                <w:lang w:val="en-US" w:eastAsia="en-US"/>
              </w:rPr>
              <w:t>10</w:t>
            </w:r>
          </w:hyperlink>
          <w:r>
            <w:rPr>
              <w:rStyle w:val="IndexLink"/>
              <w:b w:val="false"/>
              <w:lang w:val="en-US" w:eastAsia="en-US"/>
            </w:rPr>
            <w:fldChar w:fldCharType="end"/>
          </w:r>
        </w:p>
      </w:sdtContent>
    </w:sdt>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20"/>
          <w:szCs w:val="20"/>
          <w:lang w:val="en-GB" w:eastAsia="en-US"/>
        </w:rPr>
      </w:pPr>
      <w:r>
        <w:rPr>
          <w:b/>
          <w:caps/>
          <w:sz w:val="20"/>
          <w:szCs w:val="20"/>
          <w:lang w:val="en-GB" w:eastAsia="en-US"/>
        </w:rPr>
      </w:r>
    </w:p>
    <w:p>
      <w:pPr>
        <w:pStyle w:val="Normal"/>
        <w:spacing w:before="0" w:after="0"/>
        <w:rPr>
          <w:lang w:val="en-GB"/>
        </w:rPr>
      </w:pPr>
      <w:r>
        <w:rPr>
          <w:lang w:val="en-GB"/>
        </w:rPr>
      </w:r>
    </w:p>
    <w:p>
      <w:pPr>
        <w:pStyle w:val="Heading"/>
        <w:jc w:val="start"/>
        <w:rPr>
          <w:sz w:val="22"/>
          <w:szCs w:val="22"/>
          <w:lang w:val="en-GB"/>
        </w:rPr>
      </w:pPr>
      <w:bookmarkStart w:id="0" w:name="__RefHeading___Toc148942469"/>
      <w:bookmarkEnd w:id="0"/>
      <w:r>
        <w:rPr>
          <w:sz w:val="22"/>
          <w:szCs w:val="22"/>
          <w:lang w:val="en-GB"/>
        </w:rPr>
        <w:t>Introduction</w:t>
      </w:r>
    </w:p>
    <w:p>
      <w:pPr>
        <w:pStyle w:val="BodyText"/>
        <w:jc w:val="both"/>
        <w:rPr>
          <w:lang w:val="en-GB"/>
        </w:rPr>
      </w:pPr>
      <w:r>
        <w:rPr>
          <w:lang w:val="en-GB"/>
        </w:rPr>
        <w:t>This document describes the general content and organization of the Policies and Procedures Manual that will be developed to support Governance of the Agreement.</w:t>
      </w:r>
    </w:p>
    <w:p>
      <w:pPr>
        <w:pStyle w:val="Heading"/>
        <w:jc w:val="both"/>
        <w:rPr/>
      </w:pPr>
      <w:bookmarkStart w:id="1" w:name="__RefHeading___Toc148942470"/>
      <w:bookmarkEnd w:id="1"/>
      <w:r>
        <w:rPr>
          <w:sz w:val="22"/>
          <w:szCs w:val="22"/>
          <w:lang w:val="en-GB"/>
        </w:rPr>
        <w:t>General Content and Organisation</w:t>
      </w:r>
    </w:p>
    <w:p>
      <w:pPr>
        <w:pStyle w:val="BodyText"/>
        <w:jc w:val="both"/>
        <w:rPr>
          <w:lang w:val="en-GB"/>
        </w:rPr>
      </w:pPr>
      <w:r>
        <w:rPr>
          <w:lang w:val="en-GB"/>
        </w:rPr>
        <w:t>The table below provides the general organization and content of the Policies and Procedures Manual. Although not intended to replicate the Agreement, the Policies and Procedures Manual should provide comprehensive documentation of the procedures that will be followed to implement and manage the Agreement and the overall relationship.  Specific references to detailed text or requirements in the Agreement may be incorporated within the Policies and Procedures Manual.</w:t>
      </w:r>
    </w:p>
    <w:p>
      <w:pPr>
        <w:pStyle w:val="BodyText"/>
        <w:jc w:val="both"/>
        <w:rPr>
          <w:lang w:val="en-GB"/>
        </w:rPr>
      </w:pPr>
      <w:r>
        <w:rPr>
          <w:lang w:val="en-GB"/>
        </w:rPr>
        <w:t>The responsibilities of the 2IM and EuroBank should be clearly indicated within the document (including specific responsibilities by job title or function).  The manual will be used jointly by the Parties to assist with overall coordination and communication regarding the Agreement.</w:t>
      </w:r>
    </w:p>
    <w:p>
      <w:pPr>
        <w:pStyle w:val="BodyText"/>
        <w:jc w:val="both"/>
        <w:rPr/>
      </w:pPr>
      <w:r>
        <w:rPr>
          <w:lang w:val="en-GB"/>
        </w:rPr>
        <w:t>In the table that follows, the items marked with “Y” in the “</w:t>
      </w:r>
      <w:r>
        <w:rPr>
          <w:i/>
          <w:lang w:val="en-GB"/>
        </w:rPr>
        <w:t>Complete prior to Commencement Date</w:t>
      </w:r>
      <w:r>
        <w:rPr>
          <w:lang w:val="en-GB"/>
        </w:rPr>
        <w:t>” column will be prepared and provided by the appropriate PST Supplier prior to the Commencement Date; the rest will be prepared and provided within the period specified for provision of the Policy &amp; Procedures Manual as a Critical Deliverable under Attachment 3-C (</w:t>
      </w:r>
      <w:r>
        <w:rPr>
          <w:i/>
          <w:lang w:val="en-GB"/>
        </w:rPr>
        <w:t>Critical Deliverables</w:t>
      </w:r>
      <w:r>
        <w:rPr/>
        <w:t>).</w:t>
      </w:r>
    </w:p>
    <w:tbl>
      <w:tblPr>
        <w:tblW w:w="8096" w:type="dxa"/>
        <w:jc w:val="center"/>
        <w:tblInd w:w="0" w:type="dxa"/>
        <w:tblLayout w:type="fixed"/>
        <w:tblCellMar>
          <w:top w:w="0" w:type="dxa"/>
          <w:start w:w="108" w:type="dxa"/>
          <w:bottom w:w="0" w:type="dxa"/>
          <w:end w:w="108" w:type="dxa"/>
        </w:tblCellMar>
      </w:tblPr>
      <w:tblGrid>
        <w:gridCol w:w="3690"/>
        <w:gridCol w:w="1744"/>
        <w:gridCol w:w="2662"/>
      </w:tblGrid>
      <w:tr>
        <w:trPr>
          <w:tblHeader w:val="true"/>
        </w:trPr>
        <w:tc>
          <w:tcPr>
            <w:tcW w:w="3690" w:type="dxa"/>
            <w:tcBorders>
              <w:top w:val="single" w:sz="4" w:space="0" w:color="000000"/>
              <w:start w:val="single" w:sz="4" w:space="0" w:color="000000"/>
              <w:bottom w:val="single" w:sz="4" w:space="0" w:color="000000"/>
              <w:end w:val="single" w:sz="4" w:space="0" w:color="000000"/>
            </w:tcBorders>
            <w:shd w:fill="FFFF99" w:val="clear"/>
            <w:vAlign w:val="center"/>
          </w:tcPr>
          <w:p>
            <w:pPr>
              <w:pStyle w:val="HeadingTable"/>
              <w:spacing w:before="120" w:after="120"/>
              <w:rPr>
                <w:lang w:val="en-GB"/>
              </w:rPr>
            </w:pPr>
            <w:r>
              <w:rPr>
                <w:lang w:val="en-GB"/>
              </w:rPr>
              <w:t>Content</w:t>
            </w:r>
          </w:p>
        </w:tc>
        <w:tc>
          <w:tcPr>
            <w:tcW w:w="1744" w:type="dxa"/>
            <w:tcBorders>
              <w:top w:val="single" w:sz="4" w:space="0" w:color="000000"/>
              <w:start w:val="single" w:sz="4" w:space="0" w:color="000000"/>
              <w:bottom w:val="single" w:sz="4" w:space="0" w:color="000000"/>
              <w:end w:val="single" w:sz="4" w:space="0" w:color="000000"/>
            </w:tcBorders>
            <w:shd w:fill="FFFF99" w:val="clear"/>
            <w:vAlign w:val="center"/>
          </w:tcPr>
          <w:p>
            <w:pPr>
              <w:pStyle w:val="HeadingTable"/>
              <w:spacing w:before="120" w:after="120"/>
              <w:jc w:val="center"/>
              <w:rPr/>
            </w:pPr>
            <w:r>
              <w:rPr>
                <w:lang w:val="en-GB"/>
              </w:rPr>
              <w:t>Complete prior to Commencement Date</w:t>
            </w:r>
          </w:p>
        </w:tc>
        <w:tc>
          <w:tcPr>
            <w:tcW w:w="2662" w:type="dxa"/>
            <w:tcBorders>
              <w:top w:val="single" w:sz="4" w:space="0" w:color="000000"/>
              <w:start w:val="single" w:sz="4" w:space="0" w:color="000000"/>
              <w:bottom w:val="single" w:sz="4" w:space="0" w:color="000000"/>
              <w:end w:val="single" w:sz="4" w:space="0" w:color="000000"/>
            </w:tcBorders>
            <w:shd w:fill="FFFF99" w:val="clear"/>
            <w:vAlign w:val="center"/>
          </w:tcPr>
          <w:p>
            <w:pPr>
              <w:pStyle w:val="HeadingTable"/>
              <w:spacing w:before="120" w:after="120"/>
              <w:rPr>
                <w:lang w:val="en-GB"/>
              </w:rPr>
            </w:pPr>
            <w:r>
              <w:rPr>
                <w:lang w:val="en-GB"/>
              </w:rPr>
              <w:t>Brief Description</w:t>
            </w:r>
          </w:p>
        </w:tc>
      </w:tr>
      <w:tr>
        <w:trPr/>
        <w:tc>
          <w:tcPr>
            <w:tcW w:w="3690" w:type="dxa"/>
            <w:tcBorders>
              <w:top w:val="single" w:sz="4" w:space="0" w:color="000000"/>
              <w:start w:val="single" w:sz="4" w:space="0" w:color="000000"/>
              <w:bottom w:val="single" w:sz="4" w:space="0" w:color="000000"/>
              <w:end w:val="single" w:sz="4" w:space="0" w:color="000000"/>
            </w:tcBorders>
            <w:shd w:fill="00CCFF" w:val="clear"/>
          </w:tcPr>
          <w:p>
            <w:pPr>
              <w:pStyle w:val="Heading1Numbered"/>
              <w:numPr>
                <w:ilvl w:val="0"/>
                <w:numId w:val="2"/>
              </w:numPr>
              <w:spacing w:before="240" w:after="240"/>
              <w:ind w:hanging="0" w:start="0"/>
              <w:rPr>
                <w:sz w:val="24"/>
                <w:lang w:val="en-GB"/>
              </w:rPr>
            </w:pPr>
            <w:bookmarkStart w:id="2" w:name="__RefHeading___Toc148942471"/>
            <w:bookmarkEnd w:id="2"/>
            <w:r>
              <w:rPr>
                <w:sz w:val="24"/>
                <w:lang w:val="en-GB"/>
              </w:rPr>
              <w:t>Organisational Overview</w:t>
            </w:r>
          </w:p>
        </w:tc>
        <w:tc>
          <w:tcPr>
            <w:tcW w:w="1744" w:type="dxa"/>
            <w:tcBorders>
              <w:top w:val="single" w:sz="4" w:space="0" w:color="000000"/>
              <w:start w:val="single" w:sz="4" w:space="0" w:color="000000"/>
              <w:bottom w:val="single" w:sz="4" w:space="0" w:color="000000"/>
              <w:end w:val="single" w:sz="4" w:space="0" w:color="000000"/>
            </w:tcBorders>
            <w:shd w:fill="00CCFF" w:val="clear"/>
          </w:tcPr>
          <w:p>
            <w:pPr>
              <w:pStyle w:val="Normal"/>
              <w:snapToGrid w:val="false"/>
              <w:spacing w:before="120" w:after="120"/>
              <w:jc w:val="center"/>
              <w:rPr>
                <w:sz w:val="24"/>
                <w:lang w:val="en-GB"/>
              </w:rPr>
            </w:pPr>
            <w:r>
              <w:rPr>
                <w:sz w:val="24"/>
                <w:lang w:val="en-GB"/>
              </w:rPr>
            </w:r>
          </w:p>
        </w:tc>
        <w:tc>
          <w:tcPr>
            <w:tcW w:w="2662" w:type="dxa"/>
            <w:tcBorders>
              <w:top w:val="single" w:sz="4" w:space="0" w:color="000000"/>
              <w:start w:val="single" w:sz="4" w:space="0" w:color="000000"/>
              <w:bottom w:val="single" w:sz="4" w:space="0" w:color="000000"/>
              <w:end w:val="single" w:sz="4" w:space="0" w:color="000000"/>
            </w:tcBorders>
            <w:shd w:fill="00CCFF" w:val="clear"/>
          </w:tcPr>
          <w:p>
            <w:pPr>
              <w:pStyle w:val="TableText"/>
              <w:snapToGrid w:val="false"/>
              <w:spacing w:before="120" w:after="120"/>
              <w:rPr>
                <w:lang w:val="en-GB"/>
              </w:rPr>
            </w:pPr>
            <w:r>
              <w:rPr>
                <w:lang w:val="en-GB"/>
              </w:rPr>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EuroBank Sourcing Governance Organization.</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Include organization charts, description of functions performed, contact information.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2IM Management and Delivery Organization</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Include organization charts, description of functions performed, contact information.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Key Contacts – EuroBank</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list of contacts within EuroBank that are key users of the Services and/or perform a liaison function in regard to the Services (by business unit, by geography).</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Key Contacts – Third Parties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list of key Third Parties (maintenance providers, software providers, telecom carriers, etc).</w:t>
            </w:r>
          </w:p>
        </w:tc>
      </w:tr>
      <w:tr>
        <w:trPr/>
        <w:tc>
          <w:tcPr>
            <w:tcW w:w="3690" w:type="dxa"/>
            <w:tcBorders>
              <w:top w:val="single" w:sz="4" w:space="0" w:color="000000"/>
              <w:start w:val="single" w:sz="4" w:space="0" w:color="000000"/>
              <w:bottom w:val="single" w:sz="4" w:space="0" w:color="000000"/>
              <w:end w:val="single" w:sz="4" w:space="0" w:color="000000"/>
            </w:tcBorders>
            <w:shd w:fill="00CCFF" w:val="clear"/>
          </w:tcPr>
          <w:p>
            <w:pPr>
              <w:pStyle w:val="Heading1Numbered"/>
              <w:numPr>
                <w:ilvl w:val="0"/>
                <w:numId w:val="2"/>
              </w:numPr>
              <w:spacing w:before="240" w:after="240"/>
              <w:ind w:hanging="0" w:start="0"/>
              <w:rPr>
                <w:sz w:val="24"/>
                <w:lang w:val="en-GB"/>
              </w:rPr>
            </w:pPr>
            <w:bookmarkStart w:id="3" w:name="__RefHeading___Toc148942472"/>
            <w:bookmarkEnd w:id="3"/>
            <w:r>
              <w:rPr>
                <w:sz w:val="24"/>
                <w:lang w:val="en-GB"/>
              </w:rPr>
              <w:t>Transition Activities and Responsibilities</w:t>
            </w:r>
          </w:p>
        </w:tc>
        <w:tc>
          <w:tcPr>
            <w:tcW w:w="1744" w:type="dxa"/>
            <w:tcBorders>
              <w:top w:val="single" w:sz="4" w:space="0" w:color="000000"/>
              <w:start w:val="single" w:sz="4" w:space="0" w:color="000000"/>
              <w:bottom w:val="single" w:sz="4" w:space="0" w:color="000000"/>
              <w:end w:val="single" w:sz="4" w:space="0" w:color="000000"/>
            </w:tcBorders>
            <w:shd w:fill="00CCFF" w:val="clear"/>
          </w:tcPr>
          <w:p>
            <w:pPr>
              <w:pStyle w:val="Normal"/>
              <w:snapToGrid w:val="false"/>
              <w:spacing w:before="120" w:after="120"/>
              <w:jc w:val="center"/>
              <w:rPr>
                <w:sz w:val="24"/>
                <w:lang w:val="en-GB"/>
              </w:rPr>
            </w:pPr>
            <w:r>
              <w:rPr>
                <w:sz w:val="24"/>
                <w:lang w:val="en-GB"/>
              </w:rPr>
            </w:r>
          </w:p>
        </w:tc>
        <w:tc>
          <w:tcPr>
            <w:tcW w:w="2662" w:type="dxa"/>
            <w:tcBorders>
              <w:top w:val="single" w:sz="4" w:space="0" w:color="000000"/>
              <w:start w:val="single" w:sz="4" w:space="0" w:color="000000"/>
              <w:bottom w:val="single" w:sz="4" w:space="0" w:color="000000"/>
              <w:end w:val="single" w:sz="4" w:space="0" w:color="000000"/>
            </w:tcBorders>
            <w:shd w:fill="00CCFF" w:val="clear"/>
          </w:tcPr>
          <w:p>
            <w:pPr>
              <w:pStyle w:val="TableText"/>
              <w:spacing w:before="120" w:after="120"/>
              <w:rPr>
                <w:lang w:val="en-GB"/>
              </w:rPr>
            </w:pPr>
            <w:r>
              <w:rPr>
                <w:lang w:val="en-GB"/>
              </w:rPr>
              <w:t>This section can be archived after the Transition period has ended; can re-use applicable information from Transition Plan or reference it if all information is provided within the Transition Plan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Overall Management and Reporting Process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description of EuroBank and 2IM management structure, reporting, and review process associated with Transition.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Critical Deliverables and Milestones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list of Critical Deliverables, milestones and timeline for the Transition period.</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Interim Performance Management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description of interim procedures to monitor and coordinate Service delivery, including Problem Management, Change Management, Service Level monitoring and reporting, Physical and Logical Security, Project Management, Work Authorization, etc.</w:t>
            </w:r>
          </w:p>
          <w:p>
            <w:pPr>
              <w:pStyle w:val="TableText"/>
              <w:spacing w:before="120" w:after="120"/>
              <w:rPr>
                <w:lang w:val="en-GB"/>
              </w:rPr>
            </w:pPr>
            <w:r>
              <w:rPr>
                <w:lang w:val="en-GB"/>
              </w:rPr>
              <w:t>A description of the responsibilities of both Parties.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Interim Financial Management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description of interim procedures for invoicing, invoice verification, charge back to business units, determining Resource Unit volume by bundle, asset management, asset transfers, forecasting, business unit support, etc.</w:t>
            </w:r>
          </w:p>
          <w:p>
            <w:pPr>
              <w:pStyle w:val="TableText"/>
              <w:spacing w:before="120" w:after="120"/>
              <w:rPr>
                <w:lang w:val="en-GB"/>
              </w:rPr>
            </w:pPr>
            <w:r>
              <w:rPr>
                <w:lang w:val="en-GB"/>
              </w:rPr>
              <w:t>A description of the responsibilities of both Parties.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Interim Contract Management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description of interim procedures for managing and administering the contract including proposed changes to the Agreement, interpretation procedures, issue escalation process, and disputes.</w:t>
            </w:r>
          </w:p>
          <w:p>
            <w:pPr>
              <w:pStyle w:val="TableText"/>
              <w:spacing w:before="120" w:after="120"/>
              <w:rPr>
                <w:lang w:val="en-GB"/>
              </w:rPr>
            </w:pPr>
            <w:r>
              <w:rPr>
                <w:lang w:val="en-GB"/>
              </w:rPr>
              <w:t>A description of the responsibilities of both Parties.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Interim Relationship Management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The procedures and responsibility for communication and coordination with EuroBank business units, employees, Third Party Vendors, etc</w:t>
            </w:r>
          </w:p>
          <w:p>
            <w:pPr>
              <w:pStyle w:val="TableText"/>
              <w:spacing w:before="120" w:after="120"/>
              <w:rPr>
                <w:lang w:val="en-GB"/>
              </w:rPr>
            </w:pPr>
            <w:r>
              <w:rPr>
                <w:lang w:val="en-GB"/>
              </w:rPr>
              <w:t>A description of the responsibilities of both Parties.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Human Resource Transition</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The procedures and responsibilities regarding finalization of HR transition activities.</w:t>
            </w:r>
          </w:p>
          <w:p>
            <w:pPr>
              <w:pStyle w:val="TableText"/>
              <w:spacing w:before="120" w:after="120"/>
              <w:rPr>
                <w:lang w:val="en-GB"/>
              </w:rPr>
            </w:pPr>
            <w:r>
              <w:rPr>
                <w:lang w:val="en-GB"/>
              </w:rPr>
              <w:t>A description of the responsibilities of both Parties.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Other Transition Procedures and Responsibilities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Any other pertinent procedures and responsibilities</w:t>
            </w:r>
          </w:p>
        </w:tc>
      </w:tr>
      <w:tr>
        <w:trPr/>
        <w:tc>
          <w:tcPr>
            <w:tcW w:w="3690" w:type="dxa"/>
            <w:tcBorders>
              <w:top w:val="single" w:sz="4" w:space="0" w:color="000000"/>
              <w:start w:val="single" w:sz="4" w:space="0" w:color="000000"/>
              <w:bottom w:val="single" w:sz="4" w:space="0" w:color="000000"/>
              <w:end w:val="single" w:sz="4" w:space="0" w:color="000000"/>
            </w:tcBorders>
            <w:shd w:fill="00CCFF" w:val="clear"/>
          </w:tcPr>
          <w:p>
            <w:pPr>
              <w:pStyle w:val="Heading1Numbered"/>
              <w:numPr>
                <w:ilvl w:val="0"/>
                <w:numId w:val="2"/>
              </w:numPr>
              <w:spacing w:before="240" w:after="240"/>
              <w:ind w:hanging="0" w:start="0"/>
              <w:rPr>
                <w:sz w:val="24"/>
                <w:lang w:val="en-GB"/>
              </w:rPr>
            </w:pPr>
            <w:bookmarkStart w:id="4" w:name="__RefHeading___Toc148942473"/>
            <w:bookmarkEnd w:id="4"/>
            <w:r>
              <w:rPr>
                <w:sz w:val="24"/>
                <w:lang w:val="en-GB"/>
              </w:rPr>
              <w:t>Performance Management Procedures</w:t>
            </w:r>
          </w:p>
        </w:tc>
        <w:tc>
          <w:tcPr>
            <w:tcW w:w="1744" w:type="dxa"/>
            <w:tcBorders>
              <w:top w:val="single" w:sz="4" w:space="0" w:color="000000"/>
              <w:start w:val="single" w:sz="4" w:space="0" w:color="000000"/>
              <w:bottom w:val="single" w:sz="4" w:space="0" w:color="000000"/>
              <w:end w:val="single" w:sz="4" w:space="0" w:color="000000"/>
            </w:tcBorders>
            <w:shd w:fill="00CCFF" w:val="clear"/>
          </w:tcPr>
          <w:p>
            <w:pPr>
              <w:pStyle w:val="Normal"/>
              <w:snapToGrid w:val="false"/>
              <w:spacing w:before="120" w:after="120"/>
              <w:jc w:val="center"/>
              <w:rPr>
                <w:sz w:val="24"/>
                <w:lang w:val="en-GB"/>
              </w:rPr>
            </w:pPr>
            <w:r>
              <w:rPr>
                <w:sz w:val="24"/>
                <w:lang w:val="en-GB"/>
              </w:rPr>
            </w:r>
          </w:p>
        </w:tc>
        <w:tc>
          <w:tcPr>
            <w:tcW w:w="2662" w:type="dxa"/>
            <w:tcBorders>
              <w:top w:val="single" w:sz="4" w:space="0" w:color="000000"/>
              <w:start w:val="single" w:sz="4" w:space="0" w:color="000000"/>
              <w:bottom w:val="single" w:sz="4" w:space="0" w:color="000000"/>
              <w:end w:val="single" w:sz="4" w:space="0" w:color="000000"/>
            </w:tcBorders>
            <w:shd w:fill="00CCFF" w:val="clear"/>
          </w:tcPr>
          <w:p>
            <w:pPr>
              <w:pStyle w:val="TableText"/>
              <w:spacing w:before="120" w:after="120"/>
              <w:rPr>
                <w:lang w:val="en-GB"/>
              </w:rPr>
            </w:pPr>
            <w:r>
              <w:rPr>
                <w:lang w:val="en-GB"/>
              </w:rPr>
              <w:t>Ongoing, “steady state” procedures and policies; content below should include information on coordination activities, responsibilities of each Party (by title/function).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hanging="360" w:start="720" w:end="0"/>
              <w:rPr>
                <w:lang w:val="en-GB"/>
              </w:rPr>
            </w:pPr>
            <w:r>
              <w:rPr>
                <w:lang w:val="en-GB"/>
              </w:rPr>
              <w:t>Performance Monitoring and Reporting Procedures (by bundle, as applicable)</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it will use to verify proper Service delivery on a day-to-day basis, including internal reporting and reporting to EuroBank.</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Problem Management and Escalation Procedures (by bundle, as applicable)</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it will use to identify problems, report and resolve problems, and escalate as necessary within 2IM’s organization and/or EuroBank.</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Root Cause Analysis Procedures (by bundle, as applicable)</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it will use to determine root cause of problems, including involvement of (and/or support to) applicable Third Parties or EuroBank.</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Service Level Measurement and Reporting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it will use to measure and report Service Levels to EuroBank.</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Work Authorization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work authorization procedures for In-scope Services (not New Services) to include responsibilities and procedures for the originator of work requests, and overall review and authorization processes.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Project Management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methodology and procedures it will use to manage and report on Projects.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Change Management – Operational and Technical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procedures it will use (including the notification process, timing, planning, authorization, and implementation) regarding changes to the operational and technical environment.</w:t>
            </w:r>
          </w:p>
          <w:p>
            <w:pPr>
              <w:pStyle w:val="TableText"/>
              <w:spacing w:before="120" w:after="120"/>
              <w:rPr>
                <w:lang w:val="en-GB"/>
              </w:rPr>
            </w:pPr>
            <w:r>
              <w:rPr>
                <w:lang w:val="en-GB"/>
              </w:rPr>
              <w:t>2IM will include responsibilities and authority of EuroBank.</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Asset Management</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installing, tracking, and removing Equipment and Software assets.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Long Range IT Planning</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developing Long Range IT Plan.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Physical Access &amp; Security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physical access and security procedures it will use (at both EuroBank Sites and 2IM locations).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Network Access &amp; Security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network access and security procedures it will use.</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Data Access and Security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procedures it will use to allow access to data, to include the request and authorization process for user IDs and passwords from EuroBank staff or other Authorized Users.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Disaster Recovery and Business Continuity Procedures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procedures it will use in regard to Disaster Recovery and Business Continuity.  (2IM may reference other documents containing comprehensive procedures, but should provide general overview within the Policies and Procedures Manual).</w:t>
            </w:r>
          </w:p>
        </w:tc>
      </w:tr>
      <w:tr>
        <w:trPr/>
        <w:tc>
          <w:tcPr>
            <w:tcW w:w="3690" w:type="dxa"/>
            <w:tcBorders>
              <w:top w:val="single" w:sz="4" w:space="0" w:color="000000"/>
              <w:start w:val="single" w:sz="4" w:space="0" w:color="000000"/>
              <w:bottom w:val="single" w:sz="4" w:space="0" w:color="000000"/>
              <w:end w:val="single" w:sz="4" w:space="0" w:color="000000"/>
            </w:tcBorders>
            <w:shd w:fill="00CCFF" w:val="clear"/>
          </w:tcPr>
          <w:p>
            <w:pPr>
              <w:pStyle w:val="Heading1Numbered"/>
              <w:numPr>
                <w:ilvl w:val="0"/>
                <w:numId w:val="2"/>
              </w:numPr>
              <w:spacing w:before="240" w:after="240"/>
              <w:ind w:hanging="0" w:start="0"/>
              <w:rPr>
                <w:sz w:val="24"/>
                <w:lang w:val="en-GB"/>
              </w:rPr>
            </w:pPr>
            <w:bookmarkStart w:id="5" w:name="__RefHeading___Toc148942474"/>
            <w:bookmarkEnd w:id="5"/>
            <w:r>
              <w:rPr>
                <w:sz w:val="24"/>
                <w:lang w:val="en-GB"/>
              </w:rPr>
              <w:t>Financial Management Procedures</w:t>
            </w:r>
          </w:p>
        </w:tc>
        <w:tc>
          <w:tcPr>
            <w:tcW w:w="1744" w:type="dxa"/>
            <w:tcBorders>
              <w:top w:val="single" w:sz="4" w:space="0" w:color="000000"/>
              <w:start w:val="single" w:sz="4" w:space="0" w:color="000000"/>
              <w:bottom w:val="single" w:sz="4" w:space="0" w:color="000000"/>
              <w:end w:val="single" w:sz="4" w:space="0" w:color="000000"/>
            </w:tcBorders>
            <w:shd w:fill="00CCFF" w:val="clear"/>
          </w:tcPr>
          <w:p>
            <w:pPr>
              <w:pStyle w:val="Normal"/>
              <w:snapToGrid w:val="false"/>
              <w:spacing w:before="120" w:after="120"/>
              <w:jc w:val="center"/>
              <w:rPr>
                <w:sz w:val="24"/>
                <w:lang w:val="en-GB"/>
              </w:rPr>
            </w:pPr>
            <w:r>
              <w:rPr>
                <w:sz w:val="24"/>
                <w:lang w:val="en-GB"/>
              </w:rPr>
            </w:r>
          </w:p>
        </w:tc>
        <w:tc>
          <w:tcPr>
            <w:tcW w:w="2662" w:type="dxa"/>
            <w:tcBorders>
              <w:top w:val="single" w:sz="4" w:space="0" w:color="000000"/>
              <w:start w:val="single" w:sz="4" w:space="0" w:color="000000"/>
              <w:bottom w:val="single" w:sz="4" w:space="0" w:color="000000"/>
              <w:end w:val="single" w:sz="4" w:space="0" w:color="000000"/>
            </w:tcBorders>
            <w:shd w:fill="00CCFF" w:val="clear"/>
          </w:tcPr>
          <w:p>
            <w:pPr>
              <w:pStyle w:val="TableText"/>
              <w:spacing w:before="120" w:after="120"/>
              <w:rPr>
                <w:lang w:val="en-GB"/>
              </w:rPr>
            </w:pPr>
            <w:r>
              <w:rPr>
                <w:lang w:val="en-GB"/>
              </w:rPr>
              <w:t>Ongoing, “steady state” procedures and policies; content below should include information on coordination activities, responsibilities of each Party (by title/function).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Invoicing</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invoicing (and verification of invoice by EuroBank).</w:t>
            </w:r>
          </w:p>
          <w:p>
            <w:pPr>
              <w:pStyle w:val="TableText"/>
              <w:rPr>
                <w:lang w:val="en-GB"/>
              </w:rPr>
            </w:pPr>
            <w:r>
              <w:rPr>
                <w:lang w:val="en-GB"/>
              </w:rPr>
              <w:t>The content should include procedures for calculating Resource Unit volumes for pricing (per bundle, as applicable), invoicing of Projects, etc.</w:t>
            </w:r>
          </w:p>
          <w:p>
            <w:pPr>
              <w:pStyle w:val="TableText"/>
              <w:spacing w:before="120" w:after="120"/>
              <w:rPr>
                <w:lang w:val="en-GB"/>
              </w:rPr>
            </w:pPr>
            <w:r>
              <w:rPr>
                <w:lang w:val="en-GB"/>
              </w:rPr>
              <w:t>The content should include procedures regarding disputed invoice amounts.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Charge back</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charge back of costs related to the Services and the overall Agreement to business units (to include responsibilities and support by both 2IM and the EuroBank Governance staff)</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360" w:end="0"/>
              <w:rPr>
                <w:lang w:val="en-GB"/>
              </w:rPr>
            </w:pPr>
            <w:r>
              <w:rPr>
                <w:lang w:val="en-GB"/>
              </w:rPr>
              <w:t>Budgeting</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how it would assist EuroBank with the annual budgeting cycle.  Process should include estimation of Resource Unit volumes (by bundle and business unit or geography as appropriate), potential Projects, review cycle, etc.</w:t>
            </w:r>
          </w:p>
          <w:p>
            <w:pPr>
              <w:pStyle w:val="TableText"/>
              <w:spacing w:before="120" w:after="120"/>
              <w:rPr>
                <w:lang w:val="en-GB"/>
              </w:rPr>
            </w:pPr>
            <w:r>
              <w:rPr>
                <w:lang w:val="en-GB"/>
              </w:rPr>
              <w:t>The content should include the responsibilities of 2IM, EuroBank Sourcing Governance staff, and EuroBank business units.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Forecasting</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forecasting cost versus budget.</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Procurement</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procurement Services (where 2IM performs procurement on behalf of EuroBank, as applicable).</w:t>
            </w:r>
          </w:p>
          <w:p>
            <w:pPr>
              <w:pStyle w:val="TableText"/>
              <w:spacing w:before="120" w:after="120"/>
              <w:rPr>
                <w:lang w:val="en-GB"/>
              </w:rPr>
            </w:pPr>
            <w:r>
              <w:rPr>
                <w:lang w:val="en-GB"/>
              </w:rPr>
              <w:t>The content should include responsibilities and process for both EuroBank staff and 2IM.</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Performance Credits and Earnback</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calculating Performance Credits on invoices and Earnback calculations.</w:t>
            </w:r>
          </w:p>
        </w:tc>
      </w:tr>
      <w:tr>
        <w:trPr/>
        <w:tc>
          <w:tcPr>
            <w:tcW w:w="3690" w:type="dxa"/>
            <w:tcBorders>
              <w:top w:val="single" w:sz="4" w:space="0" w:color="000000"/>
              <w:start w:val="single" w:sz="4" w:space="0" w:color="000000"/>
              <w:bottom w:val="single" w:sz="4" w:space="0" w:color="000000"/>
              <w:end w:val="single" w:sz="4" w:space="0" w:color="000000"/>
            </w:tcBorders>
            <w:shd w:fill="00CCFF" w:val="clear"/>
          </w:tcPr>
          <w:p>
            <w:pPr>
              <w:pStyle w:val="Heading1Numbered"/>
              <w:numPr>
                <w:ilvl w:val="0"/>
                <w:numId w:val="2"/>
              </w:numPr>
              <w:spacing w:before="240" w:after="240"/>
              <w:ind w:hanging="0" w:start="0"/>
              <w:rPr>
                <w:sz w:val="24"/>
                <w:lang w:val="en-GB"/>
              </w:rPr>
            </w:pPr>
            <w:bookmarkStart w:id="6" w:name="__RefHeading___Toc148942475"/>
            <w:bookmarkEnd w:id="6"/>
            <w:r>
              <w:rPr>
                <w:sz w:val="24"/>
                <w:lang w:val="en-GB"/>
              </w:rPr>
              <w:t>Contract Management Procedures</w:t>
            </w:r>
          </w:p>
        </w:tc>
        <w:tc>
          <w:tcPr>
            <w:tcW w:w="1744" w:type="dxa"/>
            <w:tcBorders>
              <w:top w:val="single" w:sz="4" w:space="0" w:color="000000"/>
              <w:start w:val="single" w:sz="4" w:space="0" w:color="000000"/>
              <w:bottom w:val="single" w:sz="4" w:space="0" w:color="000000"/>
              <w:end w:val="single" w:sz="4" w:space="0" w:color="000000"/>
            </w:tcBorders>
            <w:shd w:fill="00CCFF" w:val="clear"/>
          </w:tcPr>
          <w:p>
            <w:pPr>
              <w:pStyle w:val="Normal"/>
              <w:snapToGrid w:val="false"/>
              <w:spacing w:before="120" w:after="120"/>
              <w:jc w:val="center"/>
              <w:rPr>
                <w:sz w:val="24"/>
                <w:lang w:val="en-GB"/>
              </w:rPr>
            </w:pPr>
            <w:r>
              <w:rPr>
                <w:sz w:val="24"/>
                <w:lang w:val="en-GB"/>
              </w:rPr>
            </w:r>
          </w:p>
        </w:tc>
        <w:tc>
          <w:tcPr>
            <w:tcW w:w="2662" w:type="dxa"/>
            <w:tcBorders>
              <w:top w:val="single" w:sz="4" w:space="0" w:color="000000"/>
              <w:start w:val="single" w:sz="4" w:space="0" w:color="000000"/>
              <w:bottom w:val="single" w:sz="4" w:space="0" w:color="000000"/>
              <w:end w:val="single" w:sz="4" w:space="0" w:color="000000"/>
            </w:tcBorders>
            <w:shd w:fill="00CCFF" w:val="clear"/>
          </w:tcPr>
          <w:p>
            <w:pPr>
              <w:pStyle w:val="TableText"/>
              <w:spacing w:before="120" w:after="120"/>
              <w:rPr>
                <w:lang w:val="en-GB"/>
              </w:rPr>
            </w:pPr>
            <w:r>
              <w:rPr>
                <w:lang w:val="en-GB"/>
              </w:rPr>
              <w:t>Ongoing, “steady state” procedures and policies; content below should include information on coordination activities, responsibilities of each Party (by title/function)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Contract Change Control</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regarding changes to the Agreement, including changes to any Exhibit or Attachment.</w:t>
            </w:r>
          </w:p>
          <w:p>
            <w:pPr>
              <w:pStyle w:val="TableText"/>
              <w:rPr>
                <w:lang w:val="en-GB"/>
              </w:rPr>
            </w:pPr>
            <w:r>
              <w:rPr>
                <w:lang w:val="en-GB"/>
              </w:rPr>
              <w:t>Content should include procedures to classify services as a New Service, and resulting process to change the Agreement (including pricing).</w:t>
            </w:r>
          </w:p>
          <w:p>
            <w:pPr>
              <w:pStyle w:val="TableText"/>
              <w:spacing w:before="120" w:after="120"/>
              <w:rPr>
                <w:lang w:val="en-GB"/>
              </w:rPr>
            </w:pPr>
            <w:r>
              <w:rPr>
                <w:lang w:val="en-GB"/>
              </w:rPr>
              <w:t>Content should include notification period and process, authority levels, and escalation procedures for changes to Agreement.</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Reporting</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lang w:val="en-GB"/>
              </w:rPr>
              <w:t>2IM should describe procedures and activities regarding key standard reports and requests for ad-hoc reports from EuroBank.</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New Service Levels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determining new Service Levels (based on continuous improvement and/or EuroBank request).</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Benchmarking</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Benchmarking exercises, including determination and agreement of benchmark firm, sample peer group and process used for benchmark, payment for benchmark, review of results, and potential outcome.</w:t>
            </w:r>
          </w:p>
          <w:p>
            <w:pPr>
              <w:pStyle w:val="TableText"/>
              <w:spacing w:before="120" w:after="120"/>
              <w:rPr>
                <w:lang w:val="en-GB"/>
              </w:rPr>
            </w:pPr>
            <w:r>
              <w:rPr>
                <w:lang w:val="en-GB"/>
              </w:rPr>
              <w:t>Content should include dispute resolution process.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Auditing</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operational and/or financial audits (as required by EuroBank auditing and/or regulatory agencies).</w:t>
            </w:r>
          </w:p>
          <w:p>
            <w:pPr>
              <w:pStyle w:val="TableText"/>
              <w:spacing w:before="120" w:after="120"/>
              <w:rPr>
                <w:lang w:val="en-GB"/>
              </w:rPr>
            </w:pPr>
            <w:r>
              <w:rPr>
                <w:lang w:val="en-GB"/>
              </w:rPr>
              <w:t>2IM should describe notification process and procedures to resolve audit findings.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2IM Key Personnel and Subcontractors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EuroBank approval regarding replacement or removal of 2IM Key Personnel and major subcontractors to 2IM.</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Dispute Resolution</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regarding formal dispute resolution process.</w:t>
            </w:r>
          </w:p>
        </w:tc>
      </w:tr>
      <w:tr>
        <w:trPr/>
        <w:tc>
          <w:tcPr>
            <w:tcW w:w="3690" w:type="dxa"/>
            <w:tcBorders>
              <w:top w:val="single" w:sz="4" w:space="0" w:color="000000"/>
              <w:start w:val="single" w:sz="4" w:space="0" w:color="000000"/>
              <w:bottom w:val="single" w:sz="4" w:space="0" w:color="000000"/>
              <w:end w:val="single" w:sz="4" w:space="0" w:color="000000"/>
            </w:tcBorders>
            <w:shd w:fill="00CCFF" w:val="clear"/>
          </w:tcPr>
          <w:p>
            <w:pPr>
              <w:pStyle w:val="Heading1Numbered"/>
              <w:numPr>
                <w:ilvl w:val="0"/>
                <w:numId w:val="2"/>
              </w:numPr>
              <w:spacing w:before="240" w:after="240"/>
              <w:ind w:hanging="0" w:start="0"/>
              <w:rPr>
                <w:sz w:val="24"/>
                <w:lang w:val="en-GB"/>
              </w:rPr>
            </w:pPr>
            <w:bookmarkStart w:id="7" w:name="__RefHeading___Toc148942476"/>
            <w:bookmarkEnd w:id="7"/>
            <w:r>
              <w:rPr>
                <w:sz w:val="24"/>
                <w:lang w:val="en-GB"/>
              </w:rPr>
              <w:t>Relationship Management Procedures</w:t>
            </w:r>
          </w:p>
        </w:tc>
        <w:tc>
          <w:tcPr>
            <w:tcW w:w="1744" w:type="dxa"/>
            <w:tcBorders>
              <w:top w:val="single" w:sz="4" w:space="0" w:color="000000"/>
              <w:start w:val="single" w:sz="4" w:space="0" w:color="000000"/>
              <w:bottom w:val="single" w:sz="4" w:space="0" w:color="000000"/>
              <w:end w:val="single" w:sz="4" w:space="0" w:color="000000"/>
            </w:tcBorders>
            <w:shd w:fill="00CCFF" w:val="clear"/>
          </w:tcPr>
          <w:p>
            <w:pPr>
              <w:pStyle w:val="Normal"/>
              <w:snapToGrid w:val="false"/>
              <w:spacing w:before="120" w:after="120"/>
              <w:jc w:val="center"/>
              <w:rPr>
                <w:sz w:val="24"/>
                <w:lang w:val="en-GB"/>
              </w:rPr>
            </w:pPr>
            <w:r>
              <w:rPr>
                <w:sz w:val="24"/>
                <w:lang w:val="en-GB"/>
              </w:rPr>
            </w:r>
          </w:p>
        </w:tc>
        <w:tc>
          <w:tcPr>
            <w:tcW w:w="2662" w:type="dxa"/>
            <w:tcBorders>
              <w:top w:val="single" w:sz="4" w:space="0" w:color="000000"/>
              <w:start w:val="single" w:sz="4" w:space="0" w:color="000000"/>
              <w:bottom w:val="single" w:sz="4" w:space="0" w:color="000000"/>
              <w:end w:val="single" w:sz="4" w:space="0" w:color="000000"/>
            </w:tcBorders>
            <w:shd w:fill="00CCFF" w:val="clear"/>
          </w:tcPr>
          <w:p>
            <w:pPr>
              <w:pStyle w:val="TableText"/>
              <w:spacing w:before="120" w:after="120"/>
              <w:rPr>
                <w:lang w:val="en-GB"/>
              </w:rPr>
            </w:pPr>
            <w:r>
              <w:rPr>
                <w:lang w:val="en-GB"/>
              </w:rPr>
              <w:t>Ongoing, “steady state” procedures and policies; content below should include information on coordination activities, responsibilities of each Party (by title/function).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Customer Satisfaction Surveys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process to be used for conduction customer satisfaction surveys.</w:t>
            </w:r>
          </w:p>
          <w:p>
            <w:pPr>
              <w:pStyle w:val="TableText"/>
              <w:spacing w:before="120" w:after="120"/>
              <w:rPr>
                <w:lang w:val="en-GB"/>
              </w:rPr>
            </w:pPr>
            <w:r>
              <w:rPr>
                <w:lang w:val="en-GB"/>
              </w:rPr>
              <w:t>Content should include procedures regarding action items and attempts to resolve customer issues.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Business Units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and responsibilities regarding the relationship between the EuroBank Business Units, the EuroBank Sourcing Governance organization (and, Business Service Development department) and 2IM.</w:t>
            </w:r>
          </w:p>
          <w:p>
            <w:pPr>
              <w:pStyle w:val="TableText"/>
              <w:spacing w:before="120" w:after="120"/>
              <w:rPr>
                <w:lang w:val="en-GB"/>
              </w:rPr>
            </w:pPr>
            <w:r>
              <w:rPr>
                <w:lang w:val="en-GB"/>
              </w:rPr>
              <w:t>Content should include procedures regarding communication and coordination regarding work requests, Service delivery issues, budgeting and financial issues, etc.</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Authorized Users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and responsibilities regarding responding to Authorized Users problems, requests, and questions.</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Third Party Vendors</w:t>
            </w:r>
          </w:p>
        </w:tc>
        <w:tc>
          <w:tcPr>
            <w:tcW w:w="174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lang w:val="en-GB"/>
              </w:rPr>
            </w:pPr>
            <w:r>
              <w:rPr>
                <w:lang w:val="en-GB"/>
              </w:rPr>
              <w:t>Y</w:t>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to describe procedures for relationship regarding Third Party Vendors which may provide services, Equipment, and/or Software that are ancillary to (or support) the overall delivery of Services.</w:t>
            </w:r>
          </w:p>
          <w:p>
            <w:pPr>
              <w:pStyle w:val="TableText"/>
              <w:spacing w:before="120" w:after="120"/>
              <w:rPr>
                <w:lang w:val="en-GB"/>
              </w:rPr>
            </w:pPr>
            <w:r>
              <w:rPr>
                <w:lang w:val="en-GB"/>
              </w:rPr>
              <w:t>Procedures and coordination with key Third Party Vendors should be documented.</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tabs>
                <w:tab w:val="left" w:pos="720" w:leader="none"/>
              </w:tabs>
              <w:spacing w:before="120" w:after="120"/>
              <w:ind w:hanging="360" w:start="720" w:end="0"/>
              <w:rPr>
                <w:lang w:val="en-GB"/>
              </w:rPr>
            </w:pPr>
            <w:r>
              <w:rPr>
                <w:lang w:val="en-GB"/>
              </w:rPr>
              <w:t>Other Third Parties</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procedures for any other contact or requests from other Third Parties in regard to the Agreement.</w:t>
            </w:r>
          </w:p>
        </w:tc>
      </w:tr>
      <w:tr>
        <w:trPr/>
        <w:tc>
          <w:tcPr>
            <w:tcW w:w="3690" w:type="dxa"/>
            <w:tcBorders>
              <w:top w:val="single" w:sz="4" w:space="0" w:color="000000"/>
              <w:start w:val="single" w:sz="4" w:space="0" w:color="000000"/>
              <w:bottom w:val="single" w:sz="4" w:space="0" w:color="000000"/>
              <w:end w:val="single" w:sz="4" w:space="0" w:color="000000"/>
            </w:tcBorders>
            <w:shd w:fill="00CCFF" w:val="clear"/>
          </w:tcPr>
          <w:p>
            <w:pPr>
              <w:pStyle w:val="Heading1Numbered"/>
              <w:numPr>
                <w:ilvl w:val="0"/>
                <w:numId w:val="2"/>
              </w:numPr>
              <w:spacing w:before="240" w:after="240"/>
              <w:ind w:hanging="0" w:start="0"/>
              <w:rPr>
                <w:sz w:val="24"/>
                <w:lang w:val="en-GB"/>
              </w:rPr>
            </w:pPr>
            <w:bookmarkStart w:id="8" w:name="__RefHeading___Toc148942477"/>
            <w:bookmarkEnd w:id="8"/>
            <w:r>
              <w:rPr>
                <w:sz w:val="24"/>
                <w:lang w:val="en-GB"/>
              </w:rPr>
              <w:t>2IM Operational Procedures</w:t>
            </w:r>
          </w:p>
        </w:tc>
        <w:tc>
          <w:tcPr>
            <w:tcW w:w="1744" w:type="dxa"/>
            <w:tcBorders>
              <w:top w:val="single" w:sz="4" w:space="0" w:color="000000"/>
              <w:start w:val="single" w:sz="4" w:space="0" w:color="000000"/>
              <w:bottom w:val="single" w:sz="4" w:space="0" w:color="000000"/>
              <w:end w:val="single" w:sz="4" w:space="0" w:color="000000"/>
            </w:tcBorders>
            <w:shd w:fill="00CCFF" w:val="clear"/>
          </w:tcPr>
          <w:p>
            <w:pPr>
              <w:pStyle w:val="Normal"/>
              <w:snapToGrid w:val="false"/>
              <w:spacing w:before="120" w:after="120"/>
              <w:jc w:val="center"/>
              <w:rPr>
                <w:sz w:val="24"/>
                <w:lang w:val="en-GB"/>
              </w:rPr>
            </w:pPr>
            <w:r>
              <w:rPr>
                <w:sz w:val="24"/>
                <w:lang w:val="en-GB"/>
              </w:rPr>
            </w:r>
          </w:p>
        </w:tc>
        <w:tc>
          <w:tcPr>
            <w:tcW w:w="2662" w:type="dxa"/>
            <w:tcBorders>
              <w:top w:val="single" w:sz="4" w:space="0" w:color="000000"/>
              <w:start w:val="single" w:sz="4" w:space="0" w:color="000000"/>
              <w:bottom w:val="single" w:sz="4" w:space="0" w:color="000000"/>
              <w:end w:val="single" w:sz="4" w:space="0" w:color="000000"/>
            </w:tcBorders>
            <w:shd w:fill="00CCFF" w:val="clear"/>
          </w:tcPr>
          <w:p>
            <w:pPr>
              <w:pStyle w:val="TableText"/>
              <w:spacing w:before="120" w:after="120"/>
              <w:rPr>
                <w:lang w:val="en-GB"/>
              </w:rPr>
            </w:pPr>
            <w:r>
              <w:rPr>
                <w:lang w:val="en-GB"/>
              </w:rPr>
              <w:t>Ongoing, “steady state” procedures and policies; content below should include information on coordination activities, responsibilities of each Party (by title/function)</w:t>
            </w:r>
          </w:p>
        </w:tc>
      </w:tr>
      <w:tr>
        <w:trPr/>
        <w:tc>
          <w:tcPr>
            <w:tcW w:w="3690" w:type="dxa"/>
            <w:tcBorders>
              <w:top w:val="single" w:sz="4" w:space="0" w:color="000000"/>
              <w:start w:val="single" w:sz="4" w:space="0" w:color="000000"/>
              <w:bottom w:val="single" w:sz="4" w:space="0" w:color="000000"/>
              <w:end w:val="single" w:sz="4" w:space="0" w:color="000000"/>
            </w:tcBorders>
          </w:tcPr>
          <w:p>
            <w:pPr>
              <w:pStyle w:val="TableLevel1Numbered"/>
              <w:spacing w:before="120" w:after="120"/>
              <w:ind w:start="285" w:end="0"/>
              <w:rPr>
                <w:lang w:val="en-GB"/>
              </w:rPr>
            </w:pPr>
            <w:r>
              <w:rPr>
                <w:lang w:val="en-GB"/>
              </w:rPr>
              <w:t>Operational Procedures (by bundle, as applicable)</w:t>
            </w:r>
          </w:p>
        </w:tc>
        <w:tc>
          <w:tcPr>
            <w:tcW w:w="1744"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lang w:val="en-GB"/>
              </w:rPr>
            </w:pPr>
            <w:r>
              <w:rPr>
                <w:lang w:val="en-GB"/>
              </w:rPr>
            </w:r>
          </w:p>
        </w:tc>
        <w:tc>
          <w:tcPr>
            <w:tcW w:w="2662"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2IM should describe the activities that 2IM proposes to undertake in order to provide the Services, including those directions, supervision, monitoring, staffing, reporting, planning and oversight activities normally undertaken by 2IM which shall be consistent with those 2IM activities used to provide services similar to the Services.</w:t>
            </w:r>
          </w:p>
        </w:tc>
      </w:tr>
    </w:tbl>
    <w:p>
      <w:pPr>
        <w:pStyle w:val="Normal"/>
        <w:rPr>
          <w:lang w:val="en-GB"/>
        </w:rPr>
      </w:pPr>
      <w:r>
        <w:rPr>
          <w:lang w:val="en-GB"/>
        </w:rPr>
      </w:r>
    </w:p>
    <w:p>
      <w:pPr>
        <w:pStyle w:val="Normal"/>
        <w:spacing w:before="0" w:after="0"/>
        <w:rPr>
          <w:lang w:val="en-GB"/>
        </w:rPr>
      </w:pPr>
      <w:r>
        <w:rPr>
          <w:lang w:val="en-GB"/>
        </w:rPr>
      </w:r>
    </w:p>
    <w:p>
      <w:pPr>
        <w:pStyle w:val="Normal"/>
        <w:spacing w:before="0" w:after="0"/>
        <w:rPr>
          <w:lang w:val="en-GB"/>
        </w:rPr>
      </w:pPr>
      <w:r>
        <w:rPr>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10</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6-B (Policy &amp; Procedures Manual) Final v1.4.doc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6-B (Policy &amp; Procedures Manual) Final v1.4.doc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6-B (Policy &amp; Procedures Manual) Final v1.4.doc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645"/>
        </w:tabs>
        <w:ind w:start="645" w:hanging="360"/>
      </w:pPr>
      <w:rPr>
        <w:sz w:val="22"/>
        <w:i w:val="false"/>
        <w:b w:val="false"/>
        <w:rFonts w:ascii="Times New Roman" w:hAnsi="Times New Roman" w:cs="Times New Roman"/>
        <w:color w:val="000000"/>
      </w:rPr>
    </w:lvl>
    <w:lvl w:ilvl="1">
      <w:start w:val="1"/>
      <w:numFmt w:val="decimal"/>
      <w:lvlText w:val="%1.%2."/>
      <w:lvlJc w:val="start"/>
      <w:pPr>
        <w:tabs>
          <w:tab w:val="num" w:pos="933"/>
        </w:tabs>
        <w:ind w:start="933" w:hanging="619"/>
      </w:pPr>
      <w:rPr>
        <w:sz w:val="22"/>
        <w:i w:val="false"/>
        <w:b w:val="false"/>
        <w:rFonts w:ascii="Times New Roman" w:hAnsi="Times New Roman" w:cs="Times New Roman"/>
      </w:rPr>
    </w:lvl>
    <w:lvl w:ilvl="2">
      <w:start w:val="1"/>
      <w:numFmt w:val="decimal"/>
      <w:lvlText w:val="%1.%2.%3."/>
      <w:lvlJc w:val="start"/>
      <w:pPr>
        <w:tabs>
          <w:tab w:val="num" w:pos="1221"/>
        </w:tabs>
        <w:ind w:start="1221" w:hanging="878"/>
      </w:pPr>
      <w:rPr>
        <w:sz w:val="22"/>
        <w:i w:val="false"/>
        <w:b w:val="false"/>
        <w:rFonts w:ascii="Times New Roman" w:hAnsi="Times New Roman" w:cs="Times New Roman"/>
      </w:rPr>
    </w:lvl>
    <w:lvl w:ilvl="3">
      <w:start w:val="1"/>
      <w:numFmt w:val="decimal"/>
      <w:lvlText w:val="%1.%2.%3.%4."/>
      <w:lvlJc w:val="start"/>
      <w:pPr>
        <w:tabs>
          <w:tab w:val="num" w:pos="1365"/>
        </w:tabs>
        <w:ind w:start="1365" w:hanging="994"/>
      </w:pPr>
      <w:rPr>
        <w:sz w:val="22"/>
        <w:i w:val="false"/>
        <w:b w:val="false"/>
        <w:rFonts w:ascii="Times New Roman" w:hAnsi="Times New Roman" w:cs="Times New Roman"/>
      </w:rPr>
    </w:lvl>
    <w:lvl w:ilvl="4">
      <w:start w:val="1"/>
      <w:numFmt w:val="none"/>
      <w:suff w:val="nothing"/>
      <w:lvlText w:val=""/>
      <w:lvlJc w:val="start"/>
      <w:pPr>
        <w:tabs>
          <w:tab w:val="num" w:pos="285"/>
        </w:tabs>
        <w:ind w:start="75" w:hanging="0"/>
      </w:pPr>
      <w:rPr/>
    </w:lvl>
    <w:lvl w:ilvl="5">
      <w:start w:val="1"/>
      <w:numFmt w:val="none"/>
      <w:suff w:val="nothing"/>
      <w:lvlText w:val=""/>
      <w:lvlJc w:val="start"/>
      <w:pPr>
        <w:tabs>
          <w:tab w:val="num" w:pos="285"/>
        </w:tabs>
        <w:ind w:start="75" w:hanging="0"/>
      </w:pPr>
      <w:rPr/>
    </w:lvl>
    <w:lvl w:ilvl="6">
      <w:start w:val="1"/>
      <w:numFmt w:val="none"/>
      <w:suff w:val="nothing"/>
      <w:lvlText w:val=""/>
      <w:lvlJc w:val="start"/>
      <w:pPr>
        <w:tabs>
          <w:tab w:val="num" w:pos="285"/>
        </w:tabs>
        <w:ind w:start="75" w:hanging="0"/>
      </w:pPr>
      <w:rPr/>
    </w:lvl>
    <w:lvl w:ilvl="7">
      <w:start w:val="1"/>
      <w:numFmt w:val="none"/>
      <w:suff w:val="nothing"/>
      <w:lvlText w:val=""/>
      <w:lvlJc w:val="start"/>
      <w:pPr>
        <w:tabs>
          <w:tab w:val="num" w:pos="285"/>
        </w:tabs>
        <w:ind w:start="75" w:hanging="0"/>
      </w:pPr>
      <w:rPr/>
    </w:lvl>
    <w:lvl w:ilvl="8">
      <w:start w:val="1"/>
      <w:numFmt w:val="none"/>
      <w:suff w:val="nothing"/>
      <w:lvlText w:val=""/>
      <w:lvlJc w:val="start"/>
      <w:pPr>
        <w:tabs>
          <w:tab w:val="num" w:pos="285"/>
        </w:tabs>
        <w:ind w:start="75"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sz w:val="16"/>
      <w:szCs w:val="16"/>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2006-11-30T19:05:00Z</dcterms:created>
  <dc:creator> </dc:creator>
  <dc:description/>
  <cp:keywords/>
  <dc:language>en-US</dc:language>
  <cp:lastModifiedBy>Stuart Johnson</cp:lastModifiedBy>
  <cp:lastPrinted>2005-07-04T16:19:00Z</cp:lastPrinted>
  <dcterms:modified xsi:type="dcterms:W3CDTF">2006-11-30T19:06:00Z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-719961022</vt:r8>
  </property>
  <property fmtid="{D5CDD505-2E9C-101B-9397-08002B2CF9AE}" pid="3" name="_AuthorEmail">
    <vt:lpwstr>Yogesh.Dashrath@mail.ing.nl</vt:lpwstr>
  </property>
  <property fmtid="{D5CDD505-2E9C-101B-9397-08002B2CF9AE}" pid="4" name="_AuthorEmailDisplayName">
    <vt:lpwstr>Dashrath, Y.Y. (Yogesh)</vt:lpwstr>
  </property>
  <property fmtid="{D5CDD505-2E9C-101B-9397-08002B2CF9AE}" pid="5" name="_EmailSubject">
    <vt:lpwstr>Exhibits attached</vt:lpwstr>
  </property>
  <property fmtid="{D5CDD505-2E9C-101B-9397-08002B2CF9AE}" pid="6" name="_ReviewingToolsShownOnce">
    <vt:lpwstr/>
  </property>
</Properties>
</file>