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2"/>
        </w:rPr>
      </w:pPr>
      <w:r>
        <w:rPr>
          <w:sz w:val="22"/>
        </w:rPr>
      </w:r>
    </w:p>
    <w:p>
      <w:pPr>
        <w:pStyle w:val="Normal"/>
        <w:rPr>
          <w:sz w:val="22"/>
        </w:rPr>
      </w:pPr>
      <w:r>
        <w:rPr>
          <w:sz w:val="22"/>
        </w:rPr>
      </w:r>
    </w:p>
    <w:p>
      <w:pPr>
        <w:pStyle w:val="Normal"/>
        <w:rPr>
          <w:sz w:val="22"/>
        </w:rPr>
      </w:pPr>
      <w:r>
        <w:rPr>
          <w:sz w:val="22"/>
        </w:rPr>
      </w:r>
    </w:p>
    <w:p>
      <w:pPr>
        <w:pStyle w:val="Title"/>
        <w:rPr>
          <w:sz w:val="22"/>
          <w:lang w:val="en-GB"/>
        </w:rPr>
      </w:pPr>
      <w:r>
        <w:rPr>
          <w:sz w:val="22"/>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1</w:t>
      </w:r>
    </w:p>
    <w:p>
      <w:pPr>
        <w:pStyle w:val="Title"/>
        <w:rPr>
          <w:lang w:val="en-GB"/>
        </w:rPr>
      </w:pPr>
      <w:r>
        <w:rPr>
          <w:lang w:val="en-GB"/>
        </w:rPr>
      </w:r>
    </w:p>
    <w:p>
      <w:pPr>
        <w:pStyle w:val="Title"/>
        <w:rPr>
          <w:lang w:val="en-GB"/>
        </w:rPr>
      </w:pPr>
      <w:r>
        <w:rPr>
          <w:lang w:val="en-GB"/>
        </w:rPr>
        <w:t>Definitions and Interpretation</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97" w:right="1797" w:gutter="0" w:header="312" w:top="1440" w:footer="709" w:bottom="1797"/>
          <w:pgNumType w:fmt="decimal"/>
          <w:formProt w:val="false"/>
          <w:textDirection w:val="lrTb"/>
          <w:docGrid w:type="default" w:linePitch="360" w:charSpace="0"/>
        </w:sectPr>
        <w:pStyle w:val="Title"/>
        <w:rPr>
          <w:lang w:val="en-GB"/>
        </w:rPr>
      </w:pPr>
      <w:r>
        <w:rPr>
          <w:lang w:val="en-GB"/>
        </w:rPr>
      </w:r>
    </w:p>
    <w:p>
      <w:pPr>
        <w:pStyle w:val="Normal"/>
        <w:jc w:val="center"/>
        <w:rPr>
          <w:b/>
          <w:sz w:val="18"/>
          <w:szCs w:val="18"/>
        </w:rPr>
      </w:pPr>
      <w:r>
        <w:rPr>
          <w:b/>
          <w:sz w:val="18"/>
          <w:szCs w:val="18"/>
        </w:rPr>
        <w:t>Table of Contents</w:t>
      </w:r>
    </w:p>
    <w:p>
      <w:pPr>
        <w:pStyle w:val="Normal"/>
        <w:jc w:val="center"/>
        <w:rPr>
          <w:b/>
          <w:sz w:val="18"/>
          <w:szCs w:val="18"/>
        </w:rPr>
      </w:pPr>
      <w:r>
        <w:rPr>
          <w:b/>
          <w:sz w:val="18"/>
          <w:szCs w:val="18"/>
        </w:rPr>
      </w:r>
    </w:p>
    <w:sdt>
      <w:sdtPr>
        <w:docPartObj>
          <w:docPartGallery w:val="Table of Contents"/>
          <w:docPartUnique w:val="true"/>
        </w:docPartObj>
      </w:sdtPr>
      <w:sdtContent>
        <w:p>
          <w:pPr>
            <w:pStyle w:val="TOC2"/>
            <w:spacing w:before="120" w:after="0"/>
            <w:ind w:hanging="360" w:start="720" w:end="720"/>
            <w:jc w:val="start"/>
            <w:rPr>
              <w:caps w:val="false"/>
              <w:smallCaps w:val="false"/>
              <w:sz w:val="18"/>
              <w:szCs w:val="18"/>
              <w:lang w:val="en-US" w:eastAsia="en-US"/>
            </w:rPr>
          </w:pPr>
          <w:r>
            <w:fldChar w:fldCharType="begin"/>
          </w:r>
          <w:r>
            <w:rPr>
              <w:smallCaps/>
              <w:sz w:val="18"/>
              <w:szCs w:val="18"/>
              <w:lang w:val="en-US" w:eastAsia="en-US"/>
            </w:rPr>
            <w:instrText xml:space="preserve"> TOC \t "FWOut_L1,1,FWOut_L2,2" </w:instrText>
          </w:r>
          <w:r>
            <w:rPr>
              <w:smallCaps/>
              <w:sz w:val="18"/>
              <w:szCs w:val="18"/>
              <w:lang w:val="en-US" w:eastAsia="en-US"/>
            </w:rPr>
            <w:fldChar w:fldCharType="separate"/>
          </w:r>
          <w:r>
            <w:rPr>
              <w:smallCaps/>
              <w:sz w:val="18"/>
              <w:szCs w:val="18"/>
              <w:lang w:val="en-US" w:eastAsia="en-US"/>
            </w:rPr>
            <w:t>1.1</w:t>
          </w:r>
          <w:r>
            <w:rPr>
              <w:caps w:val="false"/>
              <w:smallCaps w:val="false"/>
              <w:sz w:val="18"/>
              <w:szCs w:val="18"/>
              <w:lang w:val="en-US" w:eastAsia="en-US"/>
            </w:rPr>
            <w:tab/>
          </w:r>
          <w:r>
            <w:rPr>
              <w:smallCaps/>
              <w:sz w:val="18"/>
              <w:szCs w:val="18"/>
              <w:lang w:val="en-US" w:eastAsia="en-US"/>
            </w:rPr>
            <w:t>Interpretation</w:t>
            <w:tab/>
          </w:r>
          <w:hyperlink w:anchor="__RefHeading___Toc152516382">
            <w:r>
              <w:rPr>
                <w:rStyle w:val="IndexLink"/>
                <w:smallCaps/>
                <w:sz w:val="18"/>
                <w:szCs w:val="18"/>
                <w:lang w:val="en-US" w:eastAsia="en-US"/>
              </w:rPr>
              <w:t>1</w:t>
            </w:r>
          </w:hyperlink>
        </w:p>
        <w:p>
          <w:pPr>
            <w:pStyle w:val="TOC2"/>
            <w:rPr>
              <w:sz w:val="18"/>
              <w:szCs w:val="18"/>
              <w:lang w:val="en-US" w:eastAsia="en-US"/>
            </w:rPr>
          </w:pPr>
          <w:r>
            <w:rPr>
              <w:caps w:val="false"/>
              <w:smallCaps w:val="false"/>
              <w:sz w:val="18"/>
              <w:szCs w:val="18"/>
            </w:rPr>
            <w:t>1.2</w:t>
          </w:r>
          <w:r>
            <w:rPr>
              <w:caps w:val="false"/>
              <w:smallCaps w:val="false"/>
              <w:sz w:val="18"/>
              <w:szCs w:val="18"/>
              <w:lang w:val="en-US" w:eastAsia="en-US"/>
            </w:rPr>
            <w:tab/>
          </w:r>
          <w:r>
            <w:rPr>
              <w:caps w:val="false"/>
              <w:smallCaps w:val="false"/>
              <w:sz w:val="18"/>
              <w:szCs w:val="18"/>
            </w:rPr>
            <w:t>Definitions</w:t>
            <w:tab/>
          </w:r>
          <w:hyperlink w:anchor="__RefHeading___Toc152516383">
            <w:r>
              <w:rPr>
                <w:rStyle w:val="IndexLink"/>
                <w:caps w:val="false"/>
                <w:smallCaps w:val="false"/>
                <w:sz w:val="18"/>
                <w:szCs w:val="18"/>
              </w:rPr>
              <w:t>2</w:t>
            </w:r>
          </w:hyperlink>
          <w:r>
            <w:rPr>
              <w:rStyle w:val="IndexLink"/>
              <w:smallCaps w:val="false"/>
              <w:caps w:val="false"/>
              <w:sz w:val="18"/>
              <w:szCs w:val="18"/>
            </w:rPr>
            <w:fldChar w:fldCharType="end"/>
          </w:r>
        </w:p>
      </w:sdtContent>
    </w:sdt>
    <w:p>
      <w:pPr>
        <w:pStyle w:val="Normal"/>
        <w:jc w:val="center"/>
        <w:rPr>
          <w:smallCaps/>
          <w:sz w:val="18"/>
          <w:szCs w:val="18"/>
          <w:lang w:val="en-US" w:eastAsia="en-US"/>
        </w:rPr>
      </w:pPr>
      <w:r>
        <w:rPr>
          <w:smallCaps/>
          <w:sz w:val="18"/>
          <w:szCs w:val="18"/>
          <w:lang w:val="en-US" w:eastAsia="en-US"/>
        </w:rPr>
      </w:r>
    </w:p>
    <w:p>
      <w:pPr>
        <w:pStyle w:val="Normal"/>
        <w:jc w:val="center"/>
        <w:rPr>
          <w:sz w:val="22"/>
          <w:szCs w:val="18"/>
        </w:rPr>
      </w:pPr>
      <w:r>
        <w:rPr>
          <w:sz w:val="22"/>
          <w:szCs w:val="18"/>
        </w:rPr>
      </w:r>
    </w:p>
    <w:p>
      <w:pPr>
        <w:sectPr>
          <w:headerReference w:type="default" r:id="rId4"/>
          <w:headerReference w:type="first" r:id="rId5"/>
          <w:footerReference w:type="default" r:id="rId6"/>
          <w:footerReference w:type="first" r:id="rId7"/>
          <w:type w:val="nextPage"/>
          <w:pgSz w:w="11906" w:h="16838"/>
          <w:pgMar w:left="1797" w:right="1797" w:gutter="0" w:header="312" w:top="1440" w:footer="709" w:bottom="1797"/>
          <w:pgNumType w:start="1" w:fmt="lowerRoman"/>
          <w:formProt w:val="false"/>
          <w:textDirection w:val="lrTb"/>
          <w:docGrid w:type="default" w:linePitch="360" w:charSpace="0"/>
        </w:sectPr>
        <w:pStyle w:val="Normal"/>
        <w:jc w:val="center"/>
        <w:rPr>
          <w:sz w:val="22"/>
        </w:rPr>
      </w:pPr>
      <w:r>
        <w:rPr>
          <w:sz w:val="22"/>
        </w:rPr>
      </w:r>
    </w:p>
    <w:p>
      <w:pPr>
        <w:pStyle w:val="Normal"/>
        <w:rPr>
          <w:sz w:val="22"/>
        </w:rPr>
      </w:pPr>
      <w:r>
        <w:rPr>
          <w:sz w:val="22"/>
        </w:rPr>
      </w:r>
    </w:p>
    <w:p>
      <w:pPr>
        <w:pStyle w:val="FWOutL2"/>
        <w:numPr>
          <w:ilvl w:val="1"/>
          <w:numId w:val="9"/>
        </w:numPr>
        <w:tabs>
          <w:tab w:val="clear" w:pos="360"/>
          <w:tab w:val="left" w:pos="720" w:leader="none"/>
        </w:tabs>
        <w:ind w:hanging="0" w:start="0"/>
        <w:rPr/>
      </w:pPr>
      <w:bookmarkStart w:id="0" w:name="__RefHeading___Toc152516382"/>
      <w:r>
        <w:rPr/>
        <w:t>Interpretation</w:t>
      </w:r>
      <w:bookmarkEnd w:id="0"/>
      <w:r>
        <w:rPr/>
        <w:t xml:space="preserve"> </w:t>
      </w:r>
      <w:bookmarkStart w:id="1" w:name="_Ref6055806"/>
    </w:p>
    <w:p>
      <w:pPr>
        <w:pStyle w:val="FWOutL3"/>
        <w:numPr>
          <w:ilvl w:val="0"/>
          <w:numId w:val="0"/>
        </w:numPr>
        <w:ind w:hanging="0" w:start="0"/>
        <w:rPr/>
      </w:pPr>
      <w:r>
        <w:rPr/>
        <w:t>In this MSA, unless otherwise stated or the context otherwise requires:</w:t>
      </w:r>
      <w:bookmarkEnd w:id="1"/>
    </w:p>
    <w:p>
      <w:pPr>
        <w:pStyle w:val="FWOutL4"/>
        <w:numPr>
          <w:ilvl w:val="3"/>
          <w:numId w:val="9"/>
        </w:numPr>
        <w:ind w:hanging="360" w:start="720" w:end="0"/>
        <w:rPr/>
      </w:pPr>
      <w:r>
        <w:rPr/>
        <w:t xml:space="preserve">references to a </w:t>
      </w:r>
      <w:r>
        <w:rPr>
          <w:b/>
          <w:i/>
          <w:iCs/>
        </w:rPr>
        <w:t>person</w:t>
      </w:r>
      <w:r>
        <w:rPr/>
        <w:t xml:space="preserve"> shall be construed so as to include any individual, firm, body corporate (wherever incorporated), Regulator or any joint venture, association, partnership, works council or employee representative body (whether or not having separate legal personality);</w:t>
      </w:r>
    </w:p>
    <w:p>
      <w:pPr>
        <w:pStyle w:val="FWOutL4"/>
        <w:numPr>
          <w:ilvl w:val="3"/>
          <w:numId w:val="9"/>
        </w:numPr>
        <w:ind w:hanging="360" w:start="720" w:end="0"/>
        <w:rPr/>
      </w:pPr>
      <w:r>
        <w:rPr/>
        <w:t>references to a party are to EuroBank or the PST Supplier (as applicable) and references to the parties are to both of them;</w:t>
      </w:r>
      <w:r>
        <w:rPr>
          <w:b/>
          <w:bCs/>
          <w:i/>
          <w:iCs/>
        </w:rPr>
      </w:r>
      <w:r>
        <w:rPr/>
      </w:r>
      <w:r>
        <w:rPr>
          <w:b/>
          <w:bCs/>
          <w:i/>
          <w:iCs/>
        </w:rPr>
      </w:r>
      <w:r>
        <w:rPr/>
      </w:r>
    </w:p>
    <w:p>
      <w:pPr>
        <w:pStyle w:val="FWOutL4"/>
        <w:numPr>
          <w:ilvl w:val="3"/>
          <w:numId w:val="9"/>
        </w:numPr>
        <w:ind w:hanging="360" w:start="720" w:end="0"/>
        <w:rPr/>
      </w:pPr>
      <w:r>
        <w:rPr/>
        <w:t>the headings are inserted for convenience only and shall not affect the construction of this MSA;</w:t>
      </w:r>
    </w:p>
    <w:p>
      <w:pPr>
        <w:pStyle w:val="FWOutL4"/>
        <w:numPr>
          <w:ilvl w:val="3"/>
          <w:numId w:val="9"/>
        </w:numPr>
        <w:ind w:hanging="360" w:start="720" w:end="0"/>
        <w:rPr/>
      </w:pPr>
      <w:r>
        <w:rPr/>
        <w:t>the singular shall include the plural and vice versa;</w:t>
      </w:r>
    </w:p>
    <w:p>
      <w:pPr>
        <w:pStyle w:val="FWOutL4"/>
        <w:numPr>
          <w:ilvl w:val="3"/>
          <w:numId w:val="9"/>
        </w:numPr>
        <w:ind w:hanging="360" w:start="720" w:end="0"/>
        <w:rPr/>
      </w:pPr>
      <w:r>
        <w:rPr/>
        <w:t>references to one gender include all genders;</w:t>
      </w:r>
    </w:p>
    <w:p>
      <w:pPr>
        <w:pStyle w:val="FWOutL4"/>
        <w:numPr>
          <w:ilvl w:val="3"/>
          <w:numId w:val="9"/>
        </w:numPr>
        <w:ind w:hanging="360" w:start="720" w:end="0"/>
        <w:rPr/>
      </w:pPr>
      <w:bookmarkStart w:id="2" w:name="_Ref3191272"/>
      <w:r>
        <w:rPr/>
        <w:t xml:space="preserve">the words </w:t>
      </w:r>
      <w:r>
        <w:rPr>
          <w:b/>
          <w:i/>
          <w:iCs/>
        </w:rPr>
        <w:t>include</w:t>
      </w:r>
      <w:r>
        <w:rPr/>
        <w:t xml:space="preserve"> and </w:t>
      </w:r>
      <w:r>
        <w:rPr>
          <w:b/>
          <w:i/>
          <w:iCs/>
        </w:rPr>
        <w:t>including</w:t>
      </w:r>
      <w:r>
        <w:rPr/>
        <w:t xml:space="preserve"> are each to be construed without limitation;</w:t>
      </w:r>
      <w:bookmarkEnd w:id="2"/>
      <w:r>
        <w:rPr/>
        <w:t xml:space="preserve"> </w:t>
      </w:r>
    </w:p>
    <w:p>
      <w:pPr>
        <w:pStyle w:val="FWOutL4"/>
        <w:numPr>
          <w:ilvl w:val="3"/>
          <w:numId w:val="9"/>
        </w:numPr>
        <w:ind w:hanging="360" w:start="720" w:end="0"/>
        <w:rPr/>
      </w:pPr>
      <w:r>
        <w:rPr/>
        <w:t xml:space="preserve">references to a document are references to that document as modified or replaced from time to time, in accordance with the applicable procedures; </w:t>
      </w:r>
    </w:p>
    <w:p>
      <w:pPr>
        <w:pStyle w:val="FWOutL4"/>
        <w:numPr>
          <w:ilvl w:val="3"/>
          <w:numId w:val="9"/>
        </w:numPr>
        <w:ind w:hanging="360" w:start="720" w:end="0"/>
        <w:rPr/>
      </w:pPr>
      <w:r>
        <w:rPr/>
        <w:t xml:space="preserve">references to a </w:t>
      </w:r>
      <w:r>
        <w:rPr>
          <w:b/>
          <w:bCs/>
          <w:i/>
          <w:iCs/>
        </w:rPr>
        <w:t>day</w:t>
      </w:r>
      <w:r>
        <w:rPr/>
        <w:t xml:space="preserve"> (including within the phrase Business Day) shall mean a period of 24 hours running from midnight to immediately before the following midnight;</w:t>
      </w:r>
    </w:p>
    <w:p>
      <w:pPr>
        <w:pStyle w:val="FWOutL4"/>
        <w:numPr>
          <w:ilvl w:val="3"/>
          <w:numId w:val="9"/>
        </w:numPr>
        <w:ind w:hanging="360" w:start="720" w:end="0"/>
        <w:rPr/>
      </w:pPr>
      <w:r>
        <w:rPr/>
        <w:t>references to a time of day are to Amsterdam time;</w:t>
      </w:r>
    </w:p>
    <w:p>
      <w:pPr>
        <w:pStyle w:val="FWOutL4"/>
        <w:numPr>
          <w:ilvl w:val="3"/>
          <w:numId w:val="9"/>
        </w:numPr>
        <w:ind w:hanging="360" w:start="720" w:end="0"/>
        <w:rPr/>
      </w:pPr>
      <w:r>
        <w:rPr/>
        <w:t>any express reference to an enactment (which includes any legislation in any jurisdiction) includes references to:</w:t>
      </w:r>
    </w:p>
    <w:p>
      <w:pPr>
        <w:pStyle w:val="FWOutL5"/>
        <w:numPr>
          <w:ilvl w:val="4"/>
          <w:numId w:val="9"/>
        </w:numPr>
        <w:tabs>
          <w:tab w:val="clear" w:pos="360"/>
          <w:tab w:val="left" w:pos="1440" w:leader="none"/>
        </w:tabs>
        <w:ind w:hanging="0" w:start="0"/>
        <w:rPr/>
      </w:pPr>
      <w:bookmarkStart w:id="3" w:name="_Ref44225801"/>
      <w:r>
        <w:rPr/>
        <w:t>that enactment as amended, extended or applied by or under any other enactment before or after the date of this MSA;</w:t>
      </w:r>
      <w:bookmarkEnd w:id="3"/>
    </w:p>
    <w:p>
      <w:pPr>
        <w:pStyle w:val="FWOutL5"/>
        <w:numPr>
          <w:ilvl w:val="4"/>
          <w:numId w:val="9"/>
        </w:numPr>
        <w:tabs>
          <w:tab w:val="clear" w:pos="360"/>
          <w:tab w:val="left" w:pos="1440" w:leader="none"/>
        </w:tabs>
        <w:ind w:hanging="0" w:start="0"/>
        <w:rPr/>
      </w:pPr>
      <w:bookmarkStart w:id="4" w:name="_Ref120511261"/>
      <w:r>
        <w:rPr/>
        <w:t>any enactment which that enactment re</w:t>
        <w:noBreakHyphen/>
        <w:t>enacts (with or without modification);</w:t>
      </w:r>
    </w:p>
    <w:p>
      <w:pPr>
        <w:pStyle w:val="FWOutL5"/>
        <w:numPr>
          <w:ilvl w:val="4"/>
          <w:numId w:val="9"/>
        </w:numPr>
        <w:tabs>
          <w:tab w:val="clear" w:pos="360"/>
          <w:tab w:val="left" w:pos="1440" w:leader="none"/>
        </w:tabs>
        <w:ind w:hanging="0" w:start="0"/>
        <w:rPr/>
      </w:pPr>
      <w:bookmarkStart w:id="5" w:name="_Ref120511261"/>
      <w:r>
        <w:rPr/>
        <w:t>any enactment which replaces that enactment or fulfils the same purpose of that enactment; and</w:t>
      </w:r>
      <w:bookmarkEnd w:id="5"/>
    </w:p>
    <w:p>
      <w:pPr>
        <w:pStyle w:val="FWOutL5"/>
        <w:numPr>
          <w:ilvl w:val="4"/>
          <w:numId w:val="9"/>
        </w:numPr>
        <w:tabs>
          <w:tab w:val="clear" w:pos="360"/>
          <w:tab w:val="left" w:pos="1440" w:leader="none"/>
        </w:tabs>
        <w:ind w:hanging="0" w:start="0"/>
        <w:rPr/>
      </w:pPr>
      <w:bookmarkStart w:id="6" w:name="_Ref8648732"/>
      <w:r>
        <w:rPr/>
        <w:t>any subordinate legislation (including regulations) made (before or after the date of this MSA) under that enactment, as re</w:t>
        <w:noBreakHyphen/>
        <w:t xml:space="preserve">enacted, amended, extended or applied as described in </w:t>
      </w:r>
      <w:r>
        <w:rPr/>
        <w:fldChar w:fldCharType="begin"/>
      </w:r>
      <w:r>
        <w:rPr/>
        <w:instrText xml:space="preserve"> REF _Ref44225801 \r \r \h </w:instrText>
      </w:r>
      <w:r>
        <w:rPr/>
        <w:fldChar w:fldCharType="separate"/>
      </w:r>
      <w:r>
        <w:rPr/>
        <w:t>(i)</w:t>
      </w:r>
      <w:r>
        <w:rPr/>
        <w:fldChar w:fldCharType="end"/>
      </w:r>
      <w:r>
        <w:rPr/>
        <w:t xml:space="preserve"> above or under any enactment referred to in </w:t>
      </w:r>
      <w:r>
        <w:rPr/>
        <w:fldChar w:fldCharType="begin"/>
      </w:r>
      <w:r>
        <w:rPr/>
        <w:instrText xml:space="preserve"> REF _Ref120511261 \r \r \h </w:instrText>
      </w:r>
      <w:r>
        <w:rPr/>
        <w:fldChar w:fldCharType="separate"/>
      </w:r>
      <w:r>
        <w:rPr/>
        <w:t>(ii)</w:t>
      </w:r>
      <w:r>
        <w:rPr/>
        <w:fldChar w:fldCharType="end"/>
      </w:r>
      <w:r>
        <w:rPr/>
        <w:t xml:space="preserve"> above</w:t>
      </w:r>
      <w:bookmarkEnd w:id="6"/>
      <w:r>
        <w:rPr/>
        <w:t>;</w:t>
      </w:r>
    </w:p>
    <w:p>
      <w:pPr>
        <w:pStyle w:val="FWOutL4"/>
        <w:numPr>
          <w:ilvl w:val="3"/>
          <w:numId w:val="9"/>
        </w:numPr>
        <w:ind w:hanging="360" w:start="720" w:end="0"/>
        <w:rPr/>
      </w:pPr>
      <w:r>
        <w:rPr/>
        <w:t>any obligation of either party:</w:t>
      </w:r>
    </w:p>
    <w:p>
      <w:pPr>
        <w:pStyle w:val="FWOutL5"/>
        <w:numPr>
          <w:ilvl w:val="4"/>
          <w:numId w:val="9"/>
        </w:numPr>
        <w:tabs>
          <w:tab w:val="clear" w:pos="360"/>
          <w:tab w:val="left" w:pos="1440" w:leader="none"/>
        </w:tabs>
        <w:ind w:hanging="0" w:start="0"/>
        <w:rPr/>
      </w:pPr>
      <w:r>
        <w:rPr/>
        <w:t>to indemnify any person is to be construed as including an obligation to keep that person indemnified;</w:t>
      </w:r>
    </w:p>
    <w:p>
      <w:pPr>
        <w:pStyle w:val="FWOutL5"/>
        <w:numPr>
          <w:ilvl w:val="4"/>
          <w:numId w:val="9"/>
        </w:numPr>
        <w:tabs>
          <w:tab w:val="clear" w:pos="360"/>
          <w:tab w:val="left" w:pos="1440" w:leader="none"/>
        </w:tabs>
        <w:ind w:hanging="0" w:start="0"/>
        <w:rPr/>
      </w:pPr>
      <w:r>
        <w:rPr/>
        <w:t>to indemnify any person against a liability is to be construed as an obligation to indemnify that person against each loss, liability and cost (including legal expenses on a solicitor</w:t>
        <w:noBreakHyphen/>
        <w:t>client basis) and disbursements incurred as a result of defending or settling a claim alleging that liability;</w:t>
      </w:r>
    </w:p>
    <w:p>
      <w:pPr>
        <w:pStyle w:val="FWOutL5"/>
        <w:numPr>
          <w:ilvl w:val="4"/>
          <w:numId w:val="9"/>
        </w:numPr>
        <w:tabs>
          <w:tab w:val="clear" w:pos="360"/>
          <w:tab w:val="left" w:pos="1440" w:leader="none"/>
        </w:tabs>
        <w:ind w:hanging="0" w:start="0"/>
        <w:rPr/>
      </w:pPr>
      <w:r>
        <w:rPr/>
        <w:t xml:space="preserve">all payments expressed to be made by way of indemnity shall be made on a “after tax basis”.  Indemnification on an “after-tax basis” shall mean that the liability of the person required to make the indemnification payment shall be calculated in such a way as to make the persons entitled to fully indemnify the person entitled to indemnification (the </w:t>
      </w:r>
      <w:r>
        <w:rPr>
          <w:b/>
          <w:bCs/>
          <w:i/>
          <w:iCs/>
        </w:rPr>
        <w:t>recipient</w:t>
      </w:r>
      <w:r>
        <w:rPr/>
        <w:t>) taking into account the tax consequences of the indemnity payment and the matter giving rise to the indemnity payment and therefore there shall be taken into account:</w:t>
      </w:r>
    </w:p>
    <w:p>
      <w:pPr>
        <w:pStyle w:val="FWOutL5"/>
        <w:numPr>
          <w:ilvl w:val="4"/>
          <w:numId w:val="9"/>
        </w:numPr>
        <w:tabs>
          <w:tab w:val="clear" w:pos="360"/>
          <w:tab w:val="left" w:pos="1440" w:leader="none"/>
        </w:tabs>
        <w:ind w:hanging="0" w:start="0"/>
        <w:rPr/>
      </w:pPr>
      <w:r>
        <w:rPr/>
        <w:t>the amount of any relief, credit, allowance or other tax benefit which in the reasonable opinion of the recipient is available to the recipient as a result of the matter giving rise to the indemnity payment;</w:t>
      </w:r>
    </w:p>
    <w:p>
      <w:pPr>
        <w:pStyle w:val="FWOutL5"/>
        <w:numPr>
          <w:ilvl w:val="4"/>
          <w:numId w:val="9"/>
        </w:numPr>
        <w:tabs>
          <w:tab w:val="clear" w:pos="360"/>
          <w:tab w:val="left" w:pos="1440" w:leader="none"/>
        </w:tabs>
        <w:ind w:hanging="0" w:start="0"/>
        <w:rPr/>
      </w:pPr>
      <w:r>
        <w:rPr/>
        <w:t>the amount of any tax which in the reasonable opinion of the recipient is, or but for an insufficiency of taxable profits would be, payable by the recipient in respect of the receipt of the indemnity payment; and</w:t>
      </w:r>
    </w:p>
    <w:p>
      <w:pPr>
        <w:pStyle w:val="FWOutL4"/>
        <w:numPr>
          <w:ilvl w:val="3"/>
          <w:numId w:val="9"/>
        </w:numPr>
        <w:ind w:hanging="360" w:start="720" w:end="0"/>
        <w:rPr/>
      </w:pPr>
      <w:r>
        <w:rPr/>
        <w:t>terms used in this MSA will, except to the extent specified otherwise in this MSA or otherwise agreed by the parties, take their meaning from the ITIL Standards.</w:t>
      </w:r>
    </w:p>
    <w:p>
      <w:pPr>
        <w:pStyle w:val="FWOutL3"/>
        <w:numPr>
          <w:ilvl w:val="2"/>
          <w:numId w:val="9"/>
        </w:numPr>
        <w:tabs>
          <w:tab w:val="clear" w:pos="360"/>
          <w:tab w:val="left" w:pos="720" w:leader="none"/>
        </w:tabs>
        <w:ind w:hanging="0" w:start="0"/>
        <w:rPr/>
      </w:pPr>
      <w:r>
        <w:rPr/>
        <w:t>The exhibits to this MSA (</w:t>
      </w:r>
      <w:r>
        <w:rPr>
          <w:b/>
          <w:bCs/>
          <w:i/>
          <w:iCs/>
        </w:rPr>
        <w:t>Exhibits</w:t>
      </w:r>
      <w:r>
        <w:rPr/>
        <w:t>) and the attachments to the Exhibits (</w:t>
      </w:r>
      <w:r>
        <w:rPr>
          <w:b/>
          <w:bCs/>
          <w:i/>
          <w:iCs/>
        </w:rPr>
        <w:t>Attachments</w:t>
      </w:r>
      <w:r>
        <w:rPr/>
        <w:t xml:space="preserve">) shall form part of this MSA and shall have the same force and effect as if expressly set out in the body of this MSA.  </w:t>
      </w:r>
    </w:p>
    <w:p>
      <w:pPr>
        <w:pStyle w:val="FWOutL3"/>
        <w:numPr>
          <w:ilvl w:val="2"/>
          <w:numId w:val="9"/>
        </w:numPr>
        <w:tabs>
          <w:tab w:val="clear" w:pos="360"/>
          <w:tab w:val="left" w:pos="720" w:leader="none"/>
        </w:tabs>
        <w:ind w:hanging="0" w:start="0"/>
        <w:rPr/>
      </w:pPr>
      <w:r>
        <w:rPr/>
        <w:t>If and to the extent of any conflict between the body of this MSA and the Exhibits (and any Attachments), the terms of the body of this MSA shall prevail unless expressly stated otherwise.  If and to the extent of any conflict between any Exhibit and any Attachment, the terms of the Exhibit shall prevail unless expressly stated otherwise. If and to the extent of any conflict between Exhibit 2.7 and any other Exhibit or Attachment, the terms of Exhibit 2.7 shall prevail unless expressly stated otherwise.</w:t>
      </w:r>
    </w:p>
    <w:p>
      <w:pPr>
        <w:pStyle w:val="FWOutL3"/>
        <w:numPr>
          <w:ilvl w:val="2"/>
          <w:numId w:val="9"/>
        </w:numPr>
        <w:tabs>
          <w:tab w:val="clear" w:pos="360"/>
          <w:tab w:val="left" w:pos="720" w:leader="none"/>
        </w:tabs>
        <w:ind w:hanging="0" w:start="0"/>
        <w:rPr/>
      </w:pPr>
      <w:r>
        <w:rPr/>
        <w:t>If and to the extent of any conflict between this MSA and any LSA, the terms of this MSA shall prevail except:</w:t>
      </w:r>
    </w:p>
    <w:p>
      <w:pPr>
        <w:pStyle w:val="FWOutL4"/>
        <w:numPr>
          <w:ilvl w:val="3"/>
          <w:numId w:val="9"/>
        </w:numPr>
        <w:ind w:hanging="0" w:start="0"/>
        <w:rPr/>
      </w:pPr>
      <w:r>
        <w:rPr/>
        <w:t>in relation to any mandatory requirements of local Applicable Law set out in the LSA; or</w:t>
      </w:r>
    </w:p>
    <w:p>
      <w:pPr>
        <w:pStyle w:val="FWOutL4"/>
        <w:numPr>
          <w:ilvl w:val="3"/>
          <w:numId w:val="9"/>
        </w:numPr>
        <w:ind w:hanging="0" w:start="0"/>
        <w:rPr/>
      </w:pPr>
      <w:r>
        <w:rPr/>
        <w:t>to the extent expressly stated otherwise in this MSA or the LSA.</w:t>
      </w:r>
    </w:p>
    <w:p>
      <w:pPr>
        <w:pStyle w:val="FWOutL2"/>
        <w:numPr>
          <w:ilvl w:val="1"/>
          <w:numId w:val="9"/>
        </w:numPr>
        <w:tabs>
          <w:tab w:val="clear" w:pos="360"/>
          <w:tab w:val="left" w:pos="720" w:leader="none"/>
        </w:tabs>
        <w:ind w:hanging="0" w:start="0"/>
        <w:rPr/>
      </w:pPr>
      <w:bookmarkStart w:id="7" w:name="__RefHeading___Toc152516383"/>
      <w:bookmarkEnd w:id="7"/>
      <w:r>
        <w:rPr/>
        <w:t>Definitions</w:t>
      </w:r>
    </w:p>
    <w:p>
      <w:pPr>
        <w:pStyle w:val="FWOutL3"/>
        <w:numPr>
          <w:ilvl w:val="0"/>
          <w:numId w:val="0"/>
        </w:numPr>
        <w:ind w:hanging="0" w:start="0"/>
        <w:rPr/>
      </w:pPr>
      <w:r>
        <w:rPr/>
        <w:t>In this MSA, unless otherwise stated or the context otherwise requires, the following words and expressions shall have the following meanings:</w:t>
      </w:r>
    </w:p>
    <w:p>
      <w:pPr>
        <w:pStyle w:val="Normal"/>
        <w:rPr>
          <w:sz w:val="22"/>
        </w:rPr>
      </w:pPr>
      <w:r>
        <w:rPr>
          <w:sz w:val="22"/>
        </w:rPr>
      </w:r>
    </w:p>
    <w:tbl>
      <w:tblPr>
        <w:tblW w:w="8388" w:type="dxa"/>
        <w:jc w:val="start"/>
        <w:tblInd w:w="0" w:type="dxa"/>
        <w:tblLayout w:type="fixed"/>
        <w:tblCellMar>
          <w:top w:w="0" w:type="dxa"/>
          <w:start w:w="108" w:type="dxa"/>
          <w:bottom w:w="0" w:type="dxa"/>
          <w:end w:w="108" w:type="dxa"/>
        </w:tblCellMar>
      </w:tblPr>
      <w:tblGrid>
        <w:gridCol w:w="2294"/>
        <w:gridCol w:w="6094"/>
      </w:tblGrid>
      <w:tr>
        <w:trPr>
          <w:tblHeader w:val="true"/>
        </w:trPr>
        <w:tc>
          <w:tcPr>
            <w:tcW w:w="2294" w:type="dxa"/>
            <w:tcBorders>
              <w:top w:val="single" w:sz="4" w:space="0" w:color="000000"/>
              <w:start w:val="single" w:sz="4" w:space="0" w:color="000000"/>
              <w:bottom w:val="single" w:sz="4" w:space="0" w:color="000000"/>
              <w:end w:val="single" w:sz="4" w:space="0" w:color="000000"/>
            </w:tcBorders>
            <w:shd w:fill="FFCC00" w:val="clear"/>
          </w:tcPr>
          <w:p>
            <w:pPr>
              <w:pStyle w:val="BodyText"/>
              <w:spacing w:before="0" w:after="240"/>
              <w:rPr>
                <w:b/>
                <w:bCs/>
                <w:sz w:val="22"/>
                <w:szCs w:val="22"/>
              </w:rPr>
            </w:pPr>
            <w:r>
              <w:rPr>
                <w:b/>
                <w:bCs/>
                <w:sz w:val="22"/>
                <w:szCs w:val="22"/>
              </w:rPr>
              <w:t>Term</w:t>
            </w:r>
          </w:p>
        </w:tc>
        <w:tc>
          <w:tcPr>
            <w:tcW w:w="6094" w:type="dxa"/>
            <w:tcBorders>
              <w:top w:val="single" w:sz="4" w:space="0" w:color="000000"/>
              <w:start w:val="single" w:sz="4" w:space="0" w:color="000000"/>
              <w:bottom w:val="single" w:sz="4" w:space="0" w:color="000000"/>
              <w:end w:val="single" w:sz="4" w:space="0" w:color="000000"/>
            </w:tcBorders>
            <w:shd w:fill="FFCC00" w:val="clear"/>
          </w:tcPr>
          <w:p>
            <w:pPr>
              <w:pStyle w:val="BodyText"/>
              <w:spacing w:before="0" w:after="240"/>
              <w:rPr>
                <w:b/>
                <w:bCs/>
                <w:sz w:val="22"/>
                <w:szCs w:val="22"/>
              </w:rPr>
            </w:pPr>
            <w:r>
              <w:rPr>
                <w:b/>
                <w:bCs/>
                <w:sz w:val="22"/>
                <w:szCs w:val="22"/>
              </w:rPr>
              <w:t>Definition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2IM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recital (B)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2IM/EuroBank Rules of Engagement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rStyle w:val="Emphasis"/>
                <w:i w:val="false"/>
                <w:i w:val="false"/>
                <w:iCs w:val="false"/>
                <w:sz w:val="22"/>
                <w:szCs w:val="22"/>
                <w:lang w:val="en-US"/>
              </w:rPr>
            </w:pPr>
            <w:r>
              <w:rPr>
                <w:sz w:val="22"/>
                <w:szCs w:val="22"/>
              </w:rPr>
              <w:t>has the meaning given in Section 7 of Exhibit 30 (</w:t>
            </w:r>
            <w:r>
              <w:rPr>
                <w:i/>
                <w:sz w:val="22"/>
                <w:szCs w:val="22"/>
              </w:rPr>
              <w:t>Transition &amp;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pPr>
            <w:bookmarkStart w:id="8" w:name="acceptance"/>
            <w:r>
              <w:rPr>
                <w:sz w:val="22"/>
                <w:szCs w:val="22"/>
              </w:rPr>
              <w:t>Acceptance</w:t>
            </w:r>
            <w:bookmarkEnd w:id="8"/>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rStyle w:val="Emphasis"/>
                <w:i w:val="false"/>
                <w:iCs w:val="false"/>
                <w:sz w:val="22"/>
                <w:szCs w:val="22"/>
                <w:lang w:val="en-US"/>
              </w:rPr>
              <w:t xml:space="preserve">means the moment the Acceptance Criteria have been met and accepted by EuroBank in relation to a particular Deliverable;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Acceptance Criteria</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rStyle w:val="Emphasis"/>
                <w:i w:val="false"/>
                <w:iCs w:val="false"/>
                <w:sz w:val="22"/>
                <w:szCs w:val="22"/>
                <w:lang w:val="en-US"/>
              </w:rPr>
              <w:t>means the criteria agreed between EuroBank and the PST Supplier with regard to a Deliverable intended to enable EuroBank to establish that a Deliverable meets the agreed specifications;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Accepted</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 Deliverable that has successfully completed Acceptance;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Active Directory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b/>
                <w:bCs/>
                <w:sz w:val="22"/>
                <w:szCs w:val="22"/>
              </w:rPr>
            </w:pPr>
            <w:r>
              <w:rPr>
                <w:sz w:val="22"/>
                <w:szCs w:val="22"/>
              </w:rPr>
              <w:t>means the proprietary directory service product provided by Microsoft and used to store information about EuroBank’s network resources;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Actual Uptime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relevant period of time set out in Exhibit 3 (</w:t>
            </w:r>
            <w:r>
              <w:rPr>
                <w:i/>
                <w:iCs/>
                <w:sz w:val="22"/>
                <w:szCs w:val="22"/>
              </w:rPr>
              <w:t>Service Levels</w:t>
            </w:r>
            <w:r>
              <w:rPr>
                <w:sz w:val="22"/>
                <w:szCs w:val="22"/>
              </w:rPr>
              <w:t>), for which a particular Application (or other software), item of Equipment, Network or other part of the Services is actually available during the applicable Measurement Window, such measurement being calculated by subtracting Downtime from the Scheduled Uptime;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ADC</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EuroBank Application Development Centre;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Add/Change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a formally approved modification made to the hardware or software of any Authorised User devices covered by this MSA, including:</w:t>
            </w:r>
          </w:p>
          <w:p>
            <w:pPr>
              <w:pStyle w:val="Normal"/>
              <w:numPr>
                <w:ilvl w:val="0"/>
                <w:numId w:val="7"/>
              </w:numPr>
              <w:spacing w:before="0" w:after="240"/>
              <w:rPr>
                <w:sz w:val="22"/>
                <w:szCs w:val="22"/>
              </w:rPr>
            </w:pPr>
            <w:r>
              <w:rPr>
                <w:sz w:val="22"/>
                <w:szCs w:val="22"/>
              </w:rPr>
              <w:t xml:space="preserve">system hardware reconfigurations such as changes of memory, internal boards, and peripheral devices,  </w:t>
            </w:r>
          </w:p>
          <w:p>
            <w:pPr>
              <w:pStyle w:val="Normal"/>
              <w:numPr>
                <w:ilvl w:val="0"/>
                <w:numId w:val="7"/>
              </w:numPr>
              <w:spacing w:before="0" w:after="240"/>
              <w:rPr>
                <w:sz w:val="22"/>
                <w:szCs w:val="22"/>
              </w:rPr>
            </w:pPr>
            <w:r>
              <w:rPr>
                <w:sz w:val="22"/>
                <w:szCs w:val="22"/>
              </w:rPr>
              <w:t>for software, installing or deleting specific software applications, installing different revisions of existing software, and reconfiguring existing software on the Authorised User device, and</w:t>
            </w:r>
          </w:p>
          <w:p>
            <w:pPr>
              <w:pStyle w:val="Normal"/>
              <w:numPr>
                <w:ilvl w:val="0"/>
                <w:numId w:val="7"/>
              </w:numPr>
              <w:spacing w:before="0" w:after="240"/>
              <w:rPr>
                <w:sz w:val="22"/>
                <w:szCs w:val="22"/>
              </w:rPr>
            </w:pPr>
            <w:r>
              <w:rPr>
                <w:sz w:val="22"/>
                <w:szCs w:val="22"/>
              </w:rPr>
              <w:t>testing of the hardware and software and any required action which is within the scope of the Statement of Work and directly related to the modification to ensure proper function of the modified system;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Affected Contractors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contractors listed in Attachment B to Exhibit 12 (</w:t>
            </w:r>
            <w:r>
              <w:rPr>
                <w:i/>
                <w:iCs/>
                <w:sz w:val="22"/>
                <w:szCs w:val="22"/>
              </w:rPr>
              <w:t>Third Party Contracts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Affected Employees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individuals listed in Attachment 5-A to Exhibit 5 (</w:t>
            </w:r>
            <w:r>
              <w:rPr>
                <w:i/>
                <w:iCs/>
                <w:sz w:val="22"/>
                <w:szCs w:val="22"/>
              </w:rPr>
              <w:t>Human Resources Provisions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Affected Personnel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Affected Employees and the Affected Contractors;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Affiliate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in relation to an entity (from time to time), another entity Controlling, Controlled by, or under common Control with that entity;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Aggregated Service Reporting</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1.1, (3) of Exhibit 2.0 (</w:t>
            </w:r>
            <w:r>
              <w:rPr>
                <w:i/>
                <w:sz w:val="22"/>
                <w:szCs w:val="22"/>
              </w:rPr>
              <w:t>Statement of Work</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Agreed Languages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languages in which Service Desk support is provided by the PST Suppliers as specified in Section 3 of Exhibit 2.2 (</w:t>
            </w:r>
            <w:r>
              <w:rPr>
                <w:i/>
                <w:sz w:val="22"/>
                <w:szCs w:val="22"/>
              </w:rPr>
              <w:t>Service Desk</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Agreed Projects List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2.2 of Exhibit 9 (</w:t>
            </w:r>
            <w:r>
              <w:rPr>
                <w:i/>
                <w:sz w:val="22"/>
                <w:szCs w:val="22"/>
              </w:rPr>
              <w:t>In-Flight Projects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AIC</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application intake co-ordinator;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Allocation of Pool Percentage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portion of the Pool Percentage Available for Allocation that is specified for a Performance Category (the total of all Allocation of Pool Percentages shall not exceed the Pool Percentage Available for Allocation);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Annual Audit Report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9.9 of the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Annual Projects Plan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rStyle w:val="Emphasis"/>
                <w:i w:val="false"/>
                <w:i w:val="false"/>
                <w:iCs w:val="false"/>
                <w:sz w:val="22"/>
                <w:szCs w:val="22"/>
              </w:rPr>
            </w:pPr>
            <w:r>
              <w:rPr>
                <w:sz w:val="22"/>
                <w:szCs w:val="22"/>
              </w:rPr>
              <w:t>has the meaning given in Section 1 of Exhibit 9 (</w:t>
            </w:r>
            <w:r>
              <w:rPr>
                <w:i/>
                <w:sz w:val="22"/>
                <w:szCs w:val="22"/>
              </w:rPr>
              <w:t>In-Flight Projects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Applicable Law</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rStyle w:val="Emphasis"/>
                <w:i w:val="false"/>
                <w:iCs w:val="false"/>
                <w:sz w:val="22"/>
                <w:szCs w:val="22"/>
              </w:rPr>
              <w:t>means all applicable laws, statutes, orders, rules, provisions, regulations, directives and guidelines which have legal effect, whether local, national, international or otherwise existing from time to time, including but not limited to all Regulator's rules (including but not limited to the Outsourcing Regulations), requirements, standards and guidelines</w:t>
            </w:r>
            <w:r>
              <w:rPr>
                <w:color w:val="000000"/>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Application Server(s)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any Server solely used to run Applications;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Applications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programs and other software (including the supporting documentation, media, on-line help facilities and tutorials) that perform user or business related information processing functions in relation to the Services (an Application does not include the tools, utilities, or System Software used to deliver it);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highlight w:val="lightGray"/>
              </w:rPr>
            </w:pPr>
            <w:r>
              <w:rPr>
                <w:sz w:val="22"/>
                <w:szCs w:val="22"/>
              </w:rPr>
              <w:t>ARC</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an additional resource charge added to the Base Charge for each Resource Unit utilised and authorised by EuroBank above the Resource Baseline, as further detailed in Exhibit 4 (Pricing and Financial Provisions);</w:t>
            </w:r>
            <w:r>
              <w:rPr>
                <w:i/>
                <w:iCs/>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ARD</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relevant local provisions implementing or having the effect of implementing the provisions of the European Union Council Directive 2001/23/EC of 12 March 2001 on the approximation of the laws of the Member States relating to the safeguarding of employee’s rights in the event of transfers of undertakings, businesses or parts of undertakings or businesses (“Acquired Rights Directive”) and any modification of that Directive, as well as its interpretation by the European Court of Justice and the various national courts;;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Architecture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design, process, strategies and specification of the overall structure, logical components, and the logical interrelationships of Equipment and software, including System Software, a Network, or other reasonably related conception;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Asset Inventory and Management System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 automated, database-driven application used to store, query, and continuously update asset inventory information for all assets used in association with the Services, whether the assets are located at EuroBank Sites or PST  Supplier Sites;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Assumed Projects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all In-Scope Projects which the PST Supplier and EuroBank agree that the PST Supplier shall complete, as described in Exhibit 30 (Transition and Transformation) and Exhibit 9 (Inflight Projects);</w:t>
            </w:r>
            <w:r>
              <w:rPr>
                <w:i/>
                <w:iCs/>
                <w:sz w:val="22"/>
                <w:szCs w:val="22"/>
              </w:rPr>
            </w:r>
            <w:r>
              <w:rPr>
                <w:sz w:val="22"/>
                <w:szCs w:val="22"/>
              </w:rPr>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At Risk Amount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for any month during the Term, fifteen per cent (15 %) of one twelfth the annual Charges for the year in which the month occurs, which is the maximum amount that the PST Supplier will have at risk for Service Credits as set forth in Attachment 3-A (</w:t>
            </w:r>
            <w:r>
              <w:rPr>
                <w:i/>
                <w:iCs/>
                <w:sz w:val="22"/>
                <w:szCs w:val="22"/>
              </w:rPr>
              <w:t>Service Levels Matrix</w:t>
            </w:r>
            <w:r>
              <w:rPr>
                <w:sz w:val="22"/>
                <w:szCs w:val="22"/>
              </w:rPr>
              <w:t>) to Exhibit 3 (</w:t>
            </w:r>
            <w:r>
              <w:rPr>
                <w:i/>
                <w:iCs/>
                <w:sz w:val="22"/>
                <w:szCs w:val="22"/>
              </w:rPr>
              <w:t>Service Levels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Audit Plan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9.10 of the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Authorised User(s)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EuroBank-authorised users of the relevant Services within and outside of EuroBank including, but not limited to, employees of EuroBank Group members and contractors of EuroBank Group members;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Automatic Change Commodity Elements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those Commodity Elements which do not require a significant effort or cost to change;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Availability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Actual Uptime expressed as a percentage of the Scheduled Uptime for a particular Application (or other software), Equipment, Network or other part of the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BAFP</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“best and final pricing” submitted by the PST Suppliers;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highlight w:val="lightGray"/>
              </w:rPr>
            </w:pPr>
            <w:r>
              <w:rPr>
                <w:sz w:val="22"/>
                <w:szCs w:val="22"/>
              </w:rPr>
              <w:t>Base Charge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highlight w:val="lightGray"/>
              </w:rPr>
            </w:pPr>
            <w:r>
              <w:rPr>
                <w:sz w:val="22"/>
                <w:szCs w:val="22"/>
              </w:rPr>
              <w:t>means the monthly Charges for the provision of each part of the Services determined by reference to the number of Resource Units included within the Resource Baseline for the applicable month, as determined in accordance with Exhibit 4 (</w:t>
            </w:r>
            <w:r>
              <w:rPr>
                <w:i/>
                <w:iCs/>
                <w:sz w:val="22"/>
                <w:szCs w:val="22"/>
              </w:rPr>
              <w:t>Pricing and Financial Provisions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Base Charges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sum of each individual Base Charge;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Baseline Project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 Project under which the work and activities are In Scope and form part of the PST Supplier’s Base Charges;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Baseline Ratio</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4-J (</w:t>
            </w:r>
            <w:r>
              <w:rPr>
                <w:i/>
                <w:sz w:val="22"/>
                <w:szCs w:val="22"/>
              </w:rPr>
              <w:t>Seat Pricing Mechanism</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Base Year Index</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2.2 of Attachment 4-G (</w:t>
            </w:r>
            <w:r>
              <w:rPr>
                <w:i/>
                <w:sz w:val="22"/>
                <w:szCs w:val="22"/>
              </w:rPr>
              <w:t>COLA</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BCP/DR Transformation Project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7 of Exhibit 30 (</w:t>
            </w:r>
            <w:r>
              <w:rPr>
                <w:i/>
                <w:sz w:val="22"/>
                <w:szCs w:val="22"/>
              </w:rPr>
              <w:t>Transition &amp;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BC Plan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plan to execute the Business Continuity Services, agreed in accordance with  Exhibit 15 (</w:t>
            </w:r>
            <w:r>
              <w:rPr>
                <w:i/>
                <w:sz w:val="22"/>
                <w:szCs w:val="22"/>
              </w:rPr>
              <w:t>Business Continuity Plan and Disaster Recovery Plan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Benchmarked Commodity Element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 Commodity Element selected by EuroBank in accordance with the terms of Exhibit 34 (Price Adjustment and Benchmarking) for a Benchmarking Procedure;</w:t>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Benchmarked Services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 Bundle, a Service, the Services, a Commodity Element supplied as part of any Services or any part of any of the foregoing, as may be selected by EuroBank in accordance with Exhibit 34 (Price Adjustment and Benchmarking) for a Benchmarking Procedure;</w:t>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Benchmarker</w:t>
            </w:r>
          </w:p>
        </w:tc>
        <w:tc>
          <w:tcPr>
            <w:tcW w:w="6094" w:type="dxa"/>
            <w:tcBorders>
              <w:top w:val="single" w:sz="4" w:space="0" w:color="000000"/>
              <w:start w:val="single" w:sz="4" w:space="0" w:color="000000"/>
              <w:bottom w:val="single" w:sz="4" w:space="0" w:color="000000"/>
              <w:end w:val="single" w:sz="4" w:space="0" w:color="000000"/>
            </w:tcBorders>
            <w:vAlign w:val="center"/>
          </w:tcPr>
          <w:p>
            <w:pPr>
              <w:pStyle w:val="a"/>
              <w:spacing w:before="0" w:after="240"/>
              <w:ind w:hanging="0" w:start="0" w:end="0"/>
              <w:jc w:val="start"/>
              <w:rPr/>
            </w:pPr>
            <w:r>
              <w:rPr>
                <w:sz w:val="22"/>
                <w:szCs w:val="22"/>
              </w:rPr>
              <w:t>means the independent entity selected by EuroBank pursuant to paragraph 2.2(b) of Exhibit 34 (Price Adjustment and Benchmarking) for a Benchmarking Procedure;</w:t>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Benchmarking Notice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 written notice invoking the Benchmarking Procedure issued by EuroBank pursuant to paragraph 2.2(a) of Exhibit 34 (Price Adjustment and Benchmarking);</w:t>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Benchmarking Procedure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benchmarking procedure set out in paragraph 2 of Exhibit 34 (</w:t>
            </w:r>
            <w:r>
              <w:rPr>
                <w:i/>
                <w:sz w:val="22"/>
                <w:szCs w:val="22"/>
              </w:rPr>
              <w:t>Price Adjustment and Benchmarking</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Benchmarking Report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report delivered by the Benchmarker pursuant to paragraph 2.2(d) of Exhibit 34 (</w:t>
            </w:r>
            <w:r>
              <w:rPr>
                <w:i/>
                <w:sz w:val="22"/>
                <w:szCs w:val="22"/>
              </w:rPr>
              <w:t>Price Adjustment and Benchmarking</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Best in Class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for the purposes of paragraph 2 of  Exhibit 34 (</w:t>
            </w:r>
            <w:r>
              <w:rPr>
                <w:i/>
                <w:iCs/>
                <w:sz w:val="22"/>
                <w:szCs w:val="22"/>
              </w:rPr>
              <w:t>Price Adjustment and Benchmarking</w:t>
            </w:r>
            <w:r>
              <w:rPr>
                <w:sz w:val="22"/>
                <w:szCs w:val="22"/>
              </w:rPr>
              <w:t xml:space="preserve">), that the Charges, Service Levels and other terms of service for the Benchmarked Services and/or Benchmarked Commodity Elements are at most 5% less favourable than the best charges, service levels and other terms of service in the Comparison Sample, considering the applicable Like for Like Factors;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Blade Servers</w:t>
            </w:r>
          </w:p>
        </w:tc>
        <w:tc>
          <w:tcPr>
            <w:tcW w:w="6094" w:type="dxa"/>
            <w:tcBorders>
              <w:top w:val="single" w:sz="4" w:space="0" w:color="000000"/>
              <w:start w:val="single" w:sz="4" w:space="0" w:color="000000"/>
              <w:bottom w:val="single" w:sz="4" w:space="0" w:color="000000"/>
              <w:end w:val="single" w:sz="4" w:space="0" w:color="000000"/>
            </w:tcBorders>
          </w:tcPr>
          <w:p>
            <w:pPr>
              <w:pStyle w:val="Ballontekst1"/>
              <w:spacing w:before="0" w:after="240"/>
              <w:rPr>
                <w:rFonts w:ascii="Times New Roman" w:hAnsi="Times New Roman" w:cs="Times New Roman"/>
                <w:sz w:val="22"/>
                <w:szCs w:val="22"/>
              </w:rPr>
            </w:pPr>
            <w:r>
              <w:rPr>
                <w:rFonts w:cs="Times New Roman" w:ascii="Times New Roman" w:hAnsi="Times New Roman"/>
                <w:sz w:val="22"/>
                <w:szCs w:val="22"/>
              </w:rPr>
              <w:t>means a Server which has a small form factor and is located with 2 or more blade servers in a dedicated rack;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Blame Percentage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3-F (</w:t>
            </w:r>
            <w:r>
              <w:rPr>
                <w:i/>
                <w:sz w:val="22"/>
                <w:szCs w:val="22"/>
              </w:rPr>
              <w:t>Pain-Share Mechanism</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Branch Offices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EuroBank branches, if applicable;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BSL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business service layer;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Bundle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recital (A) of this MSA, as each is further defined in this MSA and the relevant Other PST Supplier MSAs;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Business Continuity (or “</w:t>
            </w:r>
            <w:r>
              <w:rPr>
                <w:b/>
                <w:sz w:val="22"/>
                <w:szCs w:val="22"/>
              </w:rPr>
              <w:t>BC</w:t>
            </w:r>
            <w:r>
              <w:rPr>
                <w:sz w:val="22"/>
                <w:szCs w:val="22"/>
              </w:rPr>
              <w: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Exhibit 15 (</w:t>
            </w:r>
            <w:r>
              <w:rPr>
                <w:i/>
                <w:sz w:val="22"/>
                <w:szCs w:val="22"/>
              </w:rPr>
              <w:t>Business Continuity Plan &amp; Disaster Recovery Plan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Business Day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a day (other than a Saturday or Sunday) on which banks are generally open in Amsterdam for the transaction of normal banking business or, if applicable, to an entity incorporated in a jurisdiction other than The Netherlands, open for the transaction of normal banking business in that jurisdiction;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Business Demand Plan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1.1, (4) of Exhibit 2.0 (</w:t>
            </w:r>
            <w:r>
              <w:rPr>
                <w:i/>
                <w:sz w:val="22"/>
                <w:szCs w:val="22"/>
              </w:rPr>
              <w:t>Statement of Work</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Cabling</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physical connection between Equipment and a wall jack (i.e. the connections outside the wall), including physical cabling media, peripheral cabling used to interconnect electronic equipment, all terminating hardware and cross connect fields, but not including conduits and pathways;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Call Split Ratio</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the annual number of Incidents which have to be solved by Solver groups, which are not In Scope divided by the total volume of Incidents per annum;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Call(s)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EuroBank Incidents, questions, or requests submitted to the PST Supplier by telephone, electronically, or other means agreed between the parties;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Carrier</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a telecommunications services provider;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CCN</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Exhibit 22 (</w:t>
            </w:r>
            <w:r>
              <w:rPr>
                <w:i/>
                <w:iCs/>
                <w:sz w:val="22"/>
                <w:szCs w:val="22"/>
              </w:rPr>
              <w:t>Change Control Procedures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CDR</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call detail reporting;</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CEDS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common European desktop service;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Change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Exhibit 22 (</w:t>
            </w:r>
            <w:r>
              <w:rPr>
                <w:i/>
                <w:iCs/>
                <w:sz w:val="22"/>
                <w:szCs w:val="22"/>
              </w:rPr>
              <w:t>Change Control Procedures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Change Control Procedure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Significant Change Control Procedure or the Procedural Change Control Procedure, as either is applicable to the relevant Change in accordance with the provisions of  Exhibit 22 (</w:t>
            </w:r>
            <w:r>
              <w:rPr>
                <w:i/>
                <w:iCs/>
                <w:sz w:val="22"/>
                <w:szCs w:val="22"/>
              </w:rPr>
              <w:t>Change Control</w:t>
            </w:r>
            <w:r>
              <w:rPr>
                <w:sz w:val="22"/>
                <w:szCs w:val="22"/>
              </w:rPr>
              <w:t xml:space="preserve"> </w:t>
            </w:r>
            <w:r>
              <w:rPr>
                <w:i/>
                <w:iCs/>
                <w:sz w:val="22"/>
                <w:szCs w:val="22"/>
              </w:rPr>
              <w:t>Procedures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Change Management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processes relating to planning and performing all changes in EuroBank’s IT environment pertaining to the Services, including changes to individual components and coordination of changes across all components, as detailed in Exhibit 22 (Change Control Procedures) (the Change Management processes will support and include checkpoints to determine any potential or required Change Control Procedures);</w:t>
            </w:r>
            <w:r>
              <w:rPr>
                <w:i/>
                <w:iCs/>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Change Request Authorisation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process and any related forms required to request and authorise Changes requested by Authorised Users, where such changes are within the scope of the existing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Charge Review Procedure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Exhibit 22 (</w:t>
            </w:r>
            <w:r>
              <w:rPr>
                <w:i/>
                <w:iCs/>
                <w:szCs w:val="22"/>
              </w:rPr>
              <w:t>Change Control Procedures</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Charges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Base Charges, the Pass Through Expenses and the One Time Charges;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CMDB</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 configuration management database;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CMIS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configuration management information system;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CM-RM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change management and release management;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COLA</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cost-of-living adjustment, as detailed in Exhibit 4-G (</w:t>
            </w:r>
            <w:r>
              <w:rPr>
                <w:i/>
                <w:szCs w:val="22"/>
                <w:lang w:val="en-GB"/>
              </w:rPr>
              <w:t>COLA</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Collaborative Applications</w:t>
            </w:r>
          </w:p>
          <w:p>
            <w:pPr>
              <w:pStyle w:val="TableText"/>
              <w:spacing w:before="0" w:after="240"/>
              <w:rPr>
                <w:szCs w:val="22"/>
                <w:lang w:val="en-GB"/>
              </w:rPr>
            </w:pPr>
            <w:r>
              <w:rPr>
                <w:szCs w:val="22"/>
                <w:lang w:val="en-GB"/>
              </w:rPr>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includes Applications containing functionality to enable electronic communication and messaging; work group collaboration; information transfers; frequently asked questions (FAQs); and similar Applications that allow collaborative interaction and receipt/transfer of data and information both within and outside of EuroBank. Examples of current and/or future Collaborative Applications include, but are not limited to, Lotus Notes, electronic mail, calendaring, and instant messaging;</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Commencement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date the PST Supplier actually assumes responsibility for the Services as further described in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Commercial Off The Shelf (COTS)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Equipment and/or software as applicable that is readily available to the public from a third party that is not an Affiliate of a party;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Commodity Elements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all Pass Through Elements, including Server hardware, Server maintenance, storage (area network), dial in services, PBX hardware and software, PBX handsets and accessories, mobile handsets and accessories, LAN Equipment, LAN Equipment maintenance, voice traffic and subscriptions and data traffic and subscriptions where both traffic and subscriptions are delivered by Sub-Contractors;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FWBL2"/>
              <w:numPr>
                <w:ilvl w:val="0"/>
                <w:numId w:val="0"/>
              </w:numPr>
              <w:spacing w:before="0" w:after="240"/>
              <w:ind w:hanging="0" w:start="0"/>
              <w:rPr>
                <w:sz w:val="22"/>
                <w:szCs w:val="22"/>
              </w:rPr>
            </w:pPr>
            <w:r>
              <w:rPr>
                <w:sz w:val="22"/>
                <w:szCs w:val="22"/>
              </w:rPr>
              <w:t>Comparison Sample</w:t>
            </w:r>
          </w:p>
        </w:tc>
        <w:tc>
          <w:tcPr>
            <w:tcW w:w="6094" w:type="dxa"/>
            <w:tcBorders>
              <w:top w:val="single" w:sz="4" w:space="0" w:color="000000"/>
              <w:start w:val="single" w:sz="4" w:space="0" w:color="000000"/>
              <w:bottom w:val="single" w:sz="4" w:space="0" w:color="000000"/>
              <w:end w:val="single" w:sz="4" w:space="0" w:color="000000"/>
            </w:tcBorders>
          </w:tcPr>
          <w:p>
            <w:pPr>
              <w:pStyle w:val="FWBL2"/>
              <w:numPr>
                <w:ilvl w:val="0"/>
                <w:numId w:val="0"/>
              </w:numPr>
              <w:ind w:hanging="0" w:start="0"/>
              <w:rPr>
                <w:sz w:val="22"/>
                <w:szCs w:val="22"/>
              </w:rPr>
            </w:pPr>
            <w:r>
              <w:rPr>
                <w:sz w:val="22"/>
                <w:szCs w:val="22"/>
              </w:rPr>
              <w:t>means:</w:t>
            </w:r>
          </w:p>
          <w:p>
            <w:pPr>
              <w:pStyle w:val="FWBL2"/>
              <w:numPr>
                <w:ilvl w:val="0"/>
                <w:numId w:val="0"/>
              </w:numPr>
              <w:ind w:hanging="0" w:start="0"/>
              <w:rPr/>
            </w:pPr>
            <w:r>
              <w:rPr>
                <w:sz w:val="22"/>
                <w:szCs w:val="22"/>
              </w:rPr>
              <w:t>(i) for the purposes of Section 1 of  Exhibit 34 (</w:t>
            </w:r>
            <w:r>
              <w:rPr>
                <w:i/>
                <w:iCs/>
                <w:sz w:val="22"/>
                <w:szCs w:val="22"/>
              </w:rPr>
              <w:t>Price Adjustment and Benchmarking</w:t>
            </w:r>
            <w:r>
              <w:rPr>
                <w:sz w:val="22"/>
                <w:szCs w:val="22"/>
              </w:rPr>
              <w:t>), a representative sample of available terms of service for services substantially similar to the relevant Bundle (including the terms made available by the PST Supplier and each Other PST Supplier) or of available terms of procurement for the relevant Commodity Element, as each is selected from the Mincer Data by the 2IM in accordance with Section 1.2 of Exhibit 34 (</w:t>
            </w:r>
            <w:r>
              <w:rPr>
                <w:i/>
                <w:iCs/>
                <w:sz w:val="22"/>
                <w:szCs w:val="22"/>
              </w:rPr>
              <w:t>Price Adjustment and Benchmarking</w:t>
            </w:r>
            <w:r>
              <w:rPr>
                <w:sz w:val="22"/>
                <w:szCs w:val="22"/>
              </w:rPr>
              <w:t>); and</w:t>
            </w:r>
          </w:p>
          <w:p>
            <w:pPr>
              <w:pStyle w:val="FWBL2"/>
              <w:numPr>
                <w:ilvl w:val="0"/>
                <w:numId w:val="0"/>
              </w:numPr>
              <w:spacing w:before="0" w:after="240"/>
              <w:ind w:hanging="0" w:start="0"/>
              <w:rPr/>
            </w:pPr>
            <w:r>
              <w:rPr>
                <w:sz w:val="22"/>
                <w:szCs w:val="22"/>
              </w:rPr>
              <w:t>(ii) for the purposes of Section 2 of Exhibit 34 (</w:t>
            </w:r>
            <w:r>
              <w:rPr>
                <w:i/>
                <w:iCs/>
                <w:sz w:val="22"/>
                <w:szCs w:val="22"/>
              </w:rPr>
              <w:t>Price Adjustment and Benchmarking</w:t>
            </w:r>
            <w:r>
              <w:rPr>
                <w:sz w:val="22"/>
                <w:szCs w:val="22"/>
              </w:rPr>
              <w:t>), a representative sample of entities selected by the Benchmarker as receiving or having received services substantially similar to the Benchmarked Services and/or Benchmarked Commodity elements;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Completion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date defined in the MATA for Completion;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Conferencing Network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portion of EuroBank’s Network consisting of Conferencing Premise Equipment, software, Transport Systems, Interconnect Devices and Cabling used to create connect and transmit voice and video to Authorised Users;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Conferencing Premise Equipment</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the Equipment, features, accessories, peripherals and Cabling supported or used by  the PST Supplier in connection with its provision of Conferencing Services to the Authorised Users including room based and cart-based video and audio conference equipment (e.g. audio/video switching equipment, control computers, monitors, cameras, document viewers, CODEC, sound systems, video and audio conferencing bridges, muxes, multi-point bridging equipment, studio room equipment, and associated diagnostic equipment) and all additions, modifications, substitutions, upgrades or enhancements to such Equipment;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Confidential Information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terms and the existence of each of the Transaction Documents, any information which relates to the provision of the Services to, or their use by, the EuroBank Group, the EuroBank Materials, the EuroBank Data and all other information, in any form, which has been disclosed by or on behalf of a party or its Affiliates in confidence, or which by its nature ought to be regarded as confidential;</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Connectivity</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ability to access and exchange data, voice, and/or video electronic impulses between various Infrastructure components and with external sources as approved by EuroBank and provided to Authorised Users;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Consumption-based Resource Units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Attachment 4-J (</w:t>
            </w:r>
            <w:r>
              <w:rPr>
                <w:i/>
                <w:szCs w:val="22"/>
              </w:rPr>
              <w:t>Seat Pricing Mechanism</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Contractors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personnel hired by EuroBank on a temporary basis, not being EuroBank employees;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Control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with regard to an entity the legal, beneficial or equitable ownership, directly or indirectly, of fifty per cent (50%) or more of the capital stock (or other ownership interest, if not a corporation) of such entity ordinarily having voting rights, or the equivalent right under contract to control management decisions with regard to relevant subjects;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Control Rules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9.12 of the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Conversion Model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4-J (</w:t>
            </w:r>
            <w:r>
              <w:rPr>
                <w:i/>
                <w:sz w:val="22"/>
                <w:szCs w:val="22"/>
              </w:rPr>
              <w:t>Seat Pricing Mechanism</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COSL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central optional service layer;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Critical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 an Application, system, process or other part of the Service that EuroBank notifies “IM and/or the PST Suppliers is vital to the conduct of any aspect of EuroBank’s business;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Critical Affected Employees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 limited number of Affected Employees who are believed to be critical in the transition and initial provision of the Services by the PST;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Critical Affected Personnel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those individuals nominated by EuroBank as being critical in the Transition and initial provision of the Services by the PST Supplier;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Critical Deliverable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deliverables identified as such in Attachment 3-C (</w:t>
            </w:r>
            <w:r>
              <w:rPr>
                <w:i/>
                <w:iCs/>
                <w:sz w:val="22"/>
                <w:szCs w:val="22"/>
              </w:rPr>
              <w:t>Service Level Matrix</w:t>
            </w:r>
            <w:r>
              <w:rPr>
                <w:sz w:val="22"/>
                <w:szCs w:val="22"/>
              </w:rPr>
              <w:t>), together with deliverables specified to be Critical Deliverables as part of the Termination Assistance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Critical Deliverable Long Stop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date three (3) months after the Commencement Date as required for the termination provisions of clause 16.2.2(c) of the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Critical Services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Exhibit 21 (</w:t>
            </w:r>
            <w:r>
              <w:rPr>
                <w:i/>
                <w:iCs/>
                <w:sz w:val="22"/>
                <w:szCs w:val="22"/>
              </w:rPr>
              <w:t>Critical Services and Critical Events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Critical Service Failure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Exhibit 21 (</w:t>
            </w:r>
            <w:r>
              <w:rPr>
                <w:i/>
                <w:iCs/>
                <w:sz w:val="22"/>
                <w:szCs w:val="22"/>
              </w:rPr>
              <w:t>Critical Services and Critical Events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Critical Service Level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 Service Level identified as a Critical Service Level in Exhibit 3 (</w:t>
            </w:r>
            <w:r>
              <w:rPr>
                <w:i/>
                <w:iCs/>
                <w:sz w:val="22"/>
                <w:szCs w:val="22"/>
              </w:rPr>
              <w:t>Service Levels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Cross Functional Services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those Services as required in Exhibit 2.1 (</w:t>
            </w:r>
            <w:r>
              <w:rPr>
                <w:i/>
                <w:szCs w:val="22"/>
                <w:lang w:val="en-GB"/>
              </w:rPr>
              <w:t>End User Computing Services</w:t>
            </w:r>
            <w:r>
              <w:rPr>
                <w:szCs w:val="22"/>
                <w:lang w:val="en-GB"/>
              </w:rPr>
              <w:t>) and Exhibit 2.2 (</w:t>
            </w:r>
            <w:r>
              <w:rPr>
                <w:i/>
                <w:szCs w:val="22"/>
                <w:lang w:val="en-GB"/>
              </w:rPr>
              <w:t>Service Desk Services</w:t>
            </w:r>
            <w:r>
              <w:rPr>
                <w:szCs w:val="22"/>
                <w:lang w:val="en-GB"/>
              </w:rPr>
              <w:t xml:space="preserve">) created across more than one bundle within the SWS Function as described in the Statements of Work;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CSL</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common service layer;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Customer Team</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 xml:space="preserve">means a section within a Customer Unit;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Customer Unit</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the PST Supplier department designated to provide the Services to EuroBank;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DAP</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1.3 of Exhibit 2.3 (</w:t>
            </w:r>
            <w:r>
              <w:rPr>
                <w:i/>
                <w:sz w:val="22"/>
                <w:szCs w:val="22"/>
              </w:rPr>
              <w:t>Network Services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Data Protection Directive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12.2.1 of the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DCO</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data centre operations;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DDSD</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Section 1.3 of Exhibit 2.3 (</w:t>
            </w:r>
            <w:r>
              <w:rPr>
                <w:i/>
                <w:szCs w:val="22"/>
              </w:rPr>
              <w:t>Network Services</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Dead Band</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Attachment 4-J (</w:t>
            </w:r>
            <w:r>
              <w:rPr>
                <w:i/>
                <w:szCs w:val="22"/>
              </w:rPr>
              <w:t>Seat Pricing Mechanism</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yellow"/>
                <w:lang w:val="en-GB"/>
              </w:rPr>
            </w:pPr>
            <w:r>
              <w:rPr>
                <w:szCs w:val="22"/>
              </w:rPr>
              <w:t>Dealing Room Seats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 xml:space="preserve">means an Authorised User in an EuroBank dealing room;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Decentralised Servers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 xml:space="preserve">means a Server which is not located on one of EuroBank’s DCO data centers;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Deliverable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color w:val="000000"/>
                <w:sz w:val="22"/>
                <w:szCs w:val="22"/>
              </w:rPr>
              <w:t xml:space="preserve">means any work product (and any enhancements or modifications to it) that are specifically created, developed or prepared by the PST Supplier for delivery to EuroBank;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Deliverable Credits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monetary amount(s) that the PST Supplier shall pay to EuroBank (or apply against  the Charges) in the event of a failure to achieve a Critical Deliverable in accordance with Attachment 3C (Critical Deliverables);</w:t>
            </w:r>
            <w:r>
              <w:rPr>
                <w:i/>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Departing Member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4.1.2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Detailed T&amp;T Plan</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Section 4 of Exhibit 30 (</w:t>
            </w:r>
            <w:r>
              <w:rPr>
                <w:i/>
                <w:iCs/>
                <w:sz w:val="22"/>
                <w:szCs w:val="22"/>
              </w:rPr>
              <w:t>Transition and Transformation</w:t>
            </w:r>
            <w:r>
              <w:rPr>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DFS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distributed file system;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Disaster Recovery (or “</w:t>
            </w:r>
            <w:r>
              <w:rPr>
                <w:b/>
                <w:szCs w:val="22"/>
              </w:rPr>
              <w:t>DR</w:t>
            </w:r>
            <w:r>
              <w:rPr>
                <w:szCs w:val="22"/>
              </w:rPr>
              <w: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Exhibit 15 (</w:t>
            </w:r>
            <w:r>
              <w:rPr>
                <w:i/>
                <w:szCs w:val="22"/>
              </w:rPr>
              <w:t>Business Continuity Plan &amp; Disaster Recovery Plan</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Dispute Resolution Procedure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means the Escalation Procedure defined in Section 6 of Exhibit 6 (</w:t>
            </w:r>
            <w:r>
              <w:rPr>
                <w:i/>
                <w:szCs w:val="22"/>
              </w:rPr>
              <w:t>Governance</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Domestic Outbound Calls – Local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 xml:space="preserve">means voice calls in the so called “basisgebied”;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Domestic Outbound Calls – Long Distance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national calls outside the so called “basisgebied”;</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Domestic Outbound Calls – Cellular</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national fixed to mobile calls;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Downtime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time that a particular Application (or other item of software), Equipment, Network or other part of the Services is not available during the Measurement Window;</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Earnback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methodology used to determine the potential elimination of a Service Credit as described in Section 6 of Exhibit 3 (</w:t>
            </w:r>
            <w:r>
              <w:rPr>
                <w:i/>
                <w:szCs w:val="22"/>
                <w:lang w:val="en-GB"/>
              </w:rPr>
              <w:t>Service Levels</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Economic Change Adjustment (or “</w:t>
            </w:r>
            <w:r>
              <w:rPr>
                <w:b/>
                <w:sz w:val="22"/>
                <w:szCs w:val="22"/>
              </w:rPr>
              <w:t>ECA</w:t>
            </w:r>
            <w:r>
              <w:rPr>
                <w:sz w:val="22"/>
                <w:szCs w:val="22"/>
              </w:rPr>
              <w: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4-G (</w:t>
            </w:r>
            <w:r>
              <w:rPr>
                <w:i/>
                <w:sz w:val="22"/>
                <w:szCs w:val="22"/>
              </w:rPr>
              <w:t>COLA</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Economic Change Factor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4-G (</w:t>
            </w:r>
            <w:r>
              <w:rPr>
                <w:i/>
                <w:sz w:val="22"/>
                <w:szCs w:val="22"/>
              </w:rPr>
              <w:t>COLA</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Effective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date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EFS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encrypted file system;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E-mail Accounts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 EuroBank mailbox of an EuroBank Authorised User, group of Authorised Users or Application;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Employment Protocol(s)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document(s) attached to Exhibit 5 as Attachment 5-G;</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Employee Transfer Agreement (or “</w:t>
            </w:r>
            <w:r>
              <w:rPr>
                <w:b/>
                <w:sz w:val="22"/>
                <w:szCs w:val="22"/>
              </w:rPr>
              <w:t>ETA</w:t>
            </w:r>
            <w:r>
              <w:rPr>
                <w:sz w:val="22"/>
                <w:szCs w:val="22"/>
              </w:rPr>
              <w: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employee transfer agreement between EuroBank N.V., EuroBank Bank Nederland N.V., EuroBank Verzekeringen Nederland N.V., EuroBank Personeel V.O.F. and the PST Supplier;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End User Computing (or EUC) (Services)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Services as described in Exhibit 2.1 (</w:t>
            </w:r>
            <w:r>
              <w:rPr>
                <w:i/>
                <w:iCs/>
                <w:szCs w:val="22"/>
                <w:lang w:val="en-GB"/>
              </w:rPr>
              <w:t>End User</w:t>
            </w:r>
            <w:r>
              <w:rPr>
                <w:szCs w:val="22"/>
                <w:lang w:val="en-GB"/>
              </w:rPr>
              <w:t xml:space="preserve"> </w:t>
            </w:r>
            <w:r>
              <w:rPr>
                <w:i/>
                <w:iCs/>
                <w:szCs w:val="22"/>
                <w:lang w:val="en-GB"/>
              </w:rPr>
              <w:t>Computing Services</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EPO</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ePolicy orchestrator;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Equipment</w:t>
            </w:r>
          </w:p>
        </w:tc>
        <w:tc>
          <w:tcPr>
            <w:tcW w:w="6094" w:type="dxa"/>
            <w:tcBorders>
              <w:top w:val="single" w:sz="4" w:space="0" w:color="000000"/>
              <w:start w:val="single" w:sz="4" w:space="0" w:color="000000"/>
              <w:bottom w:val="single" w:sz="4" w:space="0" w:color="000000"/>
              <w:end w:val="single" w:sz="4" w:space="0" w:color="000000"/>
            </w:tcBorders>
          </w:tcPr>
          <w:p>
            <w:pPr>
              <w:pStyle w:val="FWDL1"/>
              <w:numPr>
                <w:ilvl w:val="0"/>
                <w:numId w:val="10"/>
              </w:numPr>
              <w:spacing w:before="0" w:after="240"/>
              <w:ind w:hanging="0" w:start="0"/>
              <w:rPr>
                <w:sz w:val="22"/>
                <w:szCs w:val="22"/>
              </w:rPr>
            </w:pPr>
            <w:r>
              <w:rPr>
                <w:sz w:val="22"/>
                <w:szCs w:val="22"/>
              </w:rPr>
              <w:t xml:space="preserve">means the computer, telecommunications, and Facility-related hardware, equipment and peripherals: (a) owned or leased by EuroBank, any EuroBank Group member or the PST Supplier, and (b) used by either the PST Supplier or any EuroBank Group member in conjunction with the Services;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Escalation Procedure</w:t>
            </w:r>
          </w:p>
        </w:tc>
        <w:tc>
          <w:tcPr>
            <w:tcW w:w="6094" w:type="dxa"/>
            <w:tcBorders>
              <w:top w:val="single" w:sz="4" w:space="0" w:color="000000"/>
              <w:start w:val="single" w:sz="4" w:space="0" w:color="000000"/>
              <w:bottom w:val="single" w:sz="4" w:space="0" w:color="000000"/>
              <w:end w:val="single" w:sz="4" w:space="0" w:color="000000"/>
            </w:tcBorders>
          </w:tcPr>
          <w:p>
            <w:pPr>
              <w:pStyle w:val="FWDL1"/>
              <w:numPr>
                <w:ilvl w:val="0"/>
                <w:numId w:val="10"/>
              </w:numPr>
              <w:spacing w:before="0" w:after="240"/>
              <w:ind w:hanging="0" w:start="0"/>
              <w:rPr>
                <w:sz w:val="22"/>
                <w:szCs w:val="22"/>
              </w:rPr>
            </w:pPr>
            <w:r>
              <w:rPr>
                <w:sz w:val="22"/>
                <w:szCs w:val="22"/>
              </w:rPr>
              <w:t>means the escalation procedure set out in Exhibit 6 (</w:t>
            </w:r>
            <w:r>
              <w:rPr>
                <w:i/>
                <w:iCs/>
                <w:sz w:val="22"/>
                <w:szCs w:val="22"/>
              </w:rPr>
              <w:t>Governance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Exit Completion Date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paragraph 2.1(c)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Exit Manager</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paragraph 4.1(k)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Exit Period</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paragraph 2.2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Exit Plan</w:t>
            </w:r>
          </w:p>
        </w:tc>
        <w:tc>
          <w:tcPr>
            <w:tcW w:w="6094" w:type="dxa"/>
            <w:tcBorders>
              <w:top w:val="single" w:sz="4" w:space="0" w:color="000000"/>
              <w:start w:val="single" w:sz="4" w:space="0" w:color="000000"/>
              <w:bottom w:val="single" w:sz="4" w:space="0" w:color="000000"/>
              <w:end w:val="single" w:sz="4" w:space="0" w:color="000000"/>
            </w:tcBorders>
          </w:tcPr>
          <w:p>
            <w:pPr>
              <w:pStyle w:val="FWDL1"/>
              <w:numPr>
                <w:ilvl w:val="0"/>
                <w:numId w:val="10"/>
              </w:numPr>
              <w:spacing w:before="0" w:after="240"/>
              <w:ind w:hanging="0" w:start="0"/>
              <w:rPr>
                <w:sz w:val="22"/>
                <w:szCs w:val="22"/>
              </w:rPr>
            </w:pPr>
            <w:r>
              <w:rPr>
                <w:sz w:val="22"/>
                <w:szCs w:val="22"/>
              </w:rPr>
              <w:t>means the plan for the cessation of Removed Services, agreed and updated in accordance with paragraphs 5 and 6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Exit Start Date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paragraph 2.1(b)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bCs/>
                <w:szCs w:val="22"/>
                <w:lang w:val="en-GB"/>
              </w:rPr>
              <w:t>Expected Service Level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desired level of performance for a Critical Service Level, as set forth in Attachment 3-A (</w:t>
            </w:r>
            <w:r>
              <w:rPr>
                <w:i/>
                <w:szCs w:val="22"/>
                <w:lang w:val="en-GB"/>
              </w:rPr>
              <w:t>Service Level Matrix</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bCs/>
                <w:szCs w:val="22"/>
                <w:lang w:val="en-GB"/>
              </w:rPr>
              <w:t>Expected Service Level Default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PST Supplier's level of performance for a particular Critical Service Level fails to meet the applicable Expected Service Level (but does not fail to meet the applicable Minimum Service Level) as specified in Exhibit 3 (</w:t>
            </w:r>
            <w:r>
              <w:rPr>
                <w:i/>
                <w:iCs/>
                <w:szCs w:val="22"/>
                <w:lang w:val="en-GB"/>
              </w:rPr>
              <w:t>Service Levels</w:t>
            </w:r>
            <w:r>
              <w:rPr>
                <w:szCs w:val="22"/>
                <w:lang w:val="en-GB"/>
              </w:rPr>
              <w:t>) and its Attachments, and has failed to meet such Expected Service Level for four (4) or more months in any rolling twelve (12) month period;</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Expiration Date</w:t>
            </w:r>
          </w:p>
        </w:tc>
        <w:tc>
          <w:tcPr>
            <w:tcW w:w="6094" w:type="dxa"/>
            <w:tcBorders>
              <w:top w:val="single" w:sz="4" w:space="0" w:color="000000"/>
              <w:start w:val="single" w:sz="4" w:space="0" w:color="000000"/>
              <w:bottom w:val="single" w:sz="4" w:space="0" w:color="000000"/>
              <w:end w:val="single" w:sz="4" w:space="0" w:color="000000"/>
            </w:tcBorders>
          </w:tcPr>
          <w:p>
            <w:pPr>
              <w:pStyle w:val="FWDL1"/>
              <w:numPr>
                <w:ilvl w:val="0"/>
                <w:numId w:val="10"/>
              </w:numPr>
              <w:spacing w:before="0" w:after="240"/>
              <w:ind w:hanging="0" w:start="0"/>
              <w:rPr>
                <w:sz w:val="22"/>
                <w:szCs w:val="22"/>
              </w:rPr>
            </w:pPr>
            <w:r>
              <w:rPr>
                <w:sz w:val="22"/>
                <w:szCs w:val="22"/>
              </w:rPr>
              <w:t>means the ending date of the Term;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Extranet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the portion of EuroBank’s WAN, consisting of Equipment, software, Transport Systems, Interconnect Devices, Wiring, and Cabling that are used to create, connect and transmit data, voice and video signals to, within or among EuroBank's customers, external partners, and Third party Vendors (Extranets typically include Web sites that provide information to internal employees and also have secure areas to provide information and conduct business with certain third parties.  The Extranet is not a public entity, but a private network whose access is provided over the public Internet.  The Extranet Network may be delivered via a public circuit-switched service, or VPN.);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Extraordinary Event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 non-recurring event or activity (unforeseen by the PST Suppliers using best practice and their collective experience, knowledge and expertise in the Services to be delivered) that (i) occurs in the course of a stand-alone project, or (ii) is required to enable a new or expanded recurring activity or project to be completed or (iii) is any other significant event that EuroBank reasonably determines to be an Extraordinary Event;.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FAM</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functional application manager;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Final Evaluation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3-F (</w:t>
            </w:r>
            <w:r>
              <w:rPr>
                <w:i/>
                <w:sz w:val="22"/>
                <w:szCs w:val="22"/>
              </w:rPr>
              <w:t>Pain-Share Mechanism</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Final Transition Milestone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final Key Milestone in the Transition Phase, the completion of which marks the end of the Transition Phase (and the date for which is specified in the Detailed T&amp;T Plan)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First Right of Refusal Countries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those countries (identified in the “Countries” tab in Exhibit 7 (Sites &amp; Local Entities)) in which TelCo has a first right of refusal on expiry of EuroBank’s existing telecommunications contracts in those countries;</w:t>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FOT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fibre optical transmission;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Force Majeure Event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to it in Article 6:75 of the Dutch Civil Code;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rPr>
              <w:t>Free phone Service Calls</w:t>
            </w:r>
          </w:p>
        </w:tc>
        <w:tc>
          <w:tcPr>
            <w:tcW w:w="6094" w:type="dxa"/>
            <w:tcBorders>
              <w:top w:val="single" w:sz="4" w:space="0" w:color="000000"/>
              <w:start w:val="single" w:sz="4" w:space="0" w:color="000000"/>
              <w:bottom w:val="single" w:sz="4" w:space="0" w:color="000000"/>
              <w:end w:val="single" w:sz="4" w:space="0" w:color="000000"/>
            </w:tcBorders>
          </w:tcPr>
          <w:p>
            <w:pPr>
              <w:pStyle w:val="NormalWeb"/>
              <w:spacing w:before="0" w:after="240"/>
              <w:rPr>
                <w:rStyle w:val="Emphasis"/>
                <w:rFonts w:ascii="Times New Roman" w:hAnsi="Times New Roman" w:cs="Times New Roman"/>
                <w:i w:val="false"/>
                <w:i w:val="false"/>
                <w:iCs w:val="false"/>
                <w:sz w:val="22"/>
                <w:szCs w:val="22"/>
              </w:rPr>
            </w:pPr>
            <w:r>
              <w:rPr>
                <w:rFonts w:cs="Times New Roman" w:ascii="Times New Roman" w:hAnsi="Times New Roman"/>
                <w:sz w:val="22"/>
                <w:szCs w:val="22"/>
              </w:rPr>
              <w:t>means the in-bound 0800 service which EuroBank receives;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From As to Be Project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Section 5 of Exhibit 30 (</w:t>
            </w:r>
            <w:r>
              <w:rPr>
                <w:i/>
                <w:szCs w:val="22"/>
              </w:rPr>
              <w:t>Transition &amp; Transformation</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lang w:val="en-GB"/>
              </w:rPr>
              <w:t>FTE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yellow"/>
                <w:lang w:val="en-GB"/>
              </w:rPr>
            </w:pPr>
            <w:r>
              <w:rPr>
                <w:szCs w:val="22"/>
                <w:lang w:val="en-GB"/>
              </w:rPr>
              <w:t xml:space="preserve">means a full time equivalent, being a level of effort on specific tasks or projects expended by an employee or contractor, which contemplates an allocation of their time over various work efforts i.e., acknowledges that an individual may work part-time or spend time on various in-scope or out-of-scope activities with a reasonable amount of overtime  included in the quantification of exempt labour allocated across multiple areas;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FTP</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a full time person,  being a level of effort, excluding vacation and other non-productive time (but including a reasonable amount of overtime), equivalent to that which one person working full time would provide, based on an FTE;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Future PST Countries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means those near-shore countries (identified in the “Countries” tab in Exhibit 7 (</w:t>
            </w:r>
            <w:r>
              <w:rPr>
                <w:i/>
                <w:szCs w:val="22"/>
              </w:rPr>
              <w:t>Sites &amp; Local Entities</w:t>
            </w:r>
            <w:r>
              <w:rPr>
                <w:szCs w:val="22"/>
              </w:rPr>
              <w:t>)) that may form the basis of New Services for the PST Suppliers;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Global Infrastructure &amp; Operations Strategy Plan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Section 9 (3) of Exhibit 2.7 (</w:t>
            </w:r>
            <w:r>
              <w:rPr>
                <w:i/>
                <w:szCs w:val="22"/>
              </w:rPr>
              <w:t>2IM Services &amp; Governance</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GPRS/UMTS Cards Devices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hardware required for mobile data subscriptions (including PCMCIA PC cards), PDA's or smart phones;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Guarantee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parent company guarantee in the form set out in Exhibit 27 (</w:t>
            </w:r>
            <w:r>
              <w:rPr>
                <w:i/>
                <w:iCs/>
                <w:sz w:val="22"/>
                <w:szCs w:val="22"/>
              </w:rPr>
              <w:t>Parent Company Guarantee</w:t>
            </w:r>
            <w:r>
              <w:rPr>
                <w:sz w:val="22"/>
                <w:szCs w:val="22"/>
              </w:rPr>
              <w:t>) to the MOU executed and delivered by the Guarantor in accordance with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Guarantor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each company that has entered into a Guarantee on behalf of a PST Member;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Handsets</w:t>
            </w:r>
          </w:p>
        </w:tc>
        <w:tc>
          <w:tcPr>
            <w:tcW w:w="6094" w:type="dxa"/>
            <w:tcBorders>
              <w:top w:val="single" w:sz="4" w:space="0" w:color="000000"/>
              <w:start w:val="single" w:sz="4" w:space="0" w:color="000000"/>
              <w:bottom w:val="single" w:sz="4" w:space="0" w:color="000000"/>
              <w:end w:val="single" w:sz="4" w:space="0" w:color="000000"/>
            </w:tcBorders>
          </w:tcPr>
          <w:p>
            <w:pPr>
              <w:pStyle w:val="Ballontekst1"/>
              <w:spacing w:before="0" w:after="240"/>
              <w:rPr>
                <w:rFonts w:ascii="Times New Roman" w:hAnsi="Times New Roman" w:cs="Times New Roman"/>
                <w:sz w:val="22"/>
                <w:szCs w:val="22"/>
              </w:rPr>
            </w:pPr>
            <w:r>
              <w:rPr>
                <w:rFonts w:cs="Times New Roman" w:ascii="Times New Roman" w:hAnsi="Times New Roman"/>
                <w:sz w:val="22"/>
                <w:szCs w:val="22"/>
              </w:rPr>
              <w:t>means fixed-line telephone apparatus;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lightGray"/>
                <w:lang w:val="en-GB"/>
              </w:rPr>
            </w:pPr>
            <w:r>
              <w:rPr>
                <w:szCs w:val="22"/>
                <w:lang w:val="en-GB"/>
              </w:rPr>
              <w:t>Hard IMAC</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lightGray"/>
                <w:lang w:val="en-GB"/>
              </w:rPr>
            </w:pPr>
            <w:r>
              <w:rPr>
                <w:szCs w:val="22"/>
                <w:lang w:val="en-GB"/>
              </w:rPr>
              <w:t xml:space="preserve">means an approved IMAC request received from EuroBank, which requires the PST Supplier to dispatch a technician to the affected Site or Authorised User’s location in order to perform such required IMAC (a Hard IMAC shall include the administrative initiation and execution of the Hard IMAC);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Hardware Specification Document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the specifications of hardware in the Procurement Catalogue;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Harmonisation Costs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has the meaning given in Attachment 5-J (</w:t>
            </w:r>
            <w:r>
              <w:rPr>
                <w:i/>
                <w:szCs w:val="22"/>
                <w:lang w:val="en-GB"/>
              </w:rPr>
              <w:t>Harmonisation Costs</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Harmonisation Lump Sum</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has the meaning given in Attachment 5-J (</w:t>
            </w:r>
            <w:r>
              <w:rPr>
                <w:i/>
                <w:szCs w:val="22"/>
                <w:lang w:val="en-GB"/>
              </w:rPr>
              <w:t>Harmonisation Costs</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High Availability (clusters)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with respect to Servers, any redundant pair of such devices for which automatic fail over, load balancing or clustering has been configured such that when one of the devices fails, Availability is provided by the other device with no loss of Availability to the Authorised User;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High Availability Server</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 xml:space="preserve">means a Server which is part of a cluster of Servers with the goal of providing an agreed high availability of the services that run on it;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High Impact Incident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means an Incident assessed as having a potentially high impact on EuroBank’s business operations according to the classification contained in Attachment 3-E (Priority Levels)</w:t>
            </w:r>
            <w:r>
              <w:rPr>
                <w:i/>
                <w:szCs w:val="22"/>
              </w:rPr>
            </w:r>
            <w:r>
              <w:rPr>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High Tariff Outbound Calls  Other</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Calls with a deviating tariff. (e.g. a Call to activate a pager);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HR Preparation Phase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Section 4 of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IMAC(s)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includes Installations, Moves, Adds, Changes, de-Installations, and cascades for Equipment, software and related Services at designated EuroBank Sites (IMACs include: Hard IMACs, Soft IMACs, and Project IMACs), as further detailed in Exhibit 3 (Service Levels)</w:t>
            </w:r>
            <w:r>
              <w:rPr>
                <w:i/>
                <w:iCs/>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Implied Unit Price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Section 4.1.3 of Exhibit 4 (</w:t>
            </w:r>
            <w:r>
              <w:rPr>
                <w:i/>
                <w:szCs w:val="22"/>
              </w:rPr>
              <w:t>Pricing and Financial Provisions</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Incident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an unplanned interruption to delivery of the Services (including infrastructure) or reduction in the quality of the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Incident Resolution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the agreed process for solving Incidents;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Incoming Supplier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color w:val="000000"/>
                <w:sz w:val="22"/>
                <w:szCs w:val="22"/>
              </w:rPr>
              <w:t xml:space="preserve">means a supplier or suppliers replacing the PST Supplier in the event of a termination or expiration of this MSA (in whole or in part);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Inflation Factor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4-G (</w:t>
            </w:r>
            <w:r>
              <w:rPr>
                <w:i/>
                <w:sz w:val="22"/>
                <w:szCs w:val="22"/>
              </w:rPr>
              <w:t>COLA</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Inflation Index</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2.2 of Attachment 4-G (</w:t>
            </w:r>
            <w:r>
              <w:rPr>
                <w:i/>
                <w:sz w:val="22"/>
                <w:szCs w:val="22"/>
              </w:rPr>
              <w:t>COLA</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Inflation Sensitivity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4-G (</w:t>
            </w:r>
            <w:r>
              <w:rPr>
                <w:i/>
                <w:sz w:val="22"/>
                <w:szCs w:val="22"/>
              </w:rPr>
              <w:t>COLA</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Infrastructure Strategy document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1.1, (6) of Exhibit 2.0 (</w:t>
            </w:r>
            <w:r>
              <w:rPr>
                <w:i/>
                <w:sz w:val="22"/>
                <w:szCs w:val="22"/>
              </w:rPr>
              <w:t>Statement of Work</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Infringing Part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10.7.3 of this MSA;</w:t>
            </w:r>
            <w:r>
              <w:rPr>
                <w:color w:val="000000"/>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EuroBank’s Auditors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9.11.1 of this MSA;</w:t>
            </w:r>
            <w:r>
              <w:rPr>
                <w:color w:val="000000"/>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 Claim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10.8 of this MSA;</w:t>
            </w:r>
            <w:r>
              <w:rPr>
                <w:color w:val="000000"/>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 Data</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information relating to EuroBank or any EuroBank Group member supplied to or obtained by the PST Supplier from EuroBank as part of the Services, as well as information derived from this information, including any such information as stored in or processed through Equipment or software;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 Facilities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color w:val="000000"/>
                <w:sz w:val="22"/>
                <w:szCs w:val="22"/>
              </w:rPr>
            </w:pPr>
            <w:r>
              <w:rPr>
                <w:color w:val="000000"/>
                <w:sz w:val="22"/>
                <w:szCs w:val="22"/>
              </w:rPr>
              <w:t xml:space="preserve">means the premises (together with furnishings and fixtures) of any member of the EuroBank Group;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 Group</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color w:val="000000"/>
                <w:sz w:val="22"/>
                <w:szCs w:val="22"/>
              </w:rPr>
              <w:t>means EuroBank and its Affiliates from time to time;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 Materials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color w:val="000000"/>
                <w:sz w:val="22"/>
                <w:szCs w:val="22"/>
              </w:rPr>
            </w:pPr>
            <w:r>
              <w:rPr>
                <w:color w:val="000000"/>
                <w:sz w:val="22"/>
                <w:szCs w:val="22"/>
              </w:rPr>
              <w:t xml:space="preserve">means Materials which are, from time to time, owned by EuroBank or any EuroBank Group member;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 Personnel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EuroBank Personeel V.O.F.;</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EuroBank-Requested Project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color w:val="000000"/>
                <w:sz w:val="22"/>
                <w:szCs w:val="22"/>
              </w:rPr>
            </w:pPr>
            <w:r>
              <w:rPr>
                <w:color w:val="000000"/>
                <w:sz w:val="22"/>
                <w:szCs w:val="22"/>
              </w:rPr>
              <w:t>is a Project which is not a Baseline Project and has the meaning given in Exhibit 9 (In-Flight Projects);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EuroBank Systems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systems (other than PST Supplier Systems) which are from time to time used by any EuroBank Group member to receive and use the Services or which are supported and maintained by the Services; </w:t>
            </w:r>
            <w:r>
              <w:rPr>
                <w:color w:val="000000"/>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Initial Evaluation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Attachment 3-F (</w:t>
            </w:r>
            <w:r>
              <w:rPr>
                <w:i/>
                <w:szCs w:val="22"/>
              </w:rPr>
              <w:t>Pain-Share Mechanism</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In Scope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the functions, activities and responsibilities falling within the scope of the Services, as defined in this MSA, in particular in the Statement(s) of Work;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In-Scope Country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Exhibit 7 (</w:t>
            </w:r>
            <w:r>
              <w:rPr>
                <w:i/>
                <w:sz w:val="22"/>
                <w:szCs w:val="22"/>
              </w:rPr>
              <w:t>Sites and Local Entities</w:t>
            </w:r>
            <w:r>
              <w:rPr>
                <w:sz w:val="22"/>
                <w:szCs w:val="22"/>
              </w:rPr>
              <w:t>);</w:t>
            </w:r>
            <w:r>
              <w:rPr>
                <w:color w:val="000000"/>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In-Scope Projects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all In-Scope EuroBank projects as described in Exhibit 30 (Transition &amp; Transformation) and detailed in Exhibit 9 (In-Flight Projects);</w:t>
            </w:r>
            <w:r>
              <w:rPr>
                <w:i/>
                <w:szCs w:val="22"/>
                <w:lang w:val="en-GB"/>
              </w:rPr>
            </w:r>
            <w:r>
              <w:rPr>
                <w:szCs w:val="22"/>
                <w:lang w:val="en-GB"/>
              </w:rPr>
            </w:r>
            <w:r>
              <w:rPr>
                <w:i/>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Installation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the agreed set-up activities regarding a system, an Application, user access credentials or a patch;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Insurance Policy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14.1.1 of this MSA;</w:t>
            </w:r>
            <w:r>
              <w:rPr>
                <w:color w:val="000000"/>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Intellectual Property Rights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color w:val="000000"/>
                <w:sz w:val="22"/>
                <w:szCs w:val="22"/>
              </w:rPr>
              <w:t>means patents, trade marks, service marks, logos, get</w:t>
              <w:noBreakHyphen/>
              <w:t>up, trade names, internet domain names, rights in designs, copyright (including rights in computer software) and moral rights, database rights, semi</w:t>
              <w:noBreakHyphen/>
              <w:t>conductor topography rights, utility models, rights in know</w:t>
              <w:noBreakHyphen/>
              <w:t>how and other intellectual property rights, in each case whether registered or unregistered and including applications for registration, and all rights or forms of protection having equivalent or similar effect anywhere in the world;</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Interconnect Devices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devices used to enable a portion of the network to connect with another portion of the Network, either in a dedicated or dialup mode (e.g. modems, bridges, routers, hubs, switches, gateways);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International Outbound Calls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fixed originated international calls;</w:t>
            </w:r>
            <w:r>
              <w:rPr>
                <w:color w:val="000000"/>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Internet Network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portion of the EuroBank’s WAN Network, consisting of Equipment, software, Transport Systems, Interconnect Devices, Wiring and Cabling are used to create, connect and transmit data, voice and video signals to the public Internet;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Irrecoverable Cost</w:t>
            </w:r>
          </w:p>
        </w:tc>
        <w:tc>
          <w:tcPr>
            <w:tcW w:w="6094" w:type="dxa"/>
            <w:tcBorders>
              <w:top w:val="single" w:sz="4" w:space="0" w:color="000000"/>
              <w:start w:val="single" w:sz="4" w:space="0" w:color="000000"/>
              <w:bottom w:val="single" w:sz="4" w:space="0" w:color="000000"/>
              <w:end w:val="single" w:sz="4" w:space="0" w:color="000000"/>
            </w:tcBorders>
          </w:tcPr>
          <w:p>
            <w:pPr>
              <w:pStyle w:val="FWOutL4"/>
              <w:numPr>
                <w:ilvl w:val="0"/>
                <w:numId w:val="0"/>
              </w:numPr>
              <w:tabs>
                <w:tab w:val="left" w:pos="360" w:leader="none"/>
                <w:tab w:val="left" w:pos="720" w:leader="none"/>
              </w:tabs>
              <w:ind w:hanging="720" w:start="720" w:end="0"/>
              <w:rPr>
                <w:szCs w:val="22"/>
              </w:rPr>
            </w:pPr>
            <w:r>
              <w:rPr>
                <w:szCs w:val="22"/>
              </w:rPr>
              <w:t>means:</w:t>
            </w:r>
          </w:p>
          <w:p>
            <w:pPr>
              <w:pStyle w:val="FWOutL4"/>
              <w:numPr>
                <w:ilvl w:val="0"/>
                <w:numId w:val="0"/>
              </w:numPr>
              <w:tabs>
                <w:tab w:val="left" w:pos="0" w:leader="none"/>
                <w:tab w:val="left" w:pos="360" w:leader="none"/>
              </w:tabs>
              <w:ind w:hanging="0" w:start="0"/>
              <w:rPr>
                <w:szCs w:val="22"/>
              </w:rPr>
            </w:pPr>
            <w:r>
              <w:rPr>
                <w:szCs w:val="22"/>
              </w:rPr>
              <w:t>a) the balance of Harmonisation Costs that would have been payable (but for the termination of this MSA) by EuroBank in respect of Affected Employees which remain employed by the PST Supplier over the remainder of the 3 year period over which EuroBank is obliged under this MSA to pay such costs; and</w:t>
            </w:r>
          </w:p>
          <w:p>
            <w:pPr>
              <w:pStyle w:val="FWBL3"/>
              <w:numPr>
                <w:ilvl w:val="0"/>
                <w:numId w:val="0"/>
              </w:numPr>
              <w:ind w:hanging="0" w:start="0"/>
              <w:rPr>
                <w:sz w:val="22"/>
                <w:szCs w:val="22"/>
              </w:rPr>
            </w:pPr>
            <w:r>
              <w:rPr>
                <w:sz w:val="22"/>
                <w:szCs w:val="22"/>
              </w:rPr>
              <w:t>(b) the unamortised or unrecovered portion of any investments, costs or charges in respect of any hardware, software or third-party services primarily dedicated to providing the Services, which have been reasonably made, incurred or assumed by the PST Supplier in good faith in the reasonable expectation of providing the Services in accordance with this MSA (including obligations under unexpired leases, licences or other agreements for hardware, software, third-party services or sub-contracts), which remains unamortised or unrecovered in the event of termination of this MSA, subject to:</w:t>
            </w:r>
          </w:p>
          <w:p>
            <w:pPr>
              <w:pStyle w:val="FWBL3"/>
              <w:numPr>
                <w:ilvl w:val="2"/>
                <w:numId w:val="7"/>
              </w:numPr>
              <w:tabs>
                <w:tab w:val="clear" w:pos="720"/>
                <w:tab w:val="left" w:pos="946" w:leader="none"/>
              </w:tabs>
              <w:ind w:hanging="360" w:start="946" w:end="0"/>
              <w:rPr>
                <w:sz w:val="22"/>
                <w:szCs w:val="22"/>
              </w:rPr>
            </w:pPr>
            <w:r>
              <w:rPr>
                <w:sz w:val="22"/>
                <w:szCs w:val="22"/>
              </w:rPr>
              <w:t xml:space="preserve">discounting any future investments, costs and charges to net present value at the time of payment, </w:t>
            </w:r>
          </w:p>
          <w:p>
            <w:pPr>
              <w:pStyle w:val="FWBL3"/>
              <w:numPr>
                <w:ilvl w:val="2"/>
                <w:numId w:val="7"/>
              </w:numPr>
              <w:tabs>
                <w:tab w:val="clear" w:pos="720"/>
                <w:tab w:val="left" w:pos="946" w:leader="none"/>
              </w:tabs>
              <w:ind w:hanging="360" w:start="946" w:end="0"/>
              <w:rPr>
                <w:sz w:val="22"/>
                <w:szCs w:val="22"/>
              </w:rPr>
            </w:pPr>
            <w:r>
              <w:rPr>
                <w:sz w:val="22"/>
                <w:szCs w:val="22"/>
              </w:rPr>
              <w:t>a fair and equitable apportionment of investments, costs and charges to the extent the hardware, software or services are used or have been used for other purposes; and</w:t>
            </w:r>
          </w:p>
          <w:p>
            <w:pPr>
              <w:pStyle w:val="a"/>
              <w:spacing w:before="0" w:after="240"/>
              <w:ind w:hanging="540" w:start="946" w:end="0"/>
              <w:jc w:val="start"/>
              <w:rPr>
                <w:sz w:val="22"/>
                <w:szCs w:val="22"/>
              </w:rPr>
            </w:pPr>
            <w:r>
              <w:rPr>
                <w:sz w:val="22"/>
                <w:szCs w:val="22"/>
              </w:rPr>
              <w:t>iii.      the PST Supplier having exercised all reasonable means of mitigating the costs, including using reasonable endeavours to redeploy hardware, software or third party services or, where available, exercising rights of early termination or cost reduction under the relevant agreements;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ITIL Standards</w:t>
            </w:r>
          </w:p>
        </w:tc>
        <w:tc>
          <w:tcPr>
            <w:tcW w:w="6094" w:type="dxa"/>
            <w:tcBorders>
              <w:top w:val="single" w:sz="4" w:space="0" w:color="000000"/>
              <w:start w:val="single" w:sz="4" w:space="0" w:color="000000"/>
              <w:bottom w:val="single" w:sz="4" w:space="0" w:color="000000"/>
              <w:end w:val="single" w:sz="4" w:space="0" w:color="000000"/>
            </w:tcBorders>
          </w:tcPr>
          <w:p>
            <w:pPr>
              <w:pStyle w:val="FWOutL4"/>
              <w:numPr>
                <w:ilvl w:val="0"/>
                <w:numId w:val="0"/>
              </w:numPr>
              <w:tabs>
                <w:tab w:val="left" w:pos="0" w:leader="none"/>
                <w:tab w:val="left" w:pos="360" w:leader="none"/>
              </w:tabs>
              <w:spacing w:before="0" w:after="240"/>
              <w:ind w:hanging="0" w:start="0"/>
              <w:rPr>
                <w:szCs w:val="22"/>
              </w:rPr>
            </w:pPr>
            <w:r>
              <w:rPr>
                <w:szCs w:val="22"/>
              </w:rPr>
              <w:t>means the information technology infrastructure library standards (including the best practices glossaries) published and maintained by the United Kingdom Office of Government Commerce or such organisation as may succeed it from time to time;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Key Deliverables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key Deliverables identified and defined in Attachments 30-A (</w:t>
            </w:r>
            <w:r>
              <w:rPr>
                <w:i/>
                <w:sz w:val="22"/>
                <w:szCs w:val="22"/>
              </w:rPr>
              <w:t>Transition Plan</w:t>
            </w:r>
            <w:r>
              <w:rPr>
                <w:sz w:val="22"/>
                <w:szCs w:val="22"/>
              </w:rPr>
              <w:t>) and 30-B (</w:t>
            </w:r>
            <w:r>
              <w:rPr>
                <w:i/>
                <w:sz w:val="22"/>
                <w:szCs w:val="22"/>
              </w:rPr>
              <w:t>Transformation Plan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Key Measurement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color w:val="000000"/>
                <w:sz w:val="22"/>
                <w:szCs w:val="22"/>
              </w:rPr>
            </w:pPr>
            <w:r>
              <w:rPr>
                <w:sz w:val="22"/>
                <w:szCs w:val="22"/>
              </w:rPr>
              <w:t>means the Service Levels described as such in Attachment 3-B (</w:t>
            </w:r>
            <w:r>
              <w:rPr>
                <w:i/>
                <w:iCs/>
                <w:sz w:val="22"/>
                <w:szCs w:val="22"/>
              </w:rPr>
              <w:t>Critical Service Levels and Key Measurements</w:t>
            </w:r>
            <w:r>
              <w:rPr>
                <w:sz w:val="22"/>
                <w:szCs w:val="22"/>
              </w:rPr>
              <w:t>) for which no Service Credit is payable;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Key Milestones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the key Milestones identified and defined in Attachments 30-A (</w:t>
            </w:r>
            <w:r>
              <w:rPr>
                <w:i/>
                <w:szCs w:val="22"/>
              </w:rPr>
              <w:t>Transition Plan</w:t>
            </w:r>
            <w:r>
              <w:rPr>
                <w:szCs w:val="22"/>
              </w:rPr>
              <w:t>) and 30-B (</w:t>
            </w:r>
            <w:r>
              <w:rPr>
                <w:i/>
                <w:szCs w:val="22"/>
              </w:rPr>
              <w:t>Transformation Plan</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Key PST Personnel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means the individuals listed in Attachment D to Exhibit 5 (</w:t>
            </w:r>
            <w:r>
              <w:rPr>
                <w:i/>
                <w:iCs/>
                <w:szCs w:val="22"/>
              </w:rPr>
              <w:t>Human Resources Provisions</w:t>
            </w:r>
            <w:r>
              <w:rPr>
                <w:szCs w:val="22"/>
              </w:rPr>
              <w:t>);</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Knowledge Transfer</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Exhibit 30 (</w:t>
            </w:r>
            <w:r>
              <w:rPr>
                <w:i/>
                <w:szCs w:val="22"/>
              </w:rPr>
              <w:t>Transition &amp; Transformation</w:t>
            </w:r>
            <w:r>
              <w:rPr>
                <w:szCs w:val="22"/>
              </w:rPr>
              <w:t>) and its Attachments (also referred to as “</w:t>
            </w:r>
            <w:r>
              <w:rPr>
                <w:b/>
                <w:i/>
                <w:szCs w:val="22"/>
              </w:rPr>
              <w:t>KT</w:t>
            </w:r>
            <w:r>
              <w:rPr>
                <w:b/>
                <w:szCs w:val="22"/>
              </w:rPr>
              <w:t>”</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LAN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 local, high-speed Network, consisting of LAN Equipment, software, Transport Systems, Interconnect Devices, Wiring and Cabling are used to create, connect and transmit data, voice and video signals to, within or among EuroBank's local area network segments (LANs are typically confined within limited geographic areas (such as a single building or group of buildings) and offer relatively high data rates, usually above 10 /100 MBPS. LANs typically interconnect End User PCs, local servers, and printers and may connect with WANs.);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LAN-attached devices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any device which connects to a LAN;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LAN Equipment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Equipment and associated attachments, features, accessories, peripherals and Cabling supported or used by PST Supplier in connection with its provision of LAN Services to the Authorised Users, (e.g. bridges, intelligent and non intelligent hubs, switches, gateways, remote access devices, intra-building wiring and associated diagnostic equipment), and all additions, modifications, substitutions, upgrades or enhancements to such Equipment;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LAN Systems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all LAN Equipment and associated Software supported or used by PST Supplier in connection with its provision of LAN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LATA</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the Local Asset Transfer Agreement of today’s date between EuroBank België NV and TelCo Telecom B.V.;</w:t>
            </w:r>
            <w:r>
              <w:rPr>
                <w:bCs/>
                <w:szCs w:val="22"/>
              </w:rPr>
            </w:r>
            <w:r>
              <w:rPr>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Level 1 Support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support that is provided as the entry point for inquiries or problem reports from Authorised Users (if Level 1 personnel cannot resolve the inquiry or problem, the inquiry or problem is directed to the appropriate Level 2 personnel or third party for resolution.);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Level 2 Support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support that serves as a consolidation point for inquiries and problems between Level 1 and Level 3 (For example, Level 2 support might exist in a computer operations or a distribution/mail out centre.  If Level 2 personnel cannot resolve the inquiry or problem, the inquiry or problem is directed to the appropriate Level 3 personnel or third party for resolution.);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Level 3 Support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support provided by the personnel or third party that is most knowledgeable about the underlying problem or question and is utilised when efforts to resolve the problem or question by Level 1 and Level 2 Support have failed or are bypassed. Inquiries or problems are usually reported by Level 1 or Level 2 support personnel, but may be initiated directly by Authorised Users or the PST Supplier;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License Inventory Date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the Commencement Date plus 6 months;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yellow"/>
                <w:lang w:val="en-GB"/>
              </w:rPr>
            </w:pPr>
            <w:r>
              <w:rPr>
                <w:szCs w:val="22"/>
                <w:lang w:val="en-GB"/>
              </w:rPr>
              <w:t>Like for Like Factors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yellow"/>
              </w:rPr>
            </w:pPr>
            <w:r>
              <w:rPr>
                <w:szCs w:val="22"/>
              </w:rPr>
              <w:t>has the meaning given in paragraph 3 of Exhibit 34 (</w:t>
            </w:r>
            <w:r>
              <w:rPr>
                <w:i/>
                <w:iCs/>
                <w:szCs w:val="22"/>
              </w:rPr>
              <w:t>Price Adjustment and Benchmarking</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lightGray"/>
                <w:lang w:val="en-GB"/>
              </w:rPr>
            </w:pPr>
            <w:r>
              <w:rPr>
                <w:szCs w:val="22"/>
                <w:lang w:val="en-GB"/>
              </w:rPr>
              <w:t xml:space="preserve">Local Billing </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lightGray"/>
                <w:lang w:val="en-GB"/>
              </w:rPr>
            </w:pPr>
            <w:r>
              <w:rPr>
                <w:szCs w:val="22"/>
                <w:lang w:val="en-GB"/>
              </w:rPr>
              <w:t>PST will invoice separate affiliates of EuroBank in accordance with the agreement on this issue in Exhibit 4 (Pricing and Financial Provisions).</w:t>
            </w:r>
            <w:r>
              <w:rPr>
                <w:szCs w:val="22"/>
              </w:rPr>
            </w:r>
            <w:r>
              <w:rPr>
                <w:i/>
                <w:iCs/>
                <w:szCs w:val="22"/>
              </w:rPr>
            </w:r>
            <w:r>
              <w:rPr>
                <w:szCs w:val="22"/>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Local Entity</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an EuroBank Group entity listed in Exhibit 7 (Sites &amp; Local Entities);</w:t>
            </w:r>
            <w:r>
              <w:rPr>
                <w:i/>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Local Transfer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the relevant LATA;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Logical Security</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controlling access to information, software and data by utilizing Operating Software parameters and applications level security controls (Logical Security includes logical separation of processors and disk and segregation of reusable storage media.);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Long Range IT Plan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long-range, comprehensive plan for EuroBank’s information technology systems, processes, technical architecture and standards as more fully described in Exhibit 2.7 (2IM Services &amp; Governance);</w:t>
            </w:r>
            <w:r>
              <w:rPr>
                <w:i/>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LSA</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 agreement for the provision of Services, based on the terms of this MSA but adapted to mandatory local legal and operational requirements  in accordance with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Mainframe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 Server that utilizes the MVS, VM, or TPF Operating Software;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Managed Countries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those countries in which EuroBank has facilities that receive IT services managed from either Belgium or The Netherlands and that are identified in the “Countries” tab in Exhibit 7 (Sites &amp; Local Entities)</w:t>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Mandatory Projects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5 of Exhibit 30 (</w:t>
            </w:r>
            <w:r>
              <w:rPr>
                <w:i/>
                <w:sz w:val="22"/>
                <w:szCs w:val="22"/>
              </w:rPr>
              <w:t>Transition &amp;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MATA</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Master Asset Transfer Agreement of today’s date between EuroBank N.V., EuroBank België NV and TelCo Telecom B.V., including its Exhibits;</w:t>
            </w:r>
            <w:r>
              <w:rPr>
                <w:bCs/>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Materials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documents, manuals, software, Equipment, Servers, Infrastructure, databases, programming tools, methodologies, reports, designs, drawings, trade secrets and trade marks, machine-readable text and files and all other documentation materials and information;</w:t>
            </w:r>
            <w:r>
              <w:rPr>
                <w:color w:val="000000"/>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bCs/>
                <w:szCs w:val="22"/>
                <w:lang w:val="en-GB"/>
              </w:rPr>
              <w:t>Measurement Window</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time during, or frequency by, which a Service Level shall be measured (the Measurement Window will exclude agreed scheduled maintenance.);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rPr>
              <w:t>Memorandum of Understanding</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the memorandum of understanding entered into by the parties, the 2IM and the Other PST Suppliers on 3</w:t>
            </w:r>
            <w:r>
              <w:rPr>
                <w:szCs w:val="22"/>
                <w:vertAlign w:val="superscript"/>
              </w:rPr>
              <w:t>rd</w:t>
            </w:r>
            <w:r>
              <w:rPr>
                <w:szCs w:val="22"/>
              </w:rPr>
              <w:t xml:space="preserve"> July 2006 concerning the outsourcing of the SWS Function (also referred to as the </w:t>
            </w:r>
            <w:r>
              <w:rPr>
                <w:b/>
                <w:bCs/>
                <w:i/>
                <w:iCs/>
                <w:szCs w:val="22"/>
              </w:rPr>
              <w:t>MOU</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bCs/>
                <w:szCs w:val="22"/>
                <w:lang w:val="en-GB"/>
              </w:rPr>
              <w:t>Meta Directory</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Section 7 of Exhibit 30 (</w:t>
            </w:r>
            <w:r>
              <w:rPr>
                <w:i/>
                <w:szCs w:val="22"/>
              </w:rPr>
              <w:t>Transition &amp; Transformation</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bCs/>
                <w:szCs w:val="22"/>
                <w:lang w:val="en-GB"/>
              </w:rPr>
              <w:t>MFP</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multi-functional printer;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bCs/>
                <w:szCs w:val="22"/>
                <w:lang w:val="en-GB"/>
              </w:rPr>
              <w:t>Milestone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date specified in the Transition Plan or the Transformation Plan (and/or the Detailed T&amp;T Plan) for the completion of a task or activity or the delivery of a Deliverable, including the Key Milestones and the date for delivery of the Key Deliverables;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rPr>
              <w:t>Mincer Data</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has the meaning given in paragraph 1.2 of Exhibit 34 (</w:t>
            </w:r>
            <w:r>
              <w:rPr>
                <w:i/>
                <w:iCs/>
                <w:szCs w:val="22"/>
                <w:lang w:val="en-GB"/>
              </w:rPr>
              <w:t>Price Adjustment and Benchmarking</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rPr>
              <w:t>Mincer Procedure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procedure set out in paragraph 1 of Exhibit 34 (</w:t>
            </w:r>
            <w:r>
              <w:rPr>
                <w:i/>
                <w:iCs/>
                <w:szCs w:val="22"/>
                <w:lang w:val="en-GB"/>
              </w:rPr>
              <w:t>Price Adjustment and Benchmarking</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rPr>
              <w:t>Mincer Report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reports prepared by the 2IM in connection with the Mincer Procedure, as described in paragraph 1.2(b) of Exhibit 34 (</w:t>
            </w:r>
            <w:r>
              <w:rPr>
                <w:i/>
                <w:iCs/>
                <w:szCs w:val="22"/>
                <w:lang w:val="en-GB"/>
              </w:rPr>
              <w:t>Price Adjustment and Benchmarking</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rPr>
              <w:t>Mincer Standard</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for the purposes of paragraph 2 of Exhibit 34 (</w:t>
            </w:r>
            <w:r>
              <w:rPr>
                <w:i/>
                <w:iCs/>
                <w:szCs w:val="22"/>
                <w:lang w:val="en-GB"/>
              </w:rPr>
              <w:t>Price Adjustment and Benchmarking</w:t>
            </w:r>
            <w:r>
              <w:rPr>
                <w:szCs w:val="22"/>
                <w:lang w:val="en-GB"/>
              </w:rPr>
              <w:t>), that the Charges, Service Levels and other terms of service for the Bundle and/or Commodity Elements are at most 5% less favourable than the best charges, service levels and other terms of service for the Comparison Sample, considering the Like for Like Factors;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rPr>
              <w:t>Minimum Service Level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the minimum level of performance set out in Attachment 3-A (</w:t>
            </w:r>
            <w:r>
              <w:rPr>
                <w:i/>
                <w:iCs/>
                <w:szCs w:val="22"/>
              </w:rPr>
              <w:t>Service Levels Matrix</w:t>
            </w:r>
            <w:r>
              <w:rPr>
                <w:szCs w:val="22"/>
              </w:rPr>
              <w:t>) with respect to each Critical Service Level and Key Measurement;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bCs/>
                <w:szCs w:val="22"/>
                <w:lang w:val="en-GB"/>
              </w:rPr>
              <w:t>Minimum Service Level Default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that the PST Supplier's level of performance for a particular Critical Service Level fails to meet the applicable Minimum Service Level;</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Mobile Data Communications Equipment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Equipment and associated attachments, features, accessories, peripherals and Cabling supported or used by the PST Supplier in connection with its provision of mobile data communications Services to the Authorised Users  (e.g. wireless modems, wireless access points (WAPs), mobile data terminals, or other devices that may be mounted in vehicles either permanently or detachable for portability used to deliver Services on Mobile Data Communications Network, and associated diagnostic equipment), and all additions, modifications, substitutions, upgrades or enhancements to such Equipment;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Mobile Data Communications Network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wireless portion of EuroBank’s Network consisting of Mobile Data Communications Equipment, software, Transport Systems, Interconnect Devices, Wiring and Cabling used to create, connect and transmit data to and from Mobile Data Communications Equipment via mobile IP network roaming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Mobile Data Communications System</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Mobile Data Communications Equipment and associated Software supported or used by the PST Supplier in connection with its provision of Mobile Data Communications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u w:val="single"/>
                <w:lang w:val="en-GB"/>
              </w:rPr>
            </w:pPr>
            <w:r>
              <w:rPr>
                <w:szCs w:val="22"/>
              </w:rPr>
              <w:t>Mobile - international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u w:val="single"/>
                <w:lang w:val="en-GB"/>
              </w:rPr>
            </w:pPr>
            <w:r>
              <w:rPr>
                <w:szCs w:val="22"/>
              </w:rPr>
              <w:t>means mobile-originated (MO) international calls;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u w:val="single"/>
                <w:lang w:val="en-GB"/>
              </w:rPr>
            </w:pPr>
            <w:r>
              <w:rPr>
                <w:szCs w:val="22"/>
              </w:rPr>
              <w:t>Mobile - national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u w:val="single"/>
                <w:lang w:val="en-GB"/>
              </w:rPr>
            </w:pPr>
            <w:r>
              <w:rPr>
                <w:szCs w:val="22"/>
              </w:rPr>
              <w:t>means mobile-originated (MO) national calls;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Mobile - roaming inbound</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the ability for customers of foreign country Carriers to roam in the Authorised User’s home country (where the foreign Carrier has an inbound roaming agreement with the local operator(s)), so enabling the “roamer” to receive calls outside his/her home network;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Mobile - roaming outbound</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the ability for an Authorised User, when traveling outside the geographical coverage area of his/her home network, to roam networks of foreign Carriers with whom his/her home network has an outbound roaming agreement to automatically make (outbound) and receive (inbound) voice calls, send and receive data, or access other mobile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Mobile Seat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Attachment 4-J (</w:t>
            </w:r>
            <w:r>
              <w:rPr>
                <w:i/>
                <w:szCs w:val="22"/>
              </w:rPr>
              <w:t>Seat Pricing Mechanism</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Mobile Short Messaging Equipment (MSM Equipment)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Equipment and associated attachments, features, accessories, peripherals and Cabling supported or used by the PST Supplier in connection with its provision of Mobile Short Messaging Services to the Authorised Users (e.g. pagers, paging transmitters, PDAs (Palm Pilot, Blackberry) and associated diagnostic equipment) and all additions, modifications, substitutions, upgrades or enhancements to such Equipment;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Mobile Short Messaging Network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portion of the Network consisting of Mobile Short Messaging Equipment, Software, Transport Systems, Interconnect Devices, and Cabling used to create, connect and transmit data to Authorised Users;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Mobile Telecommunications Services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services that provide and support telecommunications by means of mobile devices;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MOM</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Microsoft Operation Monitoring;</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Move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the physical movement of Equipment within a location or moving this Equipment to another location as further described in Exhibit 2.5;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MSA</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this agreement, including its Exhibits and Attachments;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MSP</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the organisational unit within EuroBank known as “Management of Service Provision”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Named Locations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a subset of EuroBank’s Sites to which specific Services will be delivered under the MSA (examples of such Named Locations being Dealing Rooms, EuroBank House);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bCs/>
                <w:szCs w:val="22"/>
                <w:lang w:val="en-GB"/>
              </w:rPr>
            </w:pPr>
            <w:r>
              <w:rPr>
                <w:szCs w:val="22"/>
                <w:lang w:val="en-GB"/>
              </w:rPr>
              <w:t>Network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means collectively, EuroBank’s transport Services, WAN, LAN, Standard Voice Network, trader voice Network, Conferencing Network, Mobile Data Communications Network, Mobile Short Messaging Network, and two-way radio Network (individually “a Network;” for example, “WAN” or “Standard Voice Network,” and collectively, “the Network” or “Network”);</w:t>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 xml:space="preserve">Network Attached Storage (or </w:t>
            </w:r>
            <w:r>
              <w:rPr>
                <w:b/>
                <w:szCs w:val="22"/>
              </w:rPr>
              <w:t>NAS</w:t>
            </w:r>
            <w:r>
              <w:rPr>
                <w:szCs w:val="22"/>
              </w:rPr>
              <w:t>)</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centralised high-availability storage connected directly to the Network and located in one of the EuroBank DCO data centres in the Netherlands and Belgium;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Network Topology</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arrangement in which the nodes or interfaces to the Network are connected;</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Neutral Cantonal Court Formula</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per relevant Affected Employee: A x B x C, whereby:</w:t>
            </w:r>
          </w:p>
          <w:p>
            <w:pPr>
              <w:pStyle w:val="TableText"/>
              <w:spacing w:before="0" w:after="240"/>
              <w:rPr>
                <w:szCs w:val="22"/>
                <w:lang w:val="en-GB"/>
              </w:rPr>
            </w:pPr>
            <w:r>
              <w:rPr>
                <w:szCs w:val="22"/>
                <w:lang w:val="en-GB"/>
              </w:rPr>
              <w:t>A =  number of full years of service, rounding up a partial year. Years of service up to the age of 40 count as one year each. Years of service from the age of 40 up to the age of 50 count as 1 ½ years each. Years of service from the age 50 count as 2 years each.</w:t>
            </w:r>
          </w:p>
          <w:p>
            <w:pPr>
              <w:pStyle w:val="TableText"/>
              <w:spacing w:before="0" w:after="240"/>
              <w:rPr>
                <w:szCs w:val="22"/>
                <w:lang w:val="en-GB"/>
              </w:rPr>
            </w:pPr>
            <w:r>
              <w:rPr>
                <w:szCs w:val="22"/>
                <w:lang w:val="en-GB"/>
              </w:rPr>
              <w:t>B</w:t>
              <w:tab/>
              <w:t>= 1/12 of the Income;</w:t>
            </w:r>
          </w:p>
          <w:p>
            <w:pPr>
              <w:pStyle w:val="TableText"/>
              <w:spacing w:before="0" w:after="240"/>
              <w:rPr>
                <w:szCs w:val="22"/>
                <w:lang w:val="en-GB"/>
              </w:rPr>
            </w:pPr>
            <w:r>
              <w:rPr>
                <w:szCs w:val="22"/>
                <w:lang w:val="en-GB"/>
              </w:rPr>
              <w:t>C</w:t>
              <w:tab/>
              <w:t>= 1</w:t>
            </w:r>
          </w:p>
          <w:p>
            <w:pPr>
              <w:pStyle w:val="TableText"/>
              <w:spacing w:before="0" w:after="240"/>
              <w:rPr>
                <w:szCs w:val="22"/>
                <w:lang w:val="en-GB"/>
              </w:rPr>
            </w:pPr>
            <w:r>
              <w:rPr>
                <w:szCs w:val="22"/>
                <w:lang w:val="en-GB"/>
              </w:rPr>
              <w:t>Income=</w:t>
            </w:r>
          </w:p>
          <w:p>
            <w:pPr>
              <w:pStyle w:val="TableText"/>
              <w:spacing w:before="0" w:after="240"/>
              <w:rPr>
                <w:szCs w:val="22"/>
                <w:lang w:val="en-GB"/>
              </w:rPr>
            </w:pPr>
            <w:r>
              <w:rPr>
                <w:szCs w:val="22"/>
                <w:lang w:val="en-GB"/>
              </w:rPr>
              <w:t>The sum of 12 times the gross monthly salary, the personal allowance granted to the employee from the Commencement Date to compensate for the difference in employment conditions between the EuroBank and the relevant PST Member  Supplier, the gross holiday allowance and – if applicable - gross shift allowance, as well as the incapacity allowance, if the employee is entitled to it on the date of the ending of the employment relationship;</w:t>
            </w:r>
          </w:p>
          <w:p>
            <w:pPr>
              <w:pStyle w:val="TableText"/>
              <w:spacing w:before="0" w:after="240"/>
              <w:rPr>
                <w:szCs w:val="22"/>
                <w:lang w:val="en-GB"/>
              </w:rPr>
            </w:pPr>
            <w:r>
              <w:rPr>
                <w:szCs w:val="22"/>
                <w:lang w:val="en-GB"/>
              </w:rPr>
              <w:t>The average of any commission income received during the last three calendar years prior to the period six months before a change of position, when the new position does not offer any commission remuneration, or six months prior to the date of ending of the employment relationship;</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New Country</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has the meaning given in clause 1.5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New Country Effective Date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has the meaning given in clause 1.5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New Country Notice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has the meaning given in clause 1.5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New Country Proposal</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has the meaning given in clause 1.5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New Services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2 of Exhibit 23 (</w:t>
            </w:r>
            <w:r>
              <w:rPr>
                <w:i/>
                <w:sz w:val="22"/>
                <w:szCs w:val="22"/>
              </w:rPr>
              <w:t>New Services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Nine Month Measurement Period</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means a period of 9 consecutive months immediately preceding the month in which EuroBank provided written notice to the PST Supplier for the purposes of setting Expected Service Levels and Minimum Service Levels in accordance with  Exhibit 3 (Service Levels);</w:t>
            </w:r>
            <w:r>
              <w:rPr>
                <w:i/>
                <w:iCs/>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Non-Compliant Claim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19.9.4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Non-Mandatory (Value add) Projects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5 of Exhibit 30 (</w:t>
            </w:r>
            <w:r>
              <w:rPr>
                <w:i/>
                <w:sz w:val="22"/>
                <w:szCs w:val="22"/>
              </w:rPr>
              <w:t>Transition &amp;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OLA</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 operational level agreement between the PST Supplier and the 2IM, EuroBank or an Other PST Supplier, as described in clause 1.4.4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One Time Charges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Exhibit 4 (</w:t>
            </w:r>
            <w:r>
              <w:rPr>
                <w:i/>
                <w:iCs/>
                <w:sz w:val="22"/>
                <w:szCs w:val="22"/>
              </w:rPr>
              <w:t>Pricing and Financial Provisions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Operating Software (Operating System)</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the software control program in a CPU that provides the interface to the CPU and its associated Hardware, and the usage and allocation of memory resources, processor resources, input/output resources, and security resources;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Optional Services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Attachment 4-J (</w:t>
            </w:r>
            <w:r>
              <w:rPr>
                <w:i/>
                <w:sz w:val="22"/>
                <w:szCs w:val="22"/>
              </w:rPr>
              <w:t>Seat Pricing Mechanism</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Optioned Hardware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10.1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Other Peripherals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peripherals, described as add-on to the Standard Desktop / Standard Laptop as  described in the Hardware Specification Document;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Other PST Supplier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 supplier other than the PST Supplier which is, from time to time, responsible for delivery of a part of the SWS Function;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lightGray"/>
                <w:lang w:val="en-GB"/>
              </w:rPr>
            </w:pPr>
            <w:r>
              <w:rPr>
                <w:szCs w:val="22"/>
                <w:lang w:val="en-GB"/>
              </w:rPr>
              <w:t>Out-of-Pocket Expenses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highlight w:val="yellow"/>
                <w:lang w:val="en-GB"/>
              </w:rPr>
            </w:pPr>
            <w:r>
              <w:rPr>
                <w:szCs w:val="22"/>
                <w:lang w:val="en-GB"/>
              </w:rPr>
              <w:t xml:space="preserve">means reasonable and actual out-of-pocket expenses incurred by the PST Supplier for Equipment, materials, supplies or other Services provided to EuroBank, but not including the PST Supplier's overhead costs, administrative expenses or other mark-ups;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Outsourcing Regulations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color w:val="000000"/>
                <w:sz w:val="22"/>
                <w:szCs w:val="22"/>
                <w:lang w:val="en-US"/>
              </w:rPr>
              <w:t>means regulations, policy rules, binding interpretations and recommendations (including amendments thereto) issued by any Regulator, which apply to or may become relevant for any member of EuroBank Group and/or any EuroBank Group member in connection with the outsourcing of the Services pursuant to this MSA (together with any amendments thereto from time to time and including any legislation on which such regulations, policy rules, interpretations and recommendations are based, or in which such regulations, policy rules, interpretations and recommendations may be included or incorporated);</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Package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color w:val="000000"/>
                <w:sz w:val="22"/>
                <w:szCs w:val="22"/>
                <w:lang w:val="en-US"/>
              </w:rPr>
              <w:t>means a software installation package as defined in Section 2 of Exhibit 2.1 (</w:t>
            </w:r>
            <w:r>
              <w:rPr>
                <w:i/>
                <w:color w:val="000000"/>
                <w:sz w:val="22"/>
                <w:szCs w:val="22"/>
                <w:lang w:val="en-US"/>
              </w:rPr>
              <w:t>End User Computing</w:t>
            </w:r>
            <w:r>
              <w:rPr>
                <w:color w:val="000000"/>
                <w:sz w:val="22"/>
                <w:szCs w:val="22"/>
                <w:lang w:val="en-US"/>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Pass Through Elements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components of the Services to which Pass Through Expenses are applicable;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Pass Through Expenses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those costs identified as such in Exhibit 4 (</w:t>
            </w:r>
            <w:r>
              <w:rPr>
                <w:i/>
                <w:iCs/>
                <w:sz w:val="22"/>
                <w:szCs w:val="22"/>
              </w:rPr>
              <w:t>Pricing and Financial Provisions</w:t>
            </w:r>
            <w:r>
              <w:rPr>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PBX Release Policy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7 of Exhibit 30 (</w:t>
            </w:r>
            <w:r>
              <w:rPr>
                <w:i/>
                <w:sz w:val="22"/>
                <w:szCs w:val="22"/>
              </w:rPr>
              <w:t>Transition &amp;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highlight w:val="yellow"/>
              </w:rPr>
            </w:pPr>
            <w:r>
              <w:rPr>
                <w:sz w:val="22"/>
                <w:szCs w:val="22"/>
              </w:rPr>
              <w:t>Pedestal Servers</w:t>
            </w:r>
          </w:p>
        </w:tc>
        <w:tc>
          <w:tcPr>
            <w:tcW w:w="6094" w:type="dxa"/>
            <w:tcBorders>
              <w:top w:val="single" w:sz="4" w:space="0" w:color="000000"/>
              <w:start w:val="single" w:sz="4" w:space="0" w:color="000000"/>
              <w:bottom w:val="single" w:sz="4" w:space="0" w:color="000000"/>
              <w:end w:val="single" w:sz="4" w:space="0" w:color="000000"/>
            </w:tcBorders>
          </w:tcPr>
          <w:p>
            <w:pPr>
              <w:pStyle w:val="Ballontekst1"/>
              <w:spacing w:before="0" w:after="240"/>
              <w:rPr>
                <w:rFonts w:ascii="Times New Roman" w:hAnsi="Times New Roman" w:cs="Times New Roman"/>
                <w:sz w:val="22"/>
                <w:szCs w:val="22"/>
              </w:rPr>
            </w:pPr>
            <w:r>
              <w:rPr>
                <w:rFonts w:cs="Times New Roman" w:ascii="Times New Roman" w:hAnsi="Times New Roman"/>
                <w:sz w:val="22"/>
                <w:szCs w:val="22"/>
              </w:rPr>
              <w:t>means a Server which is not located in a rack but located directly on the floor or a table of a computer room, sometimes controlled by a shared monitor, keyboard, mouse and a separate shared KVS (Keyboard, Mouse Video switch) switch;</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Performance Category</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a grouping of Critical Service Levels as set forth in Attachment 3-A (</w:t>
            </w:r>
            <w:r>
              <w:rPr>
                <w:i/>
                <w:szCs w:val="22"/>
                <w:lang w:val="en-GB"/>
              </w:rPr>
              <w:t>Service Levels Matrix</w:t>
            </w:r>
            <w:r>
              <w:rPr>
                <w:szCs w:val="22"/>
                <w:lang w:val="en-GB"/>
              </w:rPr>
              <w:t>)(Critical Deliverables do not constitute a Performance Category);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Performance Credit(s)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an amount of payment withheld from payment to the PST Supplier as a result of a Service Level Default or a Minimum Service Level Default;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PKI</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public key infrastructure;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Policies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EuroBank Group policies referred to in Exhibit 17 (EuroBank Policies);</w:t>
            </w:r>
            <w:r>
              <w:rPr>
                <w:i/>
                <w:iCs/>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Policies and Procedures Manual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 manual that describes how the parties will work together and how the Services are to be performed as described in Attachment 6-B (</w:t>
            </w:r>
            <w:r>
              <w:rPr>
                <w:i/>
                <w:sz w:val="22"/>
                <w:szCs w:val="22"/>
              </w:rPr>
              <w:t>Policy &amp; Procedures Manual Content</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Pool Percentage Available for Allocation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three hundred and fifty percent (350%) of the At Risk Amount;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Portable Network Devices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officially sanctioned portable, hand-held Equipment used by Authorised Users for telecommunications access and services, including pagers, mobile phones, calling cards and any telecommunications functionality associated with PDAs (Portable Network Devices do not include personal computers or laptops);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Preparation Phase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Section 4 of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Priority Levels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have the meanings assigned to them in Section 2 of Attachment 3-E (</w:t>
            </w:r>
            <w:r>
              <w:rPr>
                <w:i/>
                <w:szCs w:val="22"/>
                <w:lang w:val="en-GB"/>
              </w:rPr>
              <w:t>Severity Levels, Impact Levels &amp; Priority Levels</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Problem Management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process of tracking and managing all problems arising in EuroBank’s information technology (IT) environment, and resolving those problems arising from or related to the Services, as detailed in Section 8 of Exhibit 2.0 (Statements of Work);</w:t>
            </w:r>
            <w:r>
              <w:rPr>
                <w:i/>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Problem Tracking System</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functionality and technical characteristics of the system described in the applicable Statement of Work;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Procedural Change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Exhibit 22 (</w:t>
            </w:r>
            <w:r>
              <w:rPr>
                <w:i/>
                <w:iCs/>
                <w:sz w:val="22"/>
                <w:szCs w:val="22"/>
              </w:rPr>
              <w:t>Change Control Procedures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Procedural Change Management Procedure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Exhibit 22 (</w:t>
            </w:r>
            <w:r>
              <w:rPr>
                <w:i/>
                <w:iCs/>
                <w:sz w:val="22"/>
                <w:szCs w:val="22"/>
              </w:rPr>
              <w:t>Change Control Procedures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Procurement Catalogue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a list of EUC Equipment, Software and Services that are the approved products for purchase or lease by Authorised Users for new deployments, as further described in Section 3.2 of Exhibit 2.7 (</w:t>
            </w:r>
            <w:r>
              <w:rPr>
                <w:i/>
                <w:szCs w:val="22"/>
                <w:lang w:val="en-GB"/>
              </w:rPr>
              <w:t>2IM Services &amp; Governance</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Production Server</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a Server that is not used for development, testing and acceptation purposes;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Program</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shall also mean programme;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Project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a discrete unit of non-recurring work that is (i) not an inherent, necessary or customary part of the day-to-day Services, and (ii) not required to be performed by PST Supplier to meet the Service Levels (other than Service Levels related to Project performance);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Project Completion Charge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Section 4.2 of Exhibit 9 (</w:t>
            </w:r>
            <w:r>
              <w:rPr>
                <w:i/>
                <w:szCs w:val="22"/>
              </w:rPr>
              <w:t>In-Flight Projects</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Project IMAC</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a combination of ten (10) or more Hard IMACs, where the Hard IMACs are related to the same unique requirement and time frame for an Authorized User, and are included as part of a unique IMAC request or closely related IMAC requests;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Project Pools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4-E (</w:t>
            </w:r>
            <w:r>
              <w:rPr>
                <w:i/>
                <w:sz w:val="22"/>
                <w:szCs w:val="22"/>
              </w:rPr>
              <w:t>Project Rate Card</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PST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recital (B)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PST Member</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either the 2IM, the PST Supplier or any of the Other PST Suppliers;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PST Member Personnel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any individuals used by the PST Member in providing the Services from time to time, including Sub-Contractor personnel;</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PST Supplier and the Other PST Suppliers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recital (B)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PST Supplier Claim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10.7.1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PST Supplier Facilities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the premises (together with furnishings and fixtures) at and from which the PST Supplier and the Sub-Contractors provide the Services from time to time;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PST Supplier Group</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PST Supplier and its Affiliates from time to time;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PST Supplier Materials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Materials independently developed by the PST Supplier and/or its Sub-Contractors outside the scope of the Services and used by the PST Supplier in connection with the provision of the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PST Supplier Personnel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any individuals used by the PST Supplier in providing the Services from time to time, including Sub-Contractor personnel;</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PST Supplier Sites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Sites from which the PST Supplier is providing the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Question</w:t>
            </w:r>
          </w:p>
        </w:tc>
        <w:tc>
          <w:tcPr>
            <w:tcW w:w="6094" w:type="dxa"/>
            <w:tcBorders>
              <w:top w:val="single" w:sz="4" w:space="0" w:color="000000"/>
              <w:start w:val="single" w:sz="4" w:space="0" w:color="000000"/>
              <w:bottom w:val="single" w:sz="4" w:space="0" w:color="000000"/>
              <w:end w:val="single" w:sz="4" w:space="0" w:color="000000"/>
            </w:tcBorders>
          </w:tcPr>
          <w:p>
            <w:pPr>
              <w:pStyle w:val="Ballontekst1"/>
              <w:spacing w:before="0" w:after="240"/>
              <w:rPr>
                <w:rFonts w:ascii="Times New Roman" w:hAnsi="Times New Roman" w:cs="Times New Roman"/>
                <w:sz w:val="22"/>
                <w:szCs w:val="22"/>
              </w:rPr>
            </w:pPr>
            <w:r>
              <w:rPr>
                <w:rFonts w:cs="Times New Roman" w:ascii="Times New Roman" w:hAnsi="Times New Roman"/>
                <w:sz w:val="22"/>
                <w:szCs w:val="22"/>
              </w:rPr>
              <w:t>means any questions received by the Service Desk which are not a Service Request or an Incident or resulting from an Incident;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Rack Servers</w:t>
            </w:r>
          </w:p>
        </w:tc>
        <w:tc>
          <w:tcPr>
            <w:tcW w:w="6094" w:type="dxa"/>
            <w:tcBorders>
              <w:top w:val="single" w:sz="4" w:space="0" w:color="000000"/>
              <w:start w:val="single" w:sz="4" w:space="0" w:color="000000"/>
              <w:bottom w:val="single" w:sz="4" w:space="0" w:color="000000"/>
              <w:end w:val="single" w:sz="4" w:space="0" w:color="000000"/>
            </w:tcBorders>
          </w:tcPr>
          <w:p>
            <w:pPr>
              <w:pStyle w:val="Ballontekst1"/>
              <w:spacing w:before="0" w:after="240"/>
              <w:rPr/>
            </w:pPr>
            <w:r>
              <w:rPr>
                <w:rFonts w:cs="Times New Roman" w:ascii="Times New Roman" w:hAnsi="Times New Roman"/>
                <w:sz w:val="22"/>
                <w:szCs w:val="22"/>
              </w:rPr>
              <w:t>means a</w:t>
            </w:r>
            <w:r>
              <w:rPr>
                <w:rFonts w:cs="Times New Roman" w:ascii="Times New Roman" w:hAnsi="Times New Roman"/>
                <w:caps/>
                <w:sz w:val="22"/>
                <w:szCs w:val="22"/>
              </w:rPr>
              <w:t xml:space="preserve"> </w:t>
            </w:r>
            <w:r>
              <w:rPr>
                <w:rFonts w:cs="Times New Roman" w:ascii="Times New Roman" w:hAnsi="Times New Roman"/>
                <w:sz w:val="22"/>
                <w:szCs w:val="22"/>
              </w:rPr>
              <w:t>Server which is located in a rack and controlled by a KVS (Keyboard, Mouse Video switch);</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RDS</w:t>
            </w:r>
          </w:p>
        </w:tc>
        <w:tc>
          <w:tcPr>
            <w:tcW w:w="6094" w:type="dxa"/>
            <w:tcBorders>
              <w:top w:val="single" w:sz="4" w:space="0" w:color="000000"/>
              <w:start w:val="single" w:sz="4" w:space="0" w:color="000000"/>
              <w:bottom w:val="single" w:sz="4" w:space="0" w:color="000000"/>
              <w:end w:val="single" w:sz="4" w:space="0" w:color="000000"/>
            </w:tcBorders>
          </w:tcPr>
          <w:p>
            <w:pPr>
              <w:pStyle w:val="Ballontekst1"/>
              <w:spacing w:before="0" w:after="240"/>
              <w:rPr>
                <w:rFonts w:ascii="Times New Roman" w:hAnsi="Times New Roman" w:cs="Times New Roman"/>
                <w:sz w:val="22"/>
                <w:szCs w:val="22"/>
              </w:rPr>
            </w:pPr>
            <w:r>
              <w:rPr>
                <w:rFonts w:cs="Times New Roman" w:ascii="Times New Roman" w:hAnsi="Times New Roman"/>
                <w:sz w:val="22"/>
                <w:szCs w:val="22"/>
              </w:rPr>
              <w:t>means remote differential compression;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Reconciliation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Commencement Date plus 9 months;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Refresh</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upgrading and/or replacing of Equipment and software during the Term;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Registers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color w:val="000000"/>
                <w:sz w:val="22"/>
                <w:szCs w:val="22"/>
              </w:rPr>
              <w:t>has the meaning given in Section 2.5 of Exhibit 20 (</w:t>
            </w:r>
            <w:r>
              <w:rPr>
                <w:i/>
                <w:color w:val="000000"/>
                <w:sz w:val="22"/>
                <w:szCs w:val="22"/>
              </w:rPr>
              <w:t>Termination Assistance</w:t>
            </w:r>
            <w:r>
              <w:rPr>
                <w:color w:val="000000"/>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Regulator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color w:val="000000"/>
                <w:sz w:val="22"/>
                <w:szCs w:val="22"/>
              </w:rPr>
              <w:t>means any authority that may regulate and/or supervise activities of any EuroBank Group member and/or any EuroBank Group member from time to time (including. the DNB and the  CBFA)  and, as the case may be or any authority that may regulate and/or supervise the activities of the PST Supplier from time to time;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Regulatory Change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any change to Applicable Law which relates to the provision of the Services or the receipt of the Services by any EuroBank Group member;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Release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 regular, planned and often complex set of related Changes;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Relief Claim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Attachment 3-F (</w:t>
            </w:r>
            <w:r>
              <w:rPr>
                <w:i/>
                <w:sz w:val="22"/>
                <w:szCs w:val="22"/>
              </w:rPr>
              <w:t>Pain-Share Mechanism</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Remote Sites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Supplier sites as defined in Exhibit 26 (</w:t>
            </w:r>
            <w:r>
              <w:rPr>
                <w:i/>
                <w:sz w:val="22"/>
                <w:szCs w:val="22"/>
              </w:rPr>
              <w:t>Service Provider Local Entities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Remotely Managed Countries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those countries in which EuroBank has facilities that receive IT services managed from either Belgium or The Netherlands and that are identified in the “Countries” tab in Exhibit 7 (Sites &amp; Local Entities)</w:t>
            </w:r>
            <w:r>
              <w:rPr>
                <w:i/>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Removed Services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means those Services subject to expiry, termination or partial termination;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lang w:val="en-GB"/>
              </w:rPr>
              <w:t>Replacement Services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lang w:val="en-GB"/>
              </w:rPr>
              <w:t>has the meaning given in Section 5 of Exhibit 23 (</w:t>
            </w:r>
            <w:r>
              <w:rPr>
                <w:i/>
                <w:szCs w:val="22"/>
                <w:lang w:val="en-GB"/>
              </w:rPr>
              <w:t>New Services</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Representatives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12.1.1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Request Management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process of tracking and managing all requests from Authorised Users arising in EuroBank’s information technology environment, and resolving those requests arising from or related to the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Resolver (or Solver) Group</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groups of personnel within EuroBank or the PST Supplier with specific expertise for analysing and solving Incidents;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Resource Baseline(s)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estimated volume of Resource Units that will be required and utilised by EuroBank during the Term;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Resource Unit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 measurable device, unit of consumption, staffing level, or other resource that is associated with the Services, as detailed in Exhibit 4 (</w:t>
            </w:r>
            <w:r>
              <w:rPr>
                <w:i/>
                <w:iCs/>
                <w:sz w:val="22"/>
                <w:szCs w:val="22"/>
              </w:rPr>
              <w:t>Pricing and Financial Provisions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Response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recital (C)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Retained Employees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those EuroBank employees who will retain their employment with EuroBank;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Re-Transfer Employee(s)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ascribed to it in clause 6.1 of Exhibit 5 (</w:t>
            </w:r>
            <w:r>
              <w:rPr>
                <w:i/>
                <w:sz w:val="22"/>
                <w:szCs w:val="22"/>
              </w:rPr>
              <w:t>Human Resources Provisions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RFA/Business Case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with respect to the Netherlands the request for advice as will be submitted by EuroBank to its works council in respect of the outsourcing contemplated in this MSA and with respect to Belgium the document used to consult with or inform the relevant employee representatives in respect of the outsourcing contemplated in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RFP</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recital (A)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Root Cause Analysis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 xml:space="preserve">means the analysis procedure that identifies the underlying or original cause of an Incident or problem (also referred to as </w:t>
            </w:r>
            <w:r>
              <w:rPr>
                <w:b/>
                <w:sz w:val="22"/>
                <w:szCs w:val="22"/>
              </w:rPr>
              <w:t>RCA</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ROSL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regional optional service layer;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RRC</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a reduced resource credit (subtraction) from the Base Charge for reduced utilisation of a Resource Unit below the Resource Baseline for the applicable month, as further detailed in Exhibit 4 (</w:t>
            </w:r>
            <w:r>
              <w:rPr>
                <w:i/>
                <w:iCs/>
                <w:szCs w:val="22"/>
                <w:lang w:val="en-GB"/>
              </w:rPr>
              <w:t>Pricing and Financial Provisions</w:t>
            </w:r>
            <w:r>
              <w:rPr>
                <w:szCs w:val="22"/>
                <w:lang w:val="en-GB"/>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SC&amp;D</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software control and distribution;</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lang w:val="en-GB"/>
              </w:rPr>
              <w:t>Scheduled Uptime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lang w:val="en-GB"/>
              </w:rPr>
              <w:t>means that period of time (days of the week and hours per day) during which a particular Application (or other software), Equipment, Network or any other part of the Services is expected to be available during the applicable Measurement Window;</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 xml:space="preserve">Seat </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Attachment 4-J (</w:t>
            </w:r>
            <w:r>
              <w:rPr>
                <w:i/>
                <w:szCs w:val="22"/>
              </w:rPr>
              <w:t>Seat Pricing Mechanism</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Seat Price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Attachment 4-J (</w:t>
            </w:r>
            <w:r>
              <w:rPr>
                <w:i/>
                <w:szCs w:val="22"/>
              </w:rPr>
              <w:t>Seat Pricing Mechanism</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Security/Compliance Project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Section 7 of Exhibit 30 (</w:t>
            </w:r>
            <w:r>
              <w:rPr>
                <w:i/>
                <w:szCs w:val="22"/>
              </w:rPr>
              <w:t>Transition &amp; Transformation</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Sensitive Functions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Attachment 5-I (</w:t>
            </w:r>
            <w:r>
              <w:rPr>
                <w:i/>
                <w:szCs w:val="22"/>
              </w:rPr>
              <w:t>Sensitive Functions</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Server</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bookmarkStart w:id="9" w:name="_DV_C291"/>
            <w:r>
              <w:rPr>
                <w:szCs w:val="22"/>
              </w:rPr>
              <w:t>means any computer that provides shared processing or resources (e.g., printer-, fax-, Application processing-, database-, mail-, proxy-, firewalls-, and backup capabilities) to Authorised Users or other computers over the Network, including associated peripherals (e.g., local storage devices, attachments to centralised storage, monitor, keyboard, pointing device, tape drives and external disk arrays)</w:t>
            </w:r>
            <w:bookmarkEnd w:id="9"/>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Service Catalogue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document containing a description of the Services as described in Section 3.1 of Exhibit 2.7 (</w:t>
            </w:r>
            <w:r>
              <w:rPr>
                <w:i/>
                <w:szCs w:val="22"/>
                <w:lang w:val="en-GB"/>
              </w:rPr>
              <w:t>2IM Services &amp; Governance</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Service Credit Allocation Percentage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percentage of the Allocation of Pool Percentage allocated to a Critical Service Level within a Performance Category;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Service Credits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monetary amount(s) that the PST Supplier shall be obliged to pay to EuroBank (or apply against the Monthly Charges) in the event of a Service Level Default, subject to Earnback, as detailed in Exhibit 3 (Service Levels);</w:t>
            </w:r>
            <w:r>
              <w:rPr>
                <w:i/>
                <w:iCs/>
                <w:sz w:val="22"/>
                <w:szCs w:val="22"/>
              </w:rPr>
            </w:r>
            <w:r>
              <w:rPr>
                <w:sz w:val="22"/>
                <w:szCs w:val="22"/>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Service Desk Consolidation &amp; Near-Shore Project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Section 7 of Exhibit 30 (</w:t>
            </w:r>
            <w:r>
              <w:rPr>
                <w:i/>
                <w:szCs w:val="22"/>
              </w:rPr>
              <w:t>Transition &amp; Transformation</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Service Desk (or Help Desk)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facilities, associated technologies and trained staff who respond to Calls, solve or dispatch all Problem Management and Request Management activities, and act as a single point of contact for Authorised Users in regard to the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Service Desk Management system</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an automated tool in which the Service Desk manages its services (e.g. IRMa);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Service Level Default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 Minimum Service Level Default or an Expected Service Level Default;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Service Levels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the required Availability, response times or other performance standards associated with the Services, as detailed in Exhibit 3 (</w:t>
            </w:r>
            <w:r>
              <w:rPr>
                <w:i/>
                <w:iCs/>
                <w:sz w:val="22"/>
                <w:szCs w:val="22"/>
              </w:rPr>
              <w:t>Service Levels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Service Portal</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color w:val="000000"/>
                <w:sz w:val="22"/>
                <w:szCs w:val="22"/>
              </w:rPr>
              <w:t xml:space="preserve">means the PST Supplier's web-based solution to automate (part of) the Services (also referred to as </w:t>
            </w:r>
            <w:r>
              <w:rPr>
                <w:b/>
                <w:color w:val="000000"/>
                <w:sz w:val="22"/>
                <w:szCs w:val="22"/>
              </w:rPr>
              <w:t>Self Service Portal</w:t>
            </w:r>
            <w:r>
              <w:rPr>
                <w:color w:val="000000"/>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Service Request</w:t>
            </w:r>
          </w:p>
        </w:tc>
        <w:tc>
          <w:tcPr>
            <w:tcW w:w="6094" w:type="dxa"/>
            <w:tcBorders>
              <w:top w:val="single" w:sz="4" w:space="0" w:color="000000"/>
              <w:start w:val="single" w:sz="4" w:space="0" w:color="000000"/>
              <w:bottom w:val="single" w:sz="4" w:space="0" w:color="000000"/>
              <w:end w:val="single" w:sz="4" w:space="0" w:color="000000"/>
            </w:tcBorders>
          </w:tcPr>
          <w:p>
            <w:pPr>
              <w:pStyle w:val="Ballontekst1"/>
              <w:spacing w:before="0" w:after="240"/>
              <w:rPr/>
            </w:pPr>
            <w:r>
              <w:rPr>
                <w:rFonts w:cs="Times New Roman" w:ascii="Times New Roman" w:hAnsi="Times New Roman"/>
                <w:sz w:val="22"/>
                <w:szCs w:val="22"/>
              </w:rPr>
              <w:t xml:space="preserve">means a </w:t>
            </w:r>
            <w:r>
              <w:rPr>
                <w:rFonts w:cs="Times New Roman" w:ascii="Times New Roman" w:hAnsi="Times New Roman"/>
                <w:color w:val="000000"/>
                <w:sz w:val="22"/>
                <w:szCs w:val="22"/>
              </w:rPr>
              <w:t>request that reached the Service Desk that is not an Incident or the result of an Incident;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Services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color w:val="000000"/>
                <w:sz w:val="22"/>
                <w:szCs w:val="22"/>
              </w:rPr>
              <w:t>has the meaning given in clause 4.2 of the MSA and shall include the PST Supplier’s completion of the Projects;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Severity Level</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categorisation of a problem associated with the Services based on the potential impact of the problem to EuroBank, and as further defined in Attachment 3-F (Severity Levels) to Exhibit 3 (Service Levels);</w:t>
            </w:r>
            <w:r>
              <w:rPr>
                <w:i/>
                <w:szCs w:val="22"/>
                <w:lang w:val="en-GB"/>
              </w:rPr>
            </w:r>
            <w:r>
              <w:rPr>
                <w:szCs w:val="22"/>
                <w:lang w:val="en-GB"/>
              </w:rPr>
            </w:r>
            <w:r>
              <w:rPr>
                <w:i/>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SF</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scripting facility;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SI</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software inventory;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Significant Change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Exhibit 22 (</w:t>
            </w:r>
            <w:r>
              <w:rPr>
                <w:i/>
                <w:iCs/>
                <w:szCs w:val="22"/>
              </w:rPr>
              <w:t>Change Control Procedures</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Significant Change Control Procedure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Exhibit 22 (</w:t>
            </w:r>
            <w:r>
              <w:rPr>
                <w:i/>
                <w:iCs/>
                <w:szCs w:val="22"/>
              </w:rPr>
              <w:t>Change Control Procedures</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Sites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the EuroBank Group and PST Supplier locations where the Services will be performed or delivered as specified in Exhibit 7 (Sites &amp; Local Entities) and as may change during the Term;</w:t>
            </w:r>
            <w:r>
              <w:rPr>
                <w:i/>
                <w:iCs/>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Soft IMAC</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an approved Software IMAC request received from EuroBank, which IMAC can be performed concurrently with remote element management tools and does not require any physical on-site intervention;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Source Code Escrow Agreement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means an agreement concluded on the basis of the agreed form document set out in Exhibit 35 (</w:t>
            </w:r>
            <w:r>
              <w:rPr>
                <w:i/>
                <w:iCs/>
                <w:sz w:val="22"/>
                <w:szCs w:val="22"/>
              </w:rPr>
              <w:t>Source Code Escrow Agreement Template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SOX</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9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SPOC</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single point of contact;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Standard Confidentiality</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document attached to Exhibit 5 as Attachment 5-B;</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Standard Desktop</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low end or a high end desktop PC as described in the Hardware Specification Document, including internal peripherals and agreed external peripherals such as monitor, keyboard pointing device cable locks;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 xml:space="preserve">Standard Laptop </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two types of laptop PCs for two end user groups, being “VIPS” and other Authorised Users, as described in the Hardware Specification Document;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Standard Printer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a printer directly connected to EuroBank’s internal IP network and which is shared between groups of Authorised Users, as described in the Hardware Specification Document;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Standard Products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minimum EUC Equipment and Software requirements and/or specific EUC Equipment and Software that are designated as being in standard use within EuroBank as specified in the Procurement Catalogue;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Standard Seat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rPr>
              <w:t>has the meaning given in Attachment 4-J (</w:t>
            </w:r>
            <w:r>
              <w:rPr>
                <w:i/>
                <w:szCs w:val="22"/>
              </w:rPr>
              <w:t>Seat Pricing Mechanism</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Standard Service Request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Section 1.1, 3 of Exhibit 2.0 (</w:t>
            </w:r>
            <w:r>
              <w:rPr>
                <w:i/>
                <w:szCs w:val="22"/>
              </w:rPr>
              <w:t>Statement of Work</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Standard Voice Network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portion of the Network consisting of Standard Voice Premise Systems, software, Transport Facilities, Interconnect Devices, Wiring and Cabling used to create, connect and transmit voice to Authorised Users;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Standard Voice Premise Equipment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Equipment and associated attachments, features, accessories, peripherals and Cabling supported or used by the PST Supplier in connection with its provision of Standard Voice Services to the Authorised Users including PBXs and PBX rectifiers, IP telephony, Centrex, handsets, key systems, small office/home communications systems, voice mail systems, and paging systems, American Disabilities Act (ADA) communications devices (e.g. TDDs, teletype, special equipped handsets), voice recognition units (“VRUs”), interactive voice response units (“IVRs”), call data recording systems (“CDRs”), automatic call distributors (“ACDs”), voice communications management systems, backup battery systems, and associated diagnostic equipment;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Standard Voice Premise Systems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all Standard Voice Premise Equipment and associated software supported or used by the PST Supplier in connection with its provision of Services over the Standard Voice Network;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Statement of 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each of the Statements of Work set out in Exhibit 2.0 (</w:t>
            </w:r>
            <w:r>
              <w:rPr>
                <w:i/>
                <w:iCs/>
                <w:szCs w:val="22"/>
                <w:lang w:val="en-GB"/>
              </w:rPr>
              <w:t>Statement of Work</w:t>
            </w:r>
            <w:r>
              <w:rPr>
                <w:szCs w:val="22"/>
                <w:lang w:val="en-GB"/>
              </w:rPr>
              <w:t>), Exhibit 2.1 (</w:t>
            </w:r>
            <w:r>
              <w:rPr>
                <w:i/>
                <w:szCs w:val="22"/>
                <w:lang w:val="en-GB"/>
              </w:rPr>
              <w:t>End User Computing Services</w:t>
            </w:r>
            <w:r>
              <w:rPr>
                <w:szCs w:val="22"/>
                <w:lang w:val="en-GB"/>
              </w:rPr>
              <w:t>), Exhibit 2.2 (</w:t>
            </w:r>
            <w:r>
              <w:rPr>
                <w:i/>
                <w:szCs w:val="22"/>
                <w:lang w:val="en-GB"/>
              </w:rPr>
              <w:t>Service Desk Services</w:t>
            </w:r>
            <w:r>
              <w:rPr>
                <w:szCs w:val="22"/>
                <w:lang w:val="en-GB"/>
              </w:rPr>
              <w:t>), Exhibit 2.3 (</w:t>
            </w:r>
            <w:r>
              <w:rPr>
                <w:i/>
                <w:szCs w:val="22"/>
                <w:lang w:val="en-GB"/>
              </w:rPr>
              <w:t>Network Services</w:t>
            </w:r>
            <w:r>
              <w:rPr>
                <w:szCs w:val="22"/>
                <w:lang w:val="en-GB"/>
              </w:rPr>
              <w:t>), Exhibit 2.4 (</w:t>
            </w:r>
            <w:r>
              <w:rPr>
                <w:i/>
                <w:szCs w:val="22"/>
                <w:lang w:val="en-GB"/>
              </w:rPr>
              <w:t>Managed Voice Services</w:t>
            </w:r>
            <w:r>
              <w:rPr>
                <w:szCs w:val="22"/>
                <w:lang w:val="en-GB"/>
              </w:rPr>
              <w:t>), Exhibit 2.5 (</w:t>
            </w:r>
            <w:r>
              <w:rPr>
                <w:i/>
                <w:szCs w:val="22"/>
                <w:lang w:val="en-GB"/>
              </w:rPr>
              <w:t>Desktop Hardware Services</w:t>
            </w:r>
            <w:r>
              <w:rPr>
                <w:szCs w:val="22"/>
                <w:lang w:val="en-GB"/>
              </w:rPr>
              <w:t>), Exhibit 2.6 (</w:t>
            </w:r>
            <w:r>
              <w:rPr>
                <w:i/>
                <w:szCs w:val="22"/>
                <w:lang w:val="en-GB"/>
              </w:rPr>
              <w:t>Server Management Services</w:t>
            </w:r>
            <w:r>
              <w:rPr>
                <w:szCs w:val="22"/>
                <w:lang w:val="en-GB"/>
              </w:rPr>
              <w:t>), Exhibit 2.7 (</w:t>
            </w:r>
            <w:r>
              <w:rPr>
                <w:i/>
                <w:szCs w:val="22"/>
                <w:lang w:val="en-GB"/>
              </w:rPr>
              <w:t>2IM Services &amp; Governance</w:t>
            </w:r>
            <w:r>
              <w:rPr>
                <w:szCs w:val="22"/>
                <w:lang w:val="en-GB"/>
              </w:rPr>
              <w:t xml:space="preserve">) and all of them collectively (also referred to as the </w:t>
            </w:r>
            <w:r>
              <w:rPr>
                <w:b/>
                <w:i/>
                <w:szCs w:val="22"/>
                <w:lang w:val="en-GB"/>
              </w:rPr>
              <w:t>SOW</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Step In Third Parties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6.1.2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Storage Attached Network (SAN)</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centralised high available storage connected directly to the fibre channel network and located in one of the EuroBank DCO data centers in the Netherlands and Belgium;</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Sub-Contractor</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any person to whom the PST Supplier sub-contracts the performance of any of its obligations under this MSA in accordance with clause 19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Successor</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EuroBank or its designee or its successor;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Supply Taxes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all taxes, duties, tariffs or other governmental charges or expenses including any value added taxes  payable on the Charges for the provision of the Services by the PST Supplier to EuroBank; </w:t>
            </w:r>
            <w:r>
              <w:rPr>
                <w:rFonts w:eastAsia="MS Mincho;Arial Unicode MS"/>
                <w:szCs w:val="22"/>
                <w:lang w:eastAsia="ja-JP"/>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SWS Function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has the meaning given in recital (A)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System(s) Software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those programs and software, including documentation and materials, that perform tasks basic to the functioning of the computer hardware, or which are required to operate the Applications, or otherwise support the provision of Services by the PST Supplier;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TACACS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 xml:space="preserve">means terminal access controller access control system, a system that provides user authentication and user authorisation services on network devices;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TAM</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technical application manager;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TDM</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test management department;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Technical Innovation Plan</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1.1, 3 of Exhibit 2.0 (</w:t>
            </w:r>
            <w:r>
              <w:rPr>
                <w:i/>
                <w:sz w:val="22"/>
                <w:szCs w:val="22"/>
              </w:rPr>
              <w:t>Statement of Work</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has the meaning given in clause 2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Termination Assistance Charges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14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Termination Assistance Services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2.2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Termination Assistance Start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Section 2.1(a) of Exhibit 20 (</w:t>
            </w:r>
            <w:r>
              <w:rPr>
                <w:i/>
                <w:iCs/>
                <w:sz w:val="22"/>
                <w:szCs w:val="22"/>
              </w:rPr>
              <w:t>Termination Assistance</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Termination Charge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Termination Fees;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Termination Fees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Attachment F of Exhibit 4 (</w:t>
            </w:r>
            <w:r>
              <w:rPr>
                <w:i/>
                <w:iCs/>
                <w:sz w:val="22"/>
                <w:szCs w:val="22"/>
              </w:rPr>
              <w:t>Pricing and Financial Provisions</w:t>
            </w:r>
            <w:r>
              <w:rPr>
                <w:sz w:val="22"/>
                <w:szCs w:val="22"/>
              </w:rPr>
              <w:t xml:space="preserve">);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Termination Effective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the effective date of termination or expiration of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fr-FR"/>
              </w:rPr>
            </w:pPr>
            <w:r>
              <w:rPr>
                <w:szCs w:val="22"/>
                <w:lang w:val="fr-FR"/>
              </w:rPr>
              <w:t>Termination Assistance Services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has the meaning given in Section 2.2 of </w:t>
            </w:r>
            <w:r>
              <w:rPr>
                <w:szCs w:val="22"/>
              </w:rPr>
              <w:t>Exhibit 20 (</w:t>
            </w:r>
            <w:r>
              <w:rPr>
                <w:i/>
                <w:iCs/>
                <w:szCs w:val="22"/>
              </w:rPr>
              <w:t>Termination Assistance</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Terms of Reference</w:t>
            </w:r>
          </w:p>
        </w:tc>
        <w:tc>
          <w:tcPr>
            <w:tcW w:w="6094" w:type="dxa"/>
            <w:tcBorders>
              <w:top w:val="single" w:sz="4" w:space="0" w:color="000000"/>
              <w:start w:val="single" w:sz="4" w:space="0" w:color="000000"/>
              <w:bottom w:val="single" w:sz="4" w:space="0" w:color="000000"/>
              <w:end w:val="single" w:sz="4" w:space="0" w:color="000000"/>
            </w:tcBorders>
          </w:tcPr>
          <w:p>
            <w:pPr>
              <w:pStyle w:val="AMBodyCont5"/>
              <w:spacing w:before="0" w:after="240"/>
              <w:ind w:start="0" w:end="0"/>
              <w:rPr/>
            </w:pPr>
            <w:r>
              <w:rPr>
                <w:sz w:val="22"/>
                <w:szCs w:val="22"/>
                <w:lang w:val="en-GB"/>
              </w:rPr>
              <w:t>means the terms of reference for a Benchmarking Procedure, as agreed in accordance with Section 2 of Exhibit 34 (</w:t>
            </w:r>
            <w:r>
              <w:rPr>
                <w:i/>
                <w:iCs/>
                <w:sz w:val="22"/>
                <w:szCs w:val="22"/>
                <w:lang w:val="en-GB"/>
              </w:rPr>
              <w:t>Price Adjustment and Benchmarking</w:t>
            </w:r>
            <w:r>
              <w:rPr>
                <w:sz w:val="22"/>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TFS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trade floor support for EuroBank’s Dealing Rooms as used in Section 9.1.4 of Attachment 3-B (Critical Service Levels &amp; Key Measurements)</w:t>
            </w:r>
            <w:r>
              <w:rPr>
                <w:i/>
                <w:szCs w:val="22"/>
                <w:lang w:val="en-GB"/>
              </w:rPr>
            </w:r>
            <w:r>
              <w:rPr>
                <w:szCs w:val="22"/>
                <w:lang w:val="en-GB"/>
              </w:rPr>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Third Party Contracts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pPr>
            <w:r>
              <w:rPr>
                <w:szCs w:val="22"/>
                <w:lang w:val="en-GB"/>
              </w:rPr>
              <w:t>means those contracts listed in Attachment 12-A (</w:t>
            </w:r>
            <w:r>
              <w:rPr>
                <w:i/>
                <w:szCs w:val="22"/>
                <w:lang w:val="en-GB"/>
              </w:rPr>
              <w:t>Third Party Contracts</w:t>
            </w:r>
            <w:r>
              <w:rPr>
                <w:szCs w:val="22"/>
                <w:lang w:val="en-GB"/>
              </w:rPr>
              <w:t>) and Attachment 12-B (</w:t>
            </w:r>
            <w:r>
              <w:rPr>
                <w:i/>
                <w:szCs w:val="22"/>
                <w:lang w:val="en-GB"/>
              </w:rPr>
              <w:t>Affected Contractors</w:t>
            </w:r>
            <w:r>
              <w:rPr>
                <w:szCs w:val="22"/>
                <w:lang w:val="en-GB"/>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Third Party Materials</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sz w:val="22"/>
                <w:szCs w:val="22"/>
              </w:rPr>
            </w:pPr>
            <w:r>
              <w:rPr>
                <w:sz w:val="22"/>
                <w:szCs w:val="22"/>
              </w:rPr>
              <w:t>means Materials which are used in connection with the Services and which are owned by any person who is not a party to this MSA or an Affiliate of any party to this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Third Party Vendor(s)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 xml:space="preserve">means a third party that provides products or services to any party that is related to, or are in support of, the Services.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Touch Point</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has the meaning given in Exhibit 2.0 (</w:t>
            </w:r>
            <w:r>
              <w:rPr>
                <w:i/>
                <w:iCs/>
                <w:sz w:val="22"/>
                <w:szCs w:val="22"/>
              </w:rPr>
              <w:t>Statement of Work</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TPC Fees Cap</w:t>
            </w:r>
          </w:p>
        </w:tc>
        <w:tc>
          <w:tcPr>
            <w:tcW w:w="6094"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pPr>
            <w:r>
              <w:rPr>
                <w:sz w:val="22"/>
                <w:szCs w:val="22"/>
              </w:rPr>
              <w:t>has the meaning given in Section 5 of Exhibit 12 (</w:t>
            </w:r>
            <w:r>
              <w:rPr>
                <w:i/>
                <w:sz w:val="22"/>
                <w:szCs w:val="22"/>
              </w:rPr>
              <w:t>Third Party Contracts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Transaction Documents</w:t>
            </w:r>
          </w:p>
        </w:tc>
        <w:tc>
          <w:tcPr>
            <w:tcW w:w="6094"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sz w:val="22"/>
                <w:szCs w:val="22"/>
              </w:rPr>
            </w:pPr>
            <w:r>
              <w:rPr>
                <w:sz w:val="22"/>
                <w:szCs w:val="22"/>
              </w:rPr>
              <w:t>means this MSA, any LSAs, the MATA, any LATAs, the Guarantee and any other agreements or documents entered into as a consequence of any of these documents;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Transfer Assets</w:t>
            </w:r>
          </w:p>
        </w:tc>
        <w:tc>
          <w:tcPr>
            <w:tcW w:w="6094"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sz w:val="22"/>
                <w:szCs w:val="22"/>
              </w:rPr>
            </w:pPr>
            <w:r>
              <w:rPr>
                <w:sz w:val="22"/>
                <w:szCs w:val="22"/>
              </w:rPr>
              <w:t>has the meaning given in the MATA;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Transferred Contracts</w:t>
            </w:r>
          </w:p>
        </w:tc>
        <w:tc>
          <w:tcPr>
            <w:tcW w:w="6094"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sz w:val="22"/>
                <w:szCs w:val="22"/>
              </w:rPr>
            </w:pPr>
            <w:r>
              <w:rPr>
                <w:sz w:val="22"/>
                <w:szCs w:val="22"/>
              </w:rPr>
              <w:t>means all System Software licenses, Equipment leases and Third Party Contracts for which PST Supplier is financially responsible under the MSA;</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Transformation Phase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Section 4 of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Transformation Plan</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means the Transformation Phase plan set out in Attachment B to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Transition Phase</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Section 4 of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Transition Plan</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means the Transition Phase plan set out in Attachment A to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Transition Long Stop Date</w:t>
            </w:r>
          </w:p>
        </w:tc>
        <w:tc>
          <w:tcPr>
            <w:tcW w:w="6094" w:type="dxa"/>
            <w:tcBorders>
              <w:top w:val="single" w:sz="4" w:space="0" w:color="000000"/>
              <w:start w:val="single" w:sz="4" w:space="0" w:color="000000"/>
              <w:bottom w:val="single" w:sz="4" w:space="0" w:color="000000"/>
              <w:end w:val="single" w:sz="4" w:space="0" w:color="000000"/>
            </w:tcBorders>
          </w:tcPr>
          <w:p>
            <w:pPr>
              <w:pStyle w:val="a"/>
              <w:spacing w:before="0" w:after="240"/>
              <w:ind w:hanging="0" w:start="0" w:end="0"/>
              <w:jc w:val="start"/>
              <w:rPr/>
            </w:pPr>
            <w:r>
              <w:rPr>
                <w:sz w:val="22"/>
                <w:szCs w:val="22"/>
              </w:rPr>
              <w:t xml:space="preserve">means the </w:t>
            </w:r>
            <w:r>
              <w:rPr>
                <w:bCs/>
                <w:iCs/>
                <w:sz w:val="22"/>
                <w:szCs w:val="22"/>
              </w:rPr>
              <w:t>date identified as such in the Detailed T&amp;T Plan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Transport Facilities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media over which transport Services take place, including the Equipment and associated attachments, features, accessories, peripherals and Cabling supported or provided by the PST Supplier in connection with Transport Services (e.g. data access lines and circuits; voice access lines and trunks; ISDN lines; copper and fibre; microwave, and satellite, routers, hubs, switches, PBXs, etc.);</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Turnover</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5.4 of Exhibit 5 (</w:t>
            </w:r>
            <w:r>
              <w:rPr>
                <w:i/>
                <w:sz w:val="22"/>
                <w:szCs w:val="22"/>
              </w:rPr>
              <w:t>Human Resources Provisions</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T&amp;T</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 xml:space="preserve">means </w:t>
            </w:r>
            <w:r>
              <w:rPr>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T&amp;T Program</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Section 1 of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T&amp;T Project</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pPr>
            <w:r>
              <w:rPr>
                <w:sz w:val="22"/>
                <w:szCs w:val="22"/>
              </w:rPr>
              <w:t>has the meaning given in section Section 5 of Exhibit 30 (</w:t>
            </w:r>
            <w:r>
              <w:rPr>
                <w:i/>
                <w:iCs/>
                <w:sz w:val="22"/>
                <w:szCs w:val="22"/>
              </w:rPr>
              <w:t>Transition and Transformation</w:t>
            </w:r>
            <w:r>
              <w:rPr>
                <w:sz w:val="22"/>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lang w:val="fr-FR"/>
              </w:rPr>
            </w:pPr>
            <w:r>
              <w:rPr>
                <w:sz w:val="22"/>
                <w:szCs w:val="22"/>
                <w:lang w:val="fr-FR"/>
              </w:rPr>
              <w:t>UAS</w:t>
            </w:r>
          </w:p>
        </w:tc>
        <w:tc>
          <w:tcPr>
            <w:tcW w:w="60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means user access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Unrelieved Service Credits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all Service Credits that are not eliminated via Earnback;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USD</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universal service desk;</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Utility Server(s)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following types of Servers: File, Print, E-mail, DNS, Firewall, Authentication, WINS, Infrastructure Management, Domain Controllers, etc</w:t>
            </w:r>
            <w:r>
              <w:rPr>
                <w:i/>
                <w:iCs/>
                <w:szCs w:val="22"/>
                <w:lang w:val="en-GB"/>
              </w:rPr>
              <w:t xml:space="preserve">. </w:t>
            </w:r>
            <w:r>
              <w:rPr>
                <w:iCs/>
                <w:szCs w:val="22"/>
                <w:lang w:val="en-GB"/>
              </w:rPr>
              <w:t>as opposed to Application Server;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Vendor Change Impact Report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the given in Section 2.3(b) of Exhibit 34 (</w:t>
            </w:r>
            <w:r>
              <w:rPr>
                <w:i/>
                <w:szCs w:val="22"/>
              </w:rPr>
              <w:t>Price Adjustment and Benchmarking</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Videoconferencing rooms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w:t>
            </w:r>
            <w:r>
              <w:rPr>
                <w:szCs w:val="22"/>
              </w:rPr>
              <w:t>eans a room with hardware and software facilities for video conferencing;</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Voice - Directory Assistance Calls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calls to Carrier for inquiry of a phone number;</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Voice - IMACS</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rPr>
            </w:pPr>
            <w:r>
              <w:rPr>
                <w:szCs w:val="22"/>
              </w:rPr>
              <w:t>means Installations, Moves, Adds and Changes for the Voice Bundle;</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WAN (or Wide Area Network)</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a long haul, high speed backbone transmission Network, consisting of WAN Equipment, software, Transport Systems, Interconnect Devices, and Cabling that, and other services as they become available that are used to create, connect and transmit data, voice and video signals to within, between or among:  (i) LANs; (ii) and non-EuroBank locations that do business with EuroBank and for which EuroBank is responsible for allowing Connectivity;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WAN Equipment</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Equipment and associated attachments, features, accessories, peripherals and Cabling supported or used by the PST Supplier in connection with its provision of WAN Services to the Authorised Users (e.g. routers, multiplexors, access circuits, backbone circuits, channel banks, CSU/DSUs, and associated diagnostic equipment), and all additions, modifications, substitutions, upgrades or enhancements to such Equipment;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Weighted Inflation</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rPr>
              <w:t>has the meaning given in Section 1.3 of Attachment 4-G (</w:t>
            </w:r>
            <w:r>
              <w:rPr>
                <w:i/>
                <w:szCs w:val="22"/>
              </w:rPr>
              <w:t>COLA</w:t>
            </w:r>
            <w:r>
              <w:rPr>
                <w:szCs w:val="22"/>
              </w:rPr>
              <w:t>);</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Wiring</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the physical wire connection within walls, between floors and between buildings;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Work Order</w:t>
            </w:r>
          </w:p>
        </w:tc>
        <w:tc>
          <w:tcPr>
            <w:tcW w:w="6094"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sz w:val="22"/>
                <w:szCs w:val="22"/>
              </w:rPr>
            </w:pPr>
            <w:r>
              <w:rPr>
                <w:sz w:val="22"/>
                <w:szCs w:val="22"/>
              </w:rPr>
              <w:t>means a written document authorizing and describing New Services or amended Services, signed by duly authorised representatives of each party;</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WPS</w:t>
            </w:r>
          </w:p>
        </w:tc>
        <w:tc>
          <w:tcPr>
            <w:tcW w:w="6094"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sz w:val="22"/>
                <w:szCs w:val="22"/>
              </w:rPr>
            </w:pPr>
            <w:r>
              <w:rPr>
                <w:sz w:val="22"/>
                <w:szCs w:val="22"/>
              </w:rPr>
              <w:t>means the organisational unit within EuroBank known as “Workplace Services”</w:t>
            </w:r>
          </w:p>
        </w:tc>
      </w:tr>
      <w:tr>
        <w:trPr/>
        <w:tc>
          <w:tcPr>
            <w:tcW w:w="2294" w:type="dxa"/>
            <w:tcBorders>
              <w:top w:val="single" w:sz="4" w:space="0" w:color="000000"/>
              <w:start w:val="single" w:sz="4" w:space="0" w:color="000000"/>
              <w:bottom w:val="single" w:sz="4" w:space="0" w:color="000000"/>
              <w:end w:val="single" w:sz="4" w:space="0" w:color="000000"/>
            </w:tcBorders>
          </w:tcPr>
          <w:p>
            <w:pPr>
              <w:pStyle w:val="Normal"/>
              <w:spacing w:before="0" w:after="240"/>
              <w:rPr>
                <w:sz w:val="22"/>
                <w:szCs w:val="22"/>
              </w:rPr>
            </w:pPr>
            <w:r>
              <w:rPr>
                <w:sz w:val="22"/>
                <w:szCs w:val="22"/>
              </w:rPr>
              <w:t>Year</w:t>
            </w:r>
          </w:p>
          <w:p>
            <w:pPr>
              <w:pStyle w:val="Normal"/>
              <w:spacing w:before="0" w:after="240"/>
              <w:rPr>
                <w:sz w:val="22"/>
                <w:szCs w:val="22"/>
              </w:rPr>
            </w:pPr>
            <w:r>
              <w:rPr>
                <w:sz w:val="22"/>
                <w:szCs w:val="22"/>
              </w:rPr>
            </w:r>
          </w:p>
        </w:tc>
        <w:tc>
          <w:tcPr>
            <w:tcW w:w="6094"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sz w:val="22"/>
                <w:szCs w:val="22"/>
              </w:rPr>
            </w:pPr>
            <w:r>
              <w:rPr>
                <w:sz w:val="22"/>
                <w:szCs w:val="22"/>
              </w:rPr>
              <w:t xml:space="preserve">means a period of 12 months beginning on the Commencement Date and on each subsequent anniversary of the Commencement Date during the Term; </w:t>
            </w:r>
          </w:p>
        </w:tc>
      </w:tr>
      <w:tr>
        <w:trPr/>
        <w:tc>
          <w:tcPr>
            <w:tcW w:w="22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Yearly Performance Average</w:t>
            </w:r>
          </w:p>
        </w:tc>
        <w:tc>
          <w:tcPr>
            <w:tcW w:w="6094" w:type="dxa"/>
            <w:tcBorders>
              <w:top w:val="single" w:sz="4" w:space="0" w:color="000000"/>
              <w:start w:val="single" w:sz="4" w:space="0" w:color="000000"/>
              <w:bottom w:val="single" w:sz="4" w:space="0" w:color="000000"/>
              <w:end w:val="single" w:sz="4" w:space="0" w:color="000000"/>
            </w:tcBorders>
          </w:tcPr>
          <w:p>
            <w:pPr>
              <w:pStyle w:val="TableText"/>
              <w:spacing w:before="0" w:after="240"/>
              <w:rPr>
                <w:szCs w:val="22"/>
                <w:lang w:val="en-GB"/>
              </w:rPr>
            </w:pPr>
            <w:r>
              <w:rPr>
                <w:szCs w:val="22"/>
                <w:lang w:val="en-GB"/>
              </w:rPr>
              <w:t>means, with respect to each Critical Service Level for which there was a Service Level Default during the preceding Year, the average of the PST Supplier’s average monthly performances in the Critical Service Level during the preceding Year.</w:t>
            </w:r>
          </w:p>
        </w:tc>
      </w:tr>
    </w:tbl>
    <w:p>
      <w:pPr>
        <w:pStyle w:val="Normal"/>
        <w:rPr>
          <w:sz w:val="22"/>
          <w:lang w:val="fr-FR"/>
        </w:rPr>
      </w:pPr>
      <w:r>
        <w:rPr>
          <w:sz w:val="22"/>
          <w:lang w:val="fr-FR"/>
        </w:rPr>
      </w:r>
    </w:p>
    <w:p>
      <w:pPr>
        <w:pStyle w:val="Normal"/>
        <w:rPr>
          <w:sz w:val="22"/>
          <w:lang w:val="fr-FR"/>
        </w:rPr>
      </w:pPr>
      <w:r>
        <w:rPr>
          <w:sz w:val="22"/>
          <w:lang w:val="fr-FR"/>
        </w:rPr>
      </w:r>
      <w:bookmarkStart w:id="10" w:name="Cell_Pad"/>
      <w:bookmarkStart w:id="11" w:name="Cell_Merge"/>
      <w:bookmarkStart w:id="12" w:name="Cell_Move"/>
      <w:bookmarkStart w:id="13" w:name="Cell_Del"/>
      <w:bookmarkStart w:id="14" w:name="Cell_Ins"/>
      <w:bookmarkStart w:id="15" w:name="Cell_Pad"/>
      <w:bookmarkStart w:id="16" w:name="Cell_Merge"/>
      <w:bookmarkStart w:id="17" w:name="Cell_Move"/>
      <w:bookmarkStart w:id="18" w:name="Cell_Del"/>
      <w:bookmarkStart w:id="19" w:name="Cell_Ins"/>
      <w:bookmarkEnd w:id="15"/>
      <w:bookmarkEnd w:id="16"/>
      <w:bookmarkEnd w:id="17"/>
      <w:bookmarkEnd w:id="18"/>
      <w:bookmarkEnd w:id="19"/>
    </w:p>
    <w:sectPr>
      <w:headerReference w:type="default" r:id="rId8"/>
      <w:headerReference w:type="first" r:id="rId9"/>
      <w:footerReference w:type="default" r:id="rId10"/>
      <w:footerReference w:type="first" r:id="rId11"/>
      <w:type w:val="nextPage"/>
      <w:pgSz w:w="11906" w:h="16838"/>
      <w:pgMar w:left="1797" w:right="1797" w:gutter="0" w:header="312" w:top="1440" w:footer="709"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t>Ops&amp;IT Banking Confidential</w:t>
      <w:tab/>
    </w:r>
    <w:r>
      <w:rPr>
        <w:rStyle w:val="PageNumber"/>
      </w:rPr>
      <w:tab/>
      <w:t>28/11/06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ab/>
      <w:t>28/11/06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r>
      <w:rPr>
        <w:rStyle w:val="PageNumber"/>
      </w:rPr>
      <w:tab/>
      <w:t>5/12/06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drawing>
        <wp:inline distT="0" distB="0" distL="0" distR="0">
          <wp:extent cx="1149985" cy="34417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r>
    <w:r>
      <w:rPr/>
      <w:fldChar w:fldCharType="begin"/>
    </w:r>
    <w:r>
      <w:rPr/>
      <w:instrText xml:space="preserve"> FILENAME </w:instrText>
    </w:r>
    <w:r>
      <w:rPr/>
      <w:fldChar w:fldCharType="separate"/>
    </w:r>
    <w:r>
      <w:rPr/>
      <w:t>Exhibit 1 (Definitions) Final v3.0.DOC</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drawing>
        <wp:inline distT="0" distB="0" distL="0" distR="0">
          <wp:extent cx="1149985" cy="34417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r>
    <w:r>
      <w:rPr/>
      <w:fldChar w:fldCharType="begin"/>
    </w:r>
    <w:r>
      <w:rPr/>
      <w:instrText xml:space="preserve"> FILENAME </w:instrText>
    </w:r>
    <w:r>
      <w:rPr/>
      <w:fldChar w:fldCharType="separate"/>
    </w:r>
    <w:r>
      <w:rPr/>
      <w:t>Exhibit 1 (Definitions) Final v3.0.DOC</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drawing>
        <wp:inline distT="0" distB="0" distL="0" distR="0">
          <wp:extent cx="1149985" cy="344170"/>
          <wp:effectExtent l="0" t="0" r="0" b="0"/>
          <wp:docPr id="3"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Copy 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r>
    <w:r>
      <w:rPr/>
      <w:fldChar w:fldCharType="begin"/>
    </w:r>
    <w:r>
      <w:rPr/>
      <w:instrText xml:space="preserve"> FILENAME </w:instrText>
    </w:r>
    <w:r>
      <w:rPr/>
      <w:fldChar w:fldCharType="separate"/>
    </w:r>
    <w:r>
      <w:rPr/>
      <w:t>Exhibit 1 (Definitions) Final v3.0.DOC</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lowerRoman"/>
      <w:lvlText w:val="(%1)"/>
      <w:lvlJc w:val="start"/>
      <w:pPr>
        <w:tabs>
          <w:tab w:val="num" w:pos="900"/>
        </w:tabs>
        <w:ind w:start="900" w:hanging="72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8">
    <w:lvl w:ilvl="0">
      <w:start w:val="1"/>
      <w:numFmt w:val="decimal"/>
      <w:lvlText w:val="(%1)"/>
      <w:lvlJc w:val="start"/>
      <w:pPr>
        <w:tabs>
          <w:tab w:val="num" w:pos="720"/>
        </w:tabs>
        <w:ind w:start="720" w:hanging="720"/>
      </w:pPr>
      <w:rPr/>
    </w:lvl>
  </w:abstractNum>
  <w:abstractNum w:abstractNumId="9">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2"/>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10">
    <w:lvl w:ilvl="0">
      <w:start w:val="1"/>
      <w:numFmt w:val="none"/>
      <w:suff w:val="nothing"/>
      <w:lvlText w:val=""/>
      <w:lvlJc w:val="start"/>
      <w:pPr>
        <w:tabs>
          <w:tab w:val="num" w:pos="0"/>
        </w:tabs>
        <w:ind w:start="0" w:hanging="0"/>
      </w:pPr>
      <w:rPr>
        <w:smallCaps w:val="false"/>
        <w:caps w:val="false"/>
        <w:sz w:val="24"/>
        <w:i w:val="false"/>
        <w:u w:val="none"/>
        <w:b w:val="false"/>
        <w:rFonts w:ascii="Times New Roman" w:hAnsi="Times New Roman" w:cs="Times New Roman"/>
        <w:color w:val="000000"/>
      </w:rPr>
    </w:lvl>
    <w:lvl w:ilvl="1">
      <w:start w:val="1"/>
      <w:numFmt w:val="lowerLetter"/>
      <w:lvlText w:val="(%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Roman"/>
      <w:lvlText w:val="(%3)"/>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3">
      <w:start w:val="1"/>
      <w:numFmt w:val="upperLetter"/>
      <w:lvlText w:val="(%4)"/>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4">
      <w:start w:val="1"/>
      <w:numFmt w:val="upperRoman"/>
      <w:lvlText w:val="(%5)"/>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5">
      <w:start w:val="27"/>
      <w:numFmt w:val="lowerLetter"/>
      <w:lvlText w:val="(%6)"/>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lvl w:ilvl="6">
      <w:start w:val="1"/>
      <w:numFmt w:val="decimal"/>
      <w:lvlText w:val="(%7)"/>
      <w:lvlJc w:val="start"/>
      <w:pPr>
        <w:tabs>
          <w:tab w:val="num" w:pos="4320"/>
        </w:tabs>
        <w:ind w:start="4320" w:hanging="720"/>
      </w:pPr>
      <w:rPr>
        <w:smallCaps w:val="false"/>
        <w:caps w:val="false"/>
        <w:sz w:val="24"/>
        <w:i w:val="false"/>
        <w:u w:val="none"/>
        <w:b w:val="false"/>
        <w:rFonts w:ascii="Times New Roman" w:hAnsi="Times New Roman" w:cs="Times New Roman"/>
        <w:color w:val="000000"/>
      </w:rPr>
    </w:lvl>
    <w:lvl w:ilvl="7">
      <w:start w:val="1"/>
      <w:numFmt w:val="lowerRoman"/>
      <w:lvlText w:val="%8."/>
      <w:lvlJc w:val="start"/>
      <w:pPr>
        <w:tabs>
          <w:tab w:val="num" w:pos="5760"/>
        </w:tabs>
        <w:ind w:start="0" w:firstLine="5040"/>
      </w:pPr>
      <w:rPr>
        <w:smallCaps w:val="false"/>
        <w:caps w:val="false"/>
        <w:sz w:val="24"/>
        <w:i w:val="false"/>
        <w:u w:val="none"/>
        <w:b w:val="false"/>
        <w:rFonts w:ascii="Times New Roman" w:hAnsi="Times New Roman" w:cs="Times New Roman"/>
        <w:color w:val="000000"/>
      </w:rPr>
    </w:lvl>
    <w:lvl w:ilvl="8">
      <w:start w:val="1"/>
      <w:numFmt w:val="decimal"/>
      <w:lvlText w:val="%9."/>
      <w:lvlJc w:val="start"/>
      <w:pPr>
        <w:tabs>
          <w:tab w:val="num" w:pos="6480"/>
        </w:tabs>
        <w:ind w:start="0" w:firstLine="5760"/>
      </w:pPr>
      <w:rPr>
        <w:smallCaps w:val="false"/>
        <w:caps w:val="false"/>
        <w:sz w:val="24"/>
        <w:i w:val="false"/>
        <w:u w:val="none"/>
        <w:b w:val="false"/>
        <w:rFonts w:ascii="Times New Roman" w:hAnsi="Times New Roman" w:cs="Times New Roman"/>
        <w:color w:val="000000"/>
      </w:rPr>
    </w:lvl>
  </w:abstractNum>
  <w:abstractNum w:abstractNumId="11">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2">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Mark Parsons"/>
    <w:docVar w:name="authEmail" w:val="mark.parsons@freshfields.com"/>
    <w:docVar w:name="authExtension" w:val="4651"/>
    <w:docVar w:name="authFax" w:val="44 20 7108 4651"/>
    <w:docVar w:name="authId" w:val="MXPARSONS"/>
    <w:docVar w:name="authInitials" w:val="MP"/>
    <w:docVar w:name="authLocation" w:val="London"/>
    <w:docVar w:name="authName" w:val="Parsons, Mark"/>
    <w:docVar w:name="authPhone" w:val="44 20 7716 4651"/>
    <w:docVar w:name="docClass" w:val="-NONE-"/>
    <w:docVar w:name="docClient" w:val="104955"/>
    <w:docVar w:name="docCliMat" w:val="104955-0076"/>
    <w:docVar w:name="docDesc" w:val="ING/SWS - Final Exhibit 1"/>
    <w:docVar w:name="docGroup" w:val="document"/>
    <w:docVar w:name="docId" w:val="LC1495629"/>
    <w:docVar w:name="docIdVer" w:val="LC1495629/5"/>
    <w:docVar w:name="docLangId" w:val="2057"/>
    <w:docVar w:name="docLanguage" w:val="EN(UK)"/>
    <w:docVar w:name="docMatter" w:val="0076"/>
    <w:docVar w:name="docTemplate" w:val="document_english_portrait_a4.xml"/>
    <w:docVar w:name="docType" w:val="New Document"/>
    <w:docVar w:name="docVersion" w:val="5"/>
    <w:docVar w:name="operClass" w:val="Fee Earner"/>
    <w:docVar w:name="operCorresp" w:val="Mark Parsons"/>
    <w:docVar w:name="operEmail" w:val="mark.parsons@freshfields.com"/>
    <w:docVar w:name="operExtension" w:val="4651"/>
    <w:docVar w:name="operFax" w:val="44 20 7108 4651"/>
    <w:docVar w:name="operId" w:val="MXPARSONS"/>
    <w:docVar w:name="operInitials" w:val="MP"/>
    <w:docVar w:name="operLocation" w:val="London"/>
    <w:docVar w:name="operName" w:val="Parsons, Mark"/>
    <w:docVar w:name="operPhone" w:val="44 20 7716 4651"/>
    <w:docVar w:name="zzmpFixedCurScheme" w:val="FWB"/>
    <w:docVar w:name="zzmpFixedCurScheme_9.0" w:val="1zzmpFWB"/>
    <w:docVar w:name="zzmpFWB" w:val="||FW Body Text|2|3|0|1|0|49||1|0|32||1|0|32||1|0|32||1|0|32||1|0|32||1|0|32||1|0|32||mpNA||"/>
    <w:docVar w:name="zzmpFWD" w:val="||FW Definitions|2|3|1|0|0|32||1|0|0||1|0|0||1|0|0||1|0|0||1|0|0||1|0|0||mpNA||mpNA||"/>
    <w:docVar w:name="zzmpFWOut" w:val="||FW Outsourcing|2|3|0|1|2|41||1|2|33||1|0|32||1|0|32||1|0|32||1|0|32||1|0|32||1|0|32||1|0|32||"/>
    <w:docVar w:name="zzmpLTFontsClean" w:val="True"/>
    <w:docVar w:name="zzmpnSession" w:val="0.40279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Times New Roman" w:hAnsi="Times New Roman" w:cs="Times New Roman"/>
      <w:b/>
      <w:i w:val="false"/>
      <w:caps w:val="false"/>
      <w:smallCaps w:val="false"/>
      <w:color w:val="000000"/>
      <w:sz w:val="22"/>
      <w:u w:val="none"/>
    </w:rPr>
  </w:style>
  <w:style w:type="character" w:styleId="WW8Num11z2">
    <w:name w:val="WW8Num11z2"/>
    <w:qFormat/>
    <w:rPr>
      <w:rFonts w:ascii="Times New Roman" w:hAnsi="Times New Roman" w:cs="Times New Roman"/>
      <w:b w:val="false"/>
      <w:i w:val="false"/>
      <w:caps w:val="false"/>
      <w:smallCaps w:val="false"/>
      <w:color w:val="000000"/>
      <w:sz w:val="22"/>
      <w:u w:val="none"/>
    </w:rPr>
  </w:style>
  <w:style w:type="character" w:styleId="WW8Num12z0">
    <w:name w:val="WW8Num12z0"/>
    <w:qFormat/>
    <w:rPr/>
  </w:style>
  <w:style w:type="character" w:styleId="WW8Num13z0">
    <w:name w:val="WW8Num13z0"/>
    <w:qFormat/>
    <w:rPr/>
  </w:style>
  <w:style w:type="character" w:styleId="WW8Num14z0">
    <w:name w:val="WW8Num14z0"/>
    <w:qFormat/>
    <w:rPr>
      <w:sz w:val="18"/>
      <w:szCs w:val="18"/>
    </w:rPr>
  </w:style>
  <w:style w:type="character" w:styleId="WW8Num15z0">
    <w:name w:val="WW8Num15z0"/>
    <w:qFormat/>
    <w:rPr>
      <w:rFonts w:ascii="Times New Roman" w:hAnsi="Times New Roman" w:cs="Times New Roman"/>
      <w:b w:val="false"/>
      <w:i w:val="false"/>
      <w:caps w:val="false"/>
      <w:smallCaps w:val="false"/>
      <w:color w:val="000000"/>
      <w:sz w:val="24"/>
      <w:u w:val="none"/>
    </w:rPr>
  </w:style>
  <w:style w:type="character" w:styleId="WW8Num16z0">
    <w:name w:val="WW8Num16z0"/>
    <w:qFormat/>
    <w:rPr>
      <w:rFonts w:ascii="Times New Roman" w:hAnsi="Times New Roman" w:cs="Times New Roman"/>
      <w:b/>
      <w:i w:val="false"/>
      <w:caps w:val="false"/>
      <w:smallCaps w:val="false"/>
      <w:color w:val="000000"/>
      <w:u w:val="none"/>
    </w:rPr>
  </w:style>
  <w:style w:type="character" w:styleId="WW8Num16z1">
    <w:name w:val="WW8Num16z1"/>
    <w:qFormat/>
    <w:rPr>
      <w:rFonts w:ascii="Times New Roman" w:hAnsi="Times New Roman" w:cs="Times New Roman"/>
      <w:b w:val="false"/>
      <w:i w:val="false"/>
      <w:caps w:val="false"/>
      <w:smallCaps w:val="false"/>
      <w:color w:val="000000"/>
      <w:u w:val="none"/>
    </w:rPr>
  </w:style>
  <w:style w:type="character" w:styleId="WW8Num17z0">
    <w:name w:val="WW8Num17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DeltaViewInsertion">
    <w:name w:val="DeltaView Insertion"/>
    <w:qFormat/>
    <w:rPr>
      <w:color w:val="0000FF"/>
      <w:spacing w:val="0"/>
      <w:u w:val="double"/>
    </w:rPr>
  </w:style>
  <w:style w:type="character" w:styleId="FWBL1Char">
    <w:name w:val="FWB_L1 Char"/>
    <w:basedOn w:val="DefaultParagraphFont"/>
    <w:qFormat/>
    <w:rPr>
      <w:b/>
      <w:smallCaps/>
      <w:sz w:val="24"/>
      <w:lang w:val="en-GB" w:bidi="ar-SA"/>
    </w:rPr>
  </w:style>
  <w:style w:type="character" w:styleId="FWBL2Char">
    <w:name w:val="FWB_L2 Char"/>
    <w:basedOn w:val="FWBL1Char"/>
    <w:qFormat/>
    <w:rPr/>
  </w:style>
  <w:style w:type="character" w:styleId="StuartJohnson">
    <w:name w:val="Stuart Johnson"/>
    <w:basedOn w:val="DefaultParagraphFont"/>
    <w:qFormat/>
    <w:rPr>
      <w:rFonts w:ascii="Arial" w:hAnsi="Arial" w:cs="Arial"/>
      <w:color w:val="000080"/>
      <w:sz w:val="20"/>
      <w:szCs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lang w:val="en-US"/>
    </w:rPr>
  </w:style>
  <w:style w:type="paragraph" w:styleId="BodyText">
    <w:name w:val="Body Text"/>
    <w:basedOn w:val="Normal"/>
    <w:pPr>
      <w:spacing w:before="0" w:after="24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8"/>
      </w:numPr>
    </w:pPr>
    <w:rPr/>
  </w:style>
  <w:style w:type="paragraph" w:styleId="FWRecital">
    <w:name w:val="FWRecital"/>
    <w:basedOn w:val="BodyText"/>
    <w:qFormat/>
    <w:pPr>
      <w:numPr>
        <w:ilvl w:val="0"/>
        <w:numId w:val="12"/>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left" w:pos="357" w:leader="none"/>
        <w:tab w:val="left" w:pos="720" w:leader="none"/>
        <w:tab w:val="right" w:pos="8307" w:leader="dot"/>
      </w:tabs>
      <w:spacing w:before="120" w:after="0"/>
      <w:ind w:hanging="360" w:start="720"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color w:val="FF0000"/>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1"/>
      </w:numPr>
      <w:spacing w:before="0" w:after="240"/>
      <w:outlineLvl w:val="0"/>
    </w:pPr>
    <w:rPr>
      <w:b/>
      <w:smallCaps/>
      <w:szCs w:val="20"/>
    </w:rPr>
  </w:style>
  <w:style w:type="paragraph" w:styleId="FWBL2">
    <w:name w:val="FWB_L2"/>
    <w:basedOn w:val="FWBL1"/>
    <w:qFormat/>
    <w:pPr>
      <w:keepNext w:val="false"/>
      <w:keepLines w:val="false"/>
      <w:numPr>
        <w:ilvl w:val="0"/>
        <w:numId w:val="11"/>
      </w:numPr>
      <w:jc w:val="both"/>
      <w:outlineLvl w:val="9"/>
    </w:pPr>
    <w:rPr>
      <w:b w:val="false"/>
      <w:caps w:val="false"/>
      <w:smallCaps w:val="false"/>
    </w:rPr>
  </w:style>
  <w:style w:type="paragraph" w:styleId="FWBL3">
    <w:name w:val="FWB_L3"/>
    <w:basedOn w:val="FWBL2"/>
    <w:qFormat/>
    <w:pPr>
      <w:numPr>
        <w:ilvl w:val="0"/>
        <w:numId w:val="11"/>
      </w:numPr>
    </w:pPr>
    <w:rPr/>
  </w:style>
  <w:style w:type="paragraph" w:styleId="FWBL4">
    <w:name w:val="FWB_L4"/>
    <w:basedOn w:val="FWBL3"/>
    <w:qFormat/>
    <w:pPr>
      <w:numPr>
        <w:ilvl w:val="0"/>
        <w:numId w:val="11"/>
      </w:numPr>
    </w:pPr>
    <w:rPr/>
  </w:style>
  <w:style w:type="paragraph" w:styleId="FWBL5">
    <w:name w:val="FWB_L5"/>
    <w:basedOn w:val="FWBL4"/>
    <w:qFormat/>
    <w:pPr>
      <w:numPr>
        <w:ilvl w:val="0"/>
        <w:numId w:val="11"/>
      </w:numPr>
    </w:pPr>
    <w:rPr/>
  </w:style>
  <w:style w:type="paragraph" w:styleId="FWBL6">
    <w:name w:val="FWB_L6"/>
    <w:basedOn w:val="FWBL5"/>
    <w:qFormat/>
    <w:pPr>
      <w:numPr>
        <w:ilvl w:val="0"/>
        <w:numId w:val="11"/>
      </w:numPr>
    </w:pPr>
    <w:rPr/>
  </w:style>
  <w:style w:type="paragraph" w:styleId="FWBL7">
    <w:name w:val="FWB_L7"/>
    <w:basedOn w:val="FWBL6"/>
    <w:qFormat/>
    <w:pPr>
      <w:numPr>
        <w:ilvl w:val="0"/>
        <w:numId w:val="11"/>
      </w:numPr>
    </w:pPr>
    <w:rPr/>
  </w:style>
  <w:style w:type="paragraph" w:styleId="FWBL8">
    <w:name w:val="FWB_L8"/>
    <w:basedOn w:val="FWBL7"/>
    <w:qFormat/>
    <w:pPr>
      <w:numPr>
        <w:ilvl w:val="0"/>
        <w:numId w:val="11"/>
      </w:numPr>
    </w:pPr>
    <w:rPr/>
  </w:style>
  <w:style w:type="paragraph" w:styleId="FWDL1">
    <w:name w:val="FWD_L1"/>
    <w:basedOn w:val="Normal"/>
    <w:qFormat/>
    <w:pPr>
      <w:numPr>
        <w:ilvl w:val="0"/>
        <w:numId w:val="10"/>
      </w:numPr>
      <w:spacing w:before="0" w:after="240"/>
      <w:jc w:val="both"/>
    </w:pPr>
    <w:rPr>
      <w:szCs w:val="20"/>
    </w:rPr>
  </w:style>
  <w:style w:type="paragraph" w:styleId="FWDL2">
    <w:name w:val="FWD_L2"/>
    <w:basedOn w:val="FWDL1"/>
    <w:qFormat/>
    <w:pPr>
      <w:numPr>
        <w:ilvl w:val="0"/>
        <w:numId w:val="10"/>
      </w:numPr>
      <w:tabs>
        <w:tab w:val="clear" w:pos="720"/>
        <w:tab w:val="left" w:pos="360" w:leader="none"/>
      </w:tabs>
      <w:ind w:hanging="0" w:start="0" w:end="0"/>
    </w:pPr>
    <w:rPr/>
  </w:style>
  <w:style w:type="paragraph" w:styleId="FWDL3">
    <w:name w:val="FWD_L3"/>
    <w:basedOn w:val="FWDL2"/>
    <w:qFormat/>
    <w:pPr>
      <w:numPr>
        <w:ilvl w:val="0"/>
        <w:numId w:val="10"/>
      </w:numPr>
      <w:tabs>
        <w:tab w:val="left" w:pos="360" w:leader="none"/>
        <w:tab w:val="left" w:pos="720" w:leader="none"/>
      </w:tabs>
      <w:ind w:hanging="720" w:start="720" w:end="0"/>
    </w:pPr>
    <w:rPr/>
  </w:style>
  <w:style w:type="paragraph" w:styleId="FWDL4">
    <w:name w:val="FWD_L4"/>
    <w:basedOn w:val="FWDL3"/>
    <w:qFormat/>
    <w:pPr>
      <w:numPr>
        <w:ilvl w:val="0"/>
        <w:numId w:val="10"/>
      </w:numPr>
      <w:tabs>
        <w:tab w:val="left" w:pos="360" w:leader="none"/>
        <w:tab w:val="left" w:pos="720" w:leader="none"/>
        <w:tab w:val="left" w:pos="1440" w:leader="none"/>
      </w:tabs>
      <w:ind w:hanging="216" w:start="1440" w:end="0"/>
    </w:pPr>
    <w:rPr/>
  </w:style>
  <w:style w:type="paragraph" w:styleId="FWDL5">
    <w:name w:val="FWD_L5"/>
    <w:basedOn w:val="FWDL4"/>
    <w:qFormat/>
    <w:pPr>
      <w:numPr>
        <w:ilvl w:val="0"/>
        <w:numId w:val="10"/>
      </w:numPr>
      <w:tabs>
        <w:tab w:val="left" w:pos="360" w:leader="none"/>
        <w:tab w:val="left" w:pos="720" w:leader="none"/>
        <w:tab w:val="left" w:pos="1440" w:leader="none"/>
        <w:tab w:val="left" w:pos="2160" w:leader="none"/>
      </w:tabs>
      <w:ind w:hanging="720" w:start="2160" w:end="0"/>
    </w:pPr>
    <w:rPr/>
  </w:style>
  <w:style w:type="paragraph" w:styleId="FWDL6">
    <w:name w:val="FWD_L6"/>
    <w:basedOn w:val="FWDL5"/>
    <w:qFormat/>
    <w:pPr>
      <w:numPr>
        <w:ilvl w:val="0"/>
        <w:numId w:val="10"/>
      </w:numPr>
      <w:tabs>
        <w:tab w:val="left" w:pos="360" w:leader="none"/>
        <w:tab w:val="left" w:pos="720" w:leader="none"/>
        <w:tab w:val="left" w:pos="1440" w:leader="none"/>
        <w:tab w:val="left" w:pos="2160" w:leader="none"/>
        <w:tab w:val="left" w:pos="2880" w:leader="none"/>
      </w:tabs>
      <w:ind w:hanging="216" w:start="2880" w:end="0"/>
    </w:pPr>
    <w:rPr/>
  </w:style>
  <w:style w:type="paragraph" w:styleId="FWDL7">
    <w:name w:val="FWD_L7"/>
    <w:basedOn w:val="FWDL6"/>
    <w:qFormat/>
    <w:pPr>
      <w:numPr>
        <w:ilvl w:val="0"/>
        <w:numId w:val="10"/>
      </w:numPr>
      <w:tabs>
        <w:tab w:val="left" w:pos="360" w:leader="none"/>
        <w:tab w:val="left" w:pos="720" w:leader="none"/>
        <w:tab w:val="left" w:pos="1440" w:leader="none"/>
        <w:tab w:val="left" w:pos="2160" w:leader="none"/>
        <w:tab w:val="left" w:pos="2880" w:leader="none"/>
        <w:tab w:val="left" w:pos="3600" w:leader="none"/>
      </w:tabs>
      <w:ind w:hanging="216" w:start="3600" w:end="0"/>
    </w:pPr>
    <w:rPr/>
  </w:style>
  <w:style w:type="paragraph" w:styleId="NormalWeb">
    <w:name w:val="Normal (Web)"/>
    <w:basedOn w:val="Normal"/>
    <w:qFormat/>
    <w:pPr>
      <w:spacing w:before="280" w:after="280"/>
    </w:pPr>
    <w:rPr>
      <w:rFonts w:ascii="Arial Unicode MS" w:hAnsi="Arial Unicode MS" w:eastAsia="Arial Unicode MS" w:cs="Arial Unicode MS"/>
    </w:rPr>
  </w:style>
  <w:style w:type="paragraph" w:styleId="TableText">
    <w:name w:val="Table Text"/>
    <w:basedOn w:val="Normal"/>
    <w:qFormat/>
    <w:pPr>
      <w:spacing w:before="120" w:after="120"/>
    </w:pPr>
    <w:rPr>
      <w:sz w:val="22"/>
      <w:lang w:val="en-US"/>
    </w:rPr>
  </w:style>
  <w:style w:type="paragraph" w:styleId="FWOutCont2">
    <w:name w:val="FWOut Cont 2"/>
    <w:basedOn w:val="Normal"/>
    <w:qFormat/>
    <w:pPr>
      <w:spacing w:before="0" w:after="240"/>
      <w:jc w:val="both"/>
    </w:pPr>
    <w:rPr>
      <w:sz w:val="22"/>
      <w:szCs w:val="20"/>
    </w:rPr>
  </w:style>
  <w:style w:type="paragraph" w:styleId="FWOutL1">
    <w:name w:val="FWOut_L1"/>
    <w:basedOn w:val="Normal"/>
    <w:next w:val="FWOutL2"/>
    <w:qFormat/>
    <w:pPr>
      <w:keepNext w:val="true"/>
      <w:keepLines/>
      <w:numPr>
        <w:ilvl w:val="0"/>
        <w:numId w:val="9"/>
      </w:numPr>
      <w:spacing w:before="0" w:after="240"/>
      <w:jc w:val="center"/>
      <w:outlineLvl w:val="0"/>
    </w:pPr>
    <w:rPr>
      <w:b/>
      <w:caps/>
      <w:sz w:val="22"/>
      <w:szCs w:val="20"/>
    </w:rPr>
  </w:style>
  <w:style w:type="paragraph" w:styleId="FWOutL2">
    <w:name w:val="FWOut_L2"/>
    <w:basedOn w:val="FWOutL1"/>
    <w:qFormat/>
    <w:pPr>
      <w:numPr>
        <w:ilvl w:val="0"/>
        <w:numId w:val="9"/>
      </w:numPr>
      <w:tabs>
        <w:tab w:val="clear" w:pos="720"/>
        <w:tab w:val="left" w:pos="360" w:leader="none"/>
      </w:tabs>
      <w:jc w:val="start"/>
      <w:outlineLvl w:val="1"/>
    </w:pPr>
    <w:rPr>
      <w:caps w:val="false"/>
      <w:smallCaps w:val="false"/>
    </w:rPr>
  </w:style>
  <w:style w:type="paragraph" w:styleId="FWOutL3">
    <w:name w:val="FWOut_L3"/>
    <w:basedOn w:val="FWOutL2"/>
    <w:qFormat/>
    <w:pPr>
      <w:keepNext w:val="false"/>
      <w:keepLines w:val="false"/>
      <w:numPr>
        <w:ilvl w:val="0"/>
        <w:numId w:val="9"/>
      </w:numPr>
      <w:jc w:val="both"/>
      <w:outlineLvl w:val="9"/>
    </w:pPr>
    <w:rPr>
      <w:b w:val="false"/>
    </w:rPr>
  </w:style>
  <w:style w:type="paragraph" w:styleId="FWOutL4">
    <w:name w:val="FWOut_L4"/>
    <w:basedOn w:val="FWOutL3"/>
    <w:qFormat/>
    <w:pPr>
      <w:numPr>
        <w:ilvl w:val="0"/>
        <w:numId w:val="9"/>
      </w:numPr>
    </w:pPr>
    <w:rPr/>
  </w:style>
  <w:style w:type="paragraph" w:styleId="FWOutL5">
    <w:name w:val="FWOut_L5"/>
    <w:basedOn w:val="FWOutL4"/>
    <w:qFormat/>
    <w:pPr>
      <w:numPr>
        <w:ilvl w:val="0"/>
        <w:numId w:val="9"/>
      </w:numPr>
    </w:pPr>
    <w:rPr/>
  </w:style>
  <w:style w:type="paragraph" w:styleId="FWOutL6">
    <w:name w:val="FWOut_L6"/>
    <w:basedOn w:val="FWOutL5"/>
    <w:qFormat/>
    <w:pPr>
      <w:numPr>
        <w:ilvl w:val="0"/>
        <w:numId w:val="9"/>
      </w:numPr>
    </w:pPr>
    <w:rPr/>
  </w:style>
  <w:style w:type="paragraph" w:styleId="FWOutL7">
    <w:name w:val="FWOut_L7"/>
    <w:basedOn w:val="FWOutL6"/>
    <w:qFormat/>
    <w:pPr>
      <w:numPr>
        <w:ilvl w:val="0"/>
        <w:numId w:val="9"/>
      </w:numPr>
    </w:pPr>
    <w:rPr/>
  </w:style>
  <w:style w:type="paragraph" w:styleId="FWOutL8">
    <w:name w:val="FWOut_L8"/>
    <w:basedOn w:val="FWOutL7"/>
    <w:qFormat/>
    <w:pPr>
      <w:numPr>
        <w:ilvl w:val="0"/>
        <w:numId w:val="9"/>
      </w:numPr>
    </w:pPr>
    <w:rPr/>
  </w:style>
  <w:style w:type="paragraph" w:styleId="FWOutL9">
    <w:name w:val="FWOut_L9"/>
    <w:basedOn w:val="FWOutL8"/>
    <w:qFormat/>
    <w:pPr>
      <w:numPr>
        <w:ilvl w:val="0"/>
        <w:numId w:val="9"/>
      </w:numPr>
    </w:pPr>
    <w:rPr/>
  </w:style>
  <w:style w:type="paragraph" w:styleId="AMBodyCont5">
    <w:name w:val="AMBody Cont 5"/>
    <w:basedOn w:val="Normal"/>
    <w:qFormat/>
    <w:pPr>
      <w:spacing w:before="0" w:after="240"/>
      <w:ind w:hanging="0" w:start="2837" w:end="0"/>
      <w:jc w:val="both"/>
    </w:pPr>
    <w:rPr>
      <w:szCs w:val="20"/>
      <w:lang w:val="nl-NL"/>
    </w:rPr>
  </w:style>
  <w:style w:type="paragraph" w:styleId="Ballontekst1">
    <w:name w:val="Ballontekst1"/>
    <w:basedOn w:val="Normal"/>
    <w:qFormat/>
    <w:pPr/>
    <w:rPr>
      <w:rFonts w:ascii="Tahoma" w:hAnsi="Tahoma" w:cs="Tahoma"/>
      <w:sz w:val="16"/>
      <w:szCs w:val="16"/>
    </w:rPr>
  </w:style>
  <w:style w:type="paragraph" w:styleId="BalloonText">
    <w:name w:val="Balloon Text"/>
    <w:basedOn w:val="Normal"/>
    <w:qFormat/>
    <w:pPr/>
    <w:rPr>
      <w:rFonts w:ascii="Tahoma" w:hAnsi="Tahoma" w:cs="Tahoma"/>
      <w:sz w:val="16"/>
      <w:szCs w:val="16"/>
    </w:rPr>
  </w:style>
  <w:style w:type="paragraph" w:styleId="DeltaViewTableBody">
    <w:name w:val="DeltaView Table Body"/>
    <w:basedOn w:val="Normal"/>
    <w:qFormat/>
    <w:pPr>
      <w:autoSpaceDE w:val="false"/>
    </w:pPr>
    <w:rPr>
      <w:rFonts w:ascii="Arial" w:hAnsi="Arial" w:eastAsia="MS Mincho;Arial Unicode MS" w:cs="Arial"/>
      <w:lang w:val="en-US" w:eastAsia="zh-CN"/>
    </w:rPr>
  </w:style>
  <w:style w:type="paragraph" w:styleId="Title">
    <w:name w:val="Title"/>
    <w:basedOn w:val="Normal"/>
    <w:next w:val="BodyText"/>
    <w:qFormat/>
    <w:pPr>
      <w:spacing w:before="240" w:after="240"/>
      <w:jc w:val="center"/>
      <w:outlineLvl w:val="0"/>
    </w:pPr>
    <w:rPr>
      <w:rFonts w:cs="Arial"/>
      <w:b/>
      <w:bCs/>
      <w:caps/>
      <w:kern w:val="2"/>
      <w:sz w:val="32"/>
      <w:szCs w:val="32"/>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6</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2006-12-13T15:29:00Z</dcterms:created>
  <dc:creator>Stuart Johnson</dc:creator>
  <dc:description/>
  <cp:keywords/>
  <dc:language>en-US</dc:language>
  <cp:lastModifiedBy>Stuart Johnson</cp:lastModifiedBy>
  <cp:lastPrinted>2006-06-26T16:36:00Z</cp:lastPrinted>
  <dcterms:modified xsi:type="dcterms:W3CDTF">2006-12-13T15:37:00Z</dcterms:modified>
  <cp:revision>6</cp:revision>
  <dc:subject/>
  <dc:title>Base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1.0.2</vt:lpwstr>
  </property>
  <property fmtid="{D5CDD505-2E9C-101B-9397-08002B2CF9AE}" pid="3" name="_NewReviewCycle">
    <vt:lpwstr/>
  </property>
  <property fmtid="{D5CDD505-2E9C-101B-9397-08002B2CF9AE}" pid="4" name="authClass">
    <vt:lpwstr>Fee Earner</vt:lpwstr>
  </property>
  <property fmtid="{D5CDD505-2E9C-101B-9397-08002B2CF9AE}" pid="5" name="authCorresp">
    <vt:lpwstr>Mark Parsons</vt:lpwstr>
  </property>
  <property fmtid="{D5CDD505-2E9C-101B-9397-08002B2CF9AE}" pid="6" name="authEmail">
    <vt:lpwstr>mark.parsons@freshfields.com</vt:lpwstr>
  </property>
  <property fmtid="{D5CDD505-2E9C-101B-9397-08002B2CF9AE}" pid="7" name="authExtension">
    <vt:lpwstr>4651</vt:lpwstr>
  </property>
  <property fmtid="{D5CDD505-2E9C-101B-9397-08002B2CF9AE}" pid="8" name="authFax">
    <vt:lpwstr>44 20 7108 4651</vt:lpwstr>
  </property>
  <property fmtid="{D5CDD505-2E9C-101B-9397-08002B2CF9AE}" pid="9" name="authId">
    <vt:lpwstr>MXPARSONS</vt:lpwstr>
  </property>
  <property fmtid="{D5CDD505-2E9C-101B-9397-08002B2CF9AE}" pid="10" name="authInitials">
    <vt:lpwstr>MP</vt:lpwstr>
  </property>
  <property fmtid="{D5CDD505-2E9C-101B-9397-08002B2CF9AE}" pid="11" name="authLocation">
    <vt:lpwstr>London</vt:lpwstr>
  </property>
  <property fmtid="{D5CDD505-2E9C-101B-9397-08002B2CF9AE}" pid="12" name="authName">
    <vt:lpwstr>Parsons, Mark</vt:lpwstr>
  </property>
  <property fmtid="{D5CDD505-2E9C-101B-9397-08002B2CF9AE}" pid="13" name="authPhone">
    <vt:lpwstr>44 20 7716 4651</vt:lpwstr>
  </property>
  <property fmtid="{D5CDD505-2E9C-101B-9397-08002B2CF9AE}" pid="14" name="docClass">
    <vt:lpwstr>-NONE-</vt:lpwstr>
  </property>
  <property fmtid="{D5CDD505-2E9C-101B-9397-08002B2CF9AE}" pid="15" name="docCliMat">
    <vt:lpwstr>104955-0076</vt:lpwstr>
  </property>
  <property fmtid="{D5CDD505-2E9C-101B-9397-08002B2CF9AE}" pid="16" name="docClient">
    <vt:lpwstr>104955</vt:lpwstr>
  </property>
  <property fmtid="{D5CDD505-2E9C-101B-9397-08002B2CF9AE}" pid="17" name="docDesc">
    <vt:lpwstr>ING/SWS - Final Exhibit 1</vt:lpwstr>
  </property>
  <property fmtid="{D5CDD505-2E9C-101B-9397-08002B2CF9AE}" pid="18" name="docGlobPracGroup">
    <vt:lpwstr/>
  </property>
  <property fmtid="{D5CDD505-2E9C-101B-9397-08002B2CF9AE}" pid="19" name="docGlobSectGroup">
    <vt:lpwstr/>
  </property>
  <property fmtid="{D5CDD505-2E9C-101B-9397-08002B2CF9AE}" pid="20" name="docGroup">
    <vt:lpwstr>document</vt:lpwstr>
  </property>
  <property fmtid="{D5CDD505-2E9C-101B-9397-08002B2CF9AE}" pid="21" name="docId">
    <vt:lpwstr>LC1495629</vt:lpwstr>
  </property>
  <property fmtid="{D5CDD505-2E9C-101B-9397-08002B2CF9AE}" pid="22" name="docIdVer">
    <vt:lpwstr>LC1495629/5</vt:lpwstr>
  </property>
  <property fmtid="{D5CDD505-2E9C-101B-9397-08002B2CF9AE}" pid="23" name="docLangId">
    <vt:lpwstr>2057</vt:lpwstr>
  </property>
  <property fmtid="{D5CDD505-2E9C-101B-9397-08002B2CF9AE}" pid="24" name="docLanguage">
    <vt:lpwstr>EN(UK)</vt:lpwstr>
  </property>
  <property fmtid="{D5CDD505-2E9C-101B-9397-08002B2CF9AE}" pid="25" name="docMatter">
    <vt:lpwstr>0076</vt:lpwstr>
  </property>
  <property fmtid="{D5CDD505-2E9C-101B-9397-08002B2CF9AE}" pid="26" name="docOrganisation">
    <vt:lpwstr/>
  </property>
  <property fmtid="{D5CDD505-2E9C-101B-9397-08002B2CF9AE}" pid="27" name="docParams">
    <vt:lpwstr/>
  </property>
  <property fmtid="{D5CDD505-2E9C-101B-9397-08002B2CF9AE}" pid="28" name="docSubClass">
    <vt:lpwstr/>
  </property>
  <property fmtid="{D5CDD505-2E9C-101B-9397-08002B2CF9AE}" pid="29" name="docTemplate">
    <vt:lpwstr>document_english_portrait_a4.xml</vt:lpwstr>
  </property>
  <property fmtid="{D5CDD505-2E9C-101B-9397-08002B2CF9AE}" pid="30" name="docType">
    <vt:lpwstr>New Document</vt:lpwstr>
  </property>
  <property fmtid="{D5CDD505-2E9C-101B-9397-08002B2CF9AE}" pid="31" name="docVersion">
    <vt:lpwstr>5</vt:lpwstr>
  </property>
  <property fmtid="{D5CDD505-2E9C-101B-9397-08002B2CF9AE}" pid="32" name="operClass">
    <vt:lpwstr>Fee Earner</vt:lpwstr>
  </property>
  <property fmtid="{D5CDD505-2E9C-101B-9397-08002B2CF9AE}" pid="33" name="operCorresp">
    <vt:lpwstr>Mark Parsons</vt:lpwstr>
  </property>
  <property fmtid="{D5CDD505-2E9C-101B-9397-08002B2CF9AE}" pid="34" name="operEmail">
    <vt:lpwstr>mark.parsons@freshfields.com</vt:lpwstr>
  </property>
  <property fmtid="{D5CDD505-2E9C-101B-9397-08002B2CF9AE}" pid="35" name="operExtension">
    <vt:lpwstr>4651</vt:lpwstr>
  </property>
  <property fmtid="{D5CDD505-2E9C-101B-9397-08002B2CF9AE}" pid="36" name="operFax">
    <vt:lpwstr>44 20 7108 4651</vt:lpwstr>
  </property>
  <property fmtid="{D5CDD505-2E9C-101B-9397-08002B2CF9AE}" pid="37" name="operId">
    <vt:lpwstr>MXPARSONS</vt:lpwstr>
  </property>
  <property fmtid="{D5CDD505-2E9C-101B-9397-08002B2CF9AE}" pid="38" name="operInitials">
    <vt:lpwstr>MP</vt:lpwstr>
  </property>
  <property fmtid="{D5CDD505-2E9C-101B-9397-08002B2CF9AE}" pid="39" name="operLocation">
    <vt:lpwstr>London</vt:lpwstr>
  </property>
  <property fmtid="{D5CDD505-2E9C-101B-9397-08002B2CF9AE}" pid="40" name="operName">
    <vt:lpwstr>Parsons, Mark</vt:lpwstr>
  </property>
  <property fmtid="{D5CDD505-2E9C-101B-9397-08002B2CF9AE}" pid="41" name="operPhone">
    <vt:lpwstr>44 20 7716 4651</vt:lpwstr>
  </property>
</Properties>
</file>