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12</w:t>
      </w:r>
    </w:p>
    <w:p>
      <w:pPr>
        <w:pStyle w:val="Title"/>
        <w:rPr>
          <w:lang w:val="en-GB"/>
        </w:rPr>
      </w:pPr>
      <w:r>
        <w:rPr>
          <w:lang w:val="en-GB"/>
        </w:rPr>
      </w:r>
    </w:p>
    <w:p>
      <w:pPr>
        <w:pStyle w:val="Title"/>
        <w:rPr>
          <w:lang w:val="en-GB"/>
        </w:rPr>
      </w:pPr>
      <w:r>
        <w:rPr>
          <w:lang w:val="en-GB"/>
        </w:rPr>
        <w:t>Third Party Contracts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US" w:eastAsia="en-US"/>
            </w:rPr>
            <w:instrText xml:space="preserve"> TOC \t "Heading 1 Numbered,1,Heading 2 Numbered,2,Heading 3 Numbered,3" </w:instrText>
          </w:r>
          <w:r>
            <w:rPr>
              <w:sz w:val="18"/>
              <w:szCs w:val="18"/>
              <w:lang w:val="en-US" w:eastAsia="en-US"/>
            </w:rPr>
            <w:fldChar w:fldCharType="separate"/>
          </w:r>
          <w:r>
            <w:rPr>
              <w:sz w:val="18"/>
              <w:szCs w:val="18"/>
              <w:lang w:val="en-US" w:eastAsia="en-US"/>
            </w:rPr>
            <w:t>1.</w:t>
          </w:r>
          <w:r>
            <w:rPr>
              <w:b w:val="false"/>
              <w:sz w:val="18"/>
              <w:szCs w:val="18"/>
              <w:lang w:val="en-US" w:eastAsia="en-US"/>
            </w:rPr>
            <w:tab/>
          </w:r>
          <w:r>
            <w:rPr>
              <w:sz w:val="18"/>
              <w:szCs w:val="18"/>
              <w:lang w:val="en-US" w:eastAsia="en-US"/>
            </w:rPr>
            <w:t>Introduction</w:t>
            <w:tab/>
          </w:r>
          <w:hyperlink w:anchor="__RefHeading___Toc152058821">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2.</w:t>
          </w:r>
          <w:r>
            <w:rPr>
              <w:b w:val="false"/>
              <w:sz w:val="18"/>
              <w:szCs w:val="18"/>
              <w:lang w:val="en-US" w:eastAsia="en-US"/>
            </w:rPr>
            <w:tab/>
          </w:r>
          <w:r>
            <w:rPr>
              <w:sz w:val="18"/>
              <w:szCs w:val="18"/>
              <w:lang w:val="en-US" w:eastAsia="en-US"/>
            </w:rPr>
            <w:t>Contract Categories</w:t>
            <w:tab/>
          </w:r>
          <w:hyperlink w:anchor="__RefHeading___Toc152058822">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3.</w:t>
          </w:r>
          <w:r>
            <w:rPr>
              <w:b w:val="false"/>
              <w:sz w:val="18"/>
              <w:szCs w:val="18"/>
              <w:lang w:val="en-US" w:eastAsia="en-US"/>
            </w:rPr>
            <w:tab/>
          </w:r>
          <w:r>
            <w:rPr>
              <w:sz w:val="18"/>
              <w:szCs w:val="18"/>
              <w:lang w:val="en-US" w:eastAsia="en-US"/>
            </w:rPr>
            <w:t>Responsibilities under each Contract Category</w:t>
            <w:tab/>
          </w:r>
          <w:hyperlink w:anchor="__RefHeading___Toc152058823">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US" w:eastAsia="en-US"/>
            </w:rPr>
            <w:t>3.1</w:t>
          </w:r>
          <w:r>
            <w:rPr>
              <w:b w:val="false"/>
              <w:sz w:val="18"/>
              <w:szCs w:val="18"/>
              <w:lang w:val="en-US" w:eastAsia="en-US"/>
            </w:rPr>
            <w:tab/>
          </w:r>
          <w:r>
            <w:rPr>
              <w:sz w:val="18"/>
              <w:szCs w:val="18"/>
              <w:lang w:val="en-US" w:eastAsia="en-US"/>
            </w:rPr>
            <w:t>Generally</w:t>
            <w:tab/>
          </w:r>
          <w:hyperlink w:anchor="__RefHeading___Toc152058824">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US" w:eastAsia="en-US"/>
            </w:rPr>
            <w:t>3.2</w:t>
          </w:r>
          <w:r>
            <w:rPr>
              <w:b w:val="false"/>
              <w:sz w:val="18"/>
              <w:szCs w:val="18"/>
              <w:lang w:val="en-US" w:eastAsia="en-US"/>
            </w:rPr>
            <w:tab/>
          </w:r>
          <w:r>
            <w:rPr>
              <w:bCs/>
              <w:sz w:val="18"/>
              <w:szCs w:val="18"/>
              <w:lang w:val="en-US" w:eastAsia="en-US"/>
            </w:rPr>
            <w:t>Novated Contracts</w:t>
          </w:r>
          <w:r>
            <w:rPr>
              <w:sz w:val="18"/>
              <w:szCs w:val="18"/>
              <w:lang w:val="en-US" w:eastAsia="en-US"/>
            </w:rPr>
            <w:tab/>
          </w:r>
          <w:hyperlink w:anchor="__RefHeading___Toc152058825">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3.3</w:t>
          </w:r>
          <w:r>
            <w:rPr>
              <w:b w:val="false"/>
              <w:sz w:val="18"/>
              <w:szCs w:val="18"/>
              <w:lang w:val="en-US" w:eastAsia="en-US"/>
            </w:rPr>
            <w:tab/>
          </w:r>
          <w:r>
            <w:rPr>
              <w:bCs/>
              <w:sz w:val="18"/>
              <w:szCs w:val="18"/>
              <w:lang w:val="en-GB" w:eastAsia="en-US"/>
            </w:rPr>
            <w:t>Retained Contracts</w:t>
          </w:r>
          <w:r>
            <w:rPr>
              <w:sz w:val="18"/>
              <w:szCs w:val="18"/>
              <w:lang w:val="en-US" w:eastAsia="en-US"/>
            </w:rPr>
            <w:tab/>
          </w:r>
          <w:hyperlink w:anchor="__RefHeading___Toc152058826">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3.4</w:t>
          </w:r>
          <w:r>
            <w:rPr>
              <w:b w:val="false"/>
              <w:sz w:val="18"/>
              <w:szCs w:val="18"/>
              <w:lang w:val="en-US" w:eastAsia="en-US"/>
            </w:rPr>
            <w:tab/>
          </w:r>
          <w:r>
            <w:rPr>
              <w:bCs/>
              <w:sz w:val="18"/>
              <w:szCs w:val="18"/>
              <w:lang w:val="en-GB" w:eastAsia="en-US"/>
            </w:rPr>
            <w:t>Contracts to be Terminated</w:t>
          </w:r>
          <w:r>
            <w:rPr>
              <w:sz w:val="18"/>
              <w:szCs w:val="18"/>
              <w:lang w:val="en-US" w:eastAsia="en-US"/>
            </w:rPr>
            <w:tab/>
          </w:r>
          <w:hyperlink w:anchor="__RefHeading___Toc152058827">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3.5</w:t>
          </w:r>
          <w:r>
            <w:rPr>
              <w:b w:val="false"/>
              <w:sz w:val="18"/>
              <w:szCs w:val="18"/>
              <w:lang w:val="en-US" w:eastAsia="en-US"/>
            </w:rPr>
            <w:tab/>
          </w:r>
          <w:r>
            <w:rPr>
              <w:bCs/>
              <w:sz w:val="18"/>
              <w:szCs w:val="18"/>
              <w:lang w:val="en-GB" w:eastAsia="en-US"/>
            </w:rPr>
            <w:t>Impact Base Charges</w:t>
          </w:r>
          <w:r>
            <w:rPr>
              <w:sz w:val="18"/>
              <w:szCs w:val="18"/>
              <w:lang w:val="en-US" w:eastAsia="en-US"/>
            </w:rPr>
            <w:tab/>
          </w:r>
          <w:hyperlink w:anchor="__RefHeading___Toc152058828">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4.</w:t>
          </w:r>
          <w:r>
            <w:rPr>
              <w:b w:val="false"/>
              <w:sz w:val="18"/>
              <w:szCs w:val="18"/>
              <w:lang w:val="en-US" w:eastAsia="en-US"/>
            </w:rPr>
            <w:tab/>
          </w:r>
          <w:r>
            <w:rPr>
              <w:sz w:val="18"/>
              <w:szCs w:val="18"/>
              <w:lang w:val="en-US" w:eastAsia="en-US"/>
            </w:rPr>
            <w:t>System Software License Contracts</w:t>
            <w:tab/>
          </w:r>
          <w:hyperlink w:anchor="__RefHeading___Toc152058829">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5.</w:t>
          </w:r>
          <w:r>
            <w:rPr>
              <w:b w:val="false"/>
              <w:sz w:val="18"/>
              <w:szCs w:val="18"/>
              <w:lang w:val="en-US" w:eastAsia="en-US"/>
            </w:rPr>
            <w:tab/>
          </w:r>
          <w:r>
            <w:rPr>
              <w:sz w:val="18"/>
              <w:szCs w:val="18"/>
              <w:lang w:val="en-US" w:eastAsia="en-US"/>
            </w:rPr>
            <w:t>Change Control Procedure</w:t>
            <w:tab/>
          </w:r>
          <w:hyperlink w:anchor="__RefHeading___Toc152058830">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5.1</w:t>
          </w:r>
          <w:r>
            <w:rPr>
              <w:b w:val="false"/>
              <w:sz w:val="18"/>
              <w:szCs w:val="18"/>
              <w:lang w:val="en-US" w:eastAsia="en-US"/>
            </w:rPr>
            <w:tab/>
          </w:r>
          <w:r>
            <w:rPr>
              <w:bCs/>
              <w:sz w:val="18"/>
              <w:szCs w:val="18"/>
              <w:lang w:val="en-GB" w:eastAsia="en-US"/>
            </w:rPr>
            <w:t>“New” Contracts</w:t>
          </w:r>
          <w:r>
            <w:rPr>
              <w:sz w:val="18"/>
              <w:szCs w:val="18"/>
              <w:lang w:val="en-US" w:eastAsia="en-US"/>
            </w:rPr>
            <w:tab/>
          </w:r>
          <w:hyperlink w:anchor="__RefHeading___Toc152058831">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5.2</w:t>
          </w:r>
          <w:r>
            <w:rPr>
              <w:b w:val="false"/>
              <w:sz w:val="18"/>
              <w:szCs w:val="18"/>
              <w:lang w:val="en-US" w:eastAsia="en-US"/>
            </w:rPr>
            <w:tab/>
          </w:r>
          <w:r>
            <w:rPr>
              <w:bCs/>
              <w:sz w:val="18"/>
              <w:szCs w:val="18"/>
              <w:lang w:val="en-GB" w:eastAsia="en-US"/>
            </w:rPr>
            <w:t>Contracts to be “backed out”</w:t>
          </w:r>
          <w:r>
            <w:rPr>
              <w:sz w:val="18"/>
              <w:szCs w:val="18"/>
              <w:lang w:val="en-US" w:eastAsia="en-US"/>
            </w:rPr>
            <w:tab/>
          </w:r>
          <w:hyperlink w:anchor="__RefHeading___Toc152058832">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6.</w:t>
          </w:r>
          <w:r>
            <w:rPr>
              <w:b w:val="false"/>
              <w:sz w:val="18"/>
              <w:szCs w:val="18"/>
              <w:lang w:val="en-US" w:eastAsia="en-US"/>
            </w:rPr>
            <w:tab/>
          </w:r>
          <w:r>
            <w:rPr>
              <w:sz w:val="18"/>
              <w:szCs w:val="18"/>
              <w:lang w:val="en-US" w:eastAsia="en-US"/>
            </w:rPr>
            <w:t>Reconciliation Process</w:t>
            <w:tab/>
          </w:r>
          <w:hyperlink w:anchor="__RefHeading___Toc152058833">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7.</w:t>
          </w:r>
          <w:r>
            <w:rPr>
              <w:b w:val="false"/>
              <w:sz w:val="18"/>
              <w:szCs w:val="18"/>
              <w:lang w:val="en-US" w:eastAsia="en-US"/>
            </w:rPr>
            <w:tab/>
          </w:r>
          <w:r>
            <w:rPr>
              <w:sz w:val="18"/>
              <w:szCs w:val="18"/>
              <w:lang w:val="en-US" w:eastAsia="en-US"/>
            </w:rPr>
            <w:t>Affected Contractors</w:t>
            <w:tab/>
          </w:r>
          <w:hyperlink w:anchor="__RefHeading___Toc152058834">
            <w:r>
              <w:rPr>
                <w:rStyle w:val="IndexLink"/>
                <w:sz w:val="18"/>
                <w:szCs w:val="18"/>
                <w:lang w:val="en-US" w:eastAsia="en-US"/>
              </w:rPr>
              <w:t>1</w:t>
            </w:r>
          </w:hyperlink>
        </w:p>
        <w:p>
          <w:pPr>
            <w:pStyle w:val="TOC1"/>
            <w:tabs>
              <w:tab w:val="clear" w:pos="720"/>
              <w:tab w:val="left" w:pos="440" w:leader="none"/>
              <w:tab w:val="right" w:pos="8441" w:leader="dot"/>
            </w:tabs>
            <w:rPr>
              <w:sz w:val="18"/>
              <w:szCs w:val="18"/>
              <w:lang w:val="en-US" w:eastAsia="en-US"/>
            </w:rPr>
          </w:pPr>
          <w:r>
            <w:rPr>
              <w:b w:val="false"/>
              <w:sz w:val="18"/>
              <w:szCs w:val="18"/>
              <w:lang w:val="en-US" w:eastAsia="en-US"/>
            </w:rPr>
            <w:t>8.</w:t>
          </w:r>
          <w:r>
            <w:rPr>
              <w:b w:val="false"/>
              <w:sz w:val="18"/>
              <w:szCs w:val="18"/>
              <w:lang w:val="en-US" w:eastAsia="en-US"/>
            </w:rPr>
            <w:tab/>
          </w:r>
          <w:r>
            <w:rPr>
              <w:b w:val="false"/>
              <w:sz w:val="18"/>
              <w:szCs w:val="18"/>
              <w:lang w:val="en-US" w:eastAsia="en-US"/>
            </w:rPr>
            <w:t>Specific Third party Contracts</w:t>
            <w:tab/>
          </w:r>
          <w:hyperlink w:anchor="__RefHeading___Toc152058835">
            <w:r>
              <w:rPr>
                <w:rStyle w:val="IndexLink"/>
                <w:b w:val="false"/>
                <w:sz w:val="18"/>
                <w:szCs w:val="18"/>
                <w:lang w:val="en-US" w:eastAsia="en-US"/>
              </w:rPr>
              <w:t>1</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907" w:top="963" w:footer="567" w:bottom="1191"/>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jc w:val="center"/>
        <w:rPr>
          <w:b/>
          <w:szCs w:val="22"/>
          <w:u w:val="single"/>
          <w:lang w:val="en-GB"/>
        </w:rPr>
      </w:pPr>
      <w:r>
        <w:rPr>
          <w:b/>
          <w:szCs w:val="22"/>
          <w:u w:val="single"/>
          <w:lang w:val="en-GB"/>
        </w:rPr>
        <w:t>Third Party Contracts</w:t>
      </w:r>
    </w:p>
    <w:p>
      <w:pPr>
        <w:pStyle w:val="Normal"/>
        <w:jc w:val="both"/>
        <w:rPr>
          <w:b/>
          <w:szCs w:val="22"/>
          <w:u w:val="single"/>
          <w:lang w:val="en-GB"/>
        </w:rPr>
      </w:pPr>
      <w:r>
        <w:rPr>
          <w:b/>
          <w:szCs w:val="22"/>
          <w:u w:val="single"/>
          <w:lang w:val="en-GB"/>
        </w:rPr>
      </w:r>
    </w:p>
    <w:p>
      <w:pPr>
        <w:pStyle w:val="Heading1Numbered"/>
        <w:numPr>
          <w:ilvl w:val="0"/>
          <w:numId w:val="2"/>
        </w:numPr>
        <w:tabs>
          <w:tab w:val="clear" w:pos="720"/>
          <w:tab w:val="left" w:pos="360" w:leader="none"/>
        </w:tabs>
        <w:spacing w:before="0" w:after="0"/>
        <w:ind w:hanging="360" w:start="360" w:end="0"/>
        <w:jc w:val="both"/>
        <w:rPr>
          <w:sz w:val="22"/>
          <w:szCs w:val="22"/>
        </w:rPr>
      </w:pPr>
      <w:bookmarkStart w:id="0" w:name="__RefHeading___Toc152058821"/>
      <w:bookmarkEnd w:id="0"/>
      <w:r>
        <w:rPr>
          <w:sz w:val="22"/>
          <w:szCs w:val="22"/>
        </w:rPr>
        <w:t>Introduction</w:t>
      </w:r>
    </w:p>
    <w:p>
      <w:pPr>
        <w:pStyle w:val="Normal"/>
        <w:spacing w:before="0" w:after="0"/>
        <w:jc w:val="both"/>
        <w:rPr>
          <w:sz w:val="22"/>
          <w:szCs w:val="22"/>
          <w:lang w:val="en-GB"/>
        </w:rPr>
      </w:pPr>
      <w:r>
        <w:rPr>
          <w:sz w:val="22"/>
          <w:szCs w:val="22"/>
          <w:lang w:val="en-GB"/>
        </w:rPr>
      </w:r>
    </w:p>
    <w:p>
      <w:pPr>
        <w:pStyle w:val="Normal"/>
        <w:spacing w:before="0" w:after="0"/>
        <w:jc w:val="both"/>
        <w:rPr/>
      </w:pPr>
      <w:r>
        <w:rPr>
          <w:szCs w:val="22"/>
          <w:lang w:val="en-GB"/>
        </w:rPr>
        <w:t>The known and agreed Third Party Contracts are listed in Attachments 12-A (</w:t>
      </w:r>
      <w:r>
        <w:rPr>
          <w:i/>
          <w:szCs w:val="22"/>
          <w:lang w:val="en-GB"/>
        </w:rPr>
        <w:t>Third Party Contracts</w:t>
      </w:r>
      <w:r>
        <w:rPr>
          <w:szCs w:val="22"/>
          <w:lang w:val="en-GB"/>
        </w:rPr>
        <w:t>) and 12-B (</w:t>
      </w:r>
      <w:r>
        <w:rPr>
          <w:i/>
          <w:szCs w:val="22"/>
          <w:lang w:val="en-GB"/>
        </w:rPr>
        <w:t>Affected Contractors</w:t>
      </w:r>
      <w:r>
        <w:rPr>
          <w:szCs w:val="22"/>
          <w:lang w:val="en-GB"/>
        </w:rPr>
        <w:t>), both of which Attachments are hereby incorporated by reference.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parties agree that they have jointly been through a due diligence exercise to try and identify, review, agree and categorise all Third Party Contracts prior to the Effective Date. The parties acknowledge that there may be contracts between EuroBank and Third Parties that are not correctly identified and/or categorised in Attachments 12-A (Third Party Contracts) and 12-B (Affected Contractors) and that the changed requirements arising from those contracts may come to light after the Effective Date. Although it is intended to provide greater clarity to the PST Suppliers on the Third Party Contracts in the period between Effective Date and Commencement Date, the change control and reconciliation processes for dealing with changes to the Third Party Contracts are set out in Sections 6 &amp; 7 below. </w:t>
      </w:r>
      <w:r>
        <w:rPr>
          <w:i/>
          <w:szCs w:val="22"/>
          <w:lang w:val="en-GB"/>
        </w:rPr>
      </w:r>
      <w:r>
        <w:rPr>
          <w:szCs w:val="22"/>
          <w:lang w:val="en-GB"/>
        </w:rPr>
      </w:r>
      <w:r>
        <w:rPr>
          <w:i/>
          <w:szCs w:val="22"/>
          <w:lang w:val="en-GB"/>
        </w:rPr>
      </w:r>
      <w:r>
        <w:rPr>
          <w:szCs w:val="22"/>
          <w:lang w:val="en-GB"/>
        </w:rPr>
      </w:r>
    </w:p>
    <w:p>
      <w:pPr>
        <w:pStyle w:val="BodytextHM"/>
        <w:spacing w:before="0" w:after="0"/>
        <w:ind w:hanging="709" w:end="0"/>
        <w:jc w:val="both"/>
        <w:rPr>
          <w:rFonts w:ascii="Times New Roman" w:hAnsi="Times New Roman" w:cs="Times New Roman"/>
          <w:szCs w:val="22"/>
          <w:lang w:val="en-GB"/>
        </w:rPr>
      </w:pPr>
      <w:r>
        <w:rPr>
          <w:rFonts w:cs="Times New Roman" w:ascii="Times New Roman" w:hAnsi="Times New Roman"/>
          <w:szCs w:val="22"/>
          <w:lang w:val="en-GB"/>
        </w:rPr>
      </w:r>
    </w:p>
    <w:p>
      <w:pPr>
        <w:pStyle w:val="BodytextHM"/>
        <w:spacing w:before="0" w:after="0"/>
        <w:ind w:start="0" w:end="0"/>
        <w:jc w:val="both"/>
        <w:rPr>
          <w:rFonts w:ascii="Times New Roman" w:hAnsi="Times New Roman" w:cs="Times New Roman"/>
          <w:szCs w:val="22"/>
          <w:lang w:val="en-GB"/>
        </w:rPr>
      </w:pPr>
      <w:r>
        <w:rPr>
          <w:rFonts w:cs="Times New Roman" w:ascii="Times New Roman" w:hAnsi="Times New Roman"/>
          <w:szCs w:val="22"/>
          <w:lang w:val="en-GB"/>
        </w:rPr>
        <w:t>It is accepted that the responsibilities of the PST Suppliers arising out of and in relation to this Exhibit 12 and the Third Party Contracts are, in each case, subject to (i) the appropriate cooperation of the relevant Third Party Vendor in performing its own obligations under the Third Party Contract(s), and (ii) the assistance of EuroBank in enforcing its rights under the Third Party Contract(s).</w:t>
      </w:r>
    </w:p>
    <w:p>
      <w:pPr>
        <w:pStyle w:val="BodytextHM"/>
        <w:spacing w:before="0" w:after="0"/>
        <w:ind w:hanging="709" w:end="0"/>
        <w:jc w:val="both"/>
        <w:rPr>
          <w:rFonts w:ascii="Times New Roman" w:hAnsi="Times New Roman" w:cs="Times New Roman"/>
          <w:szCs w:val="22"/>
          <w:lang w:val="en-GB"/>
        </w:rPr>
      </w:pPr>
      <w:r>
        <w:rPr>
          <w:rFonts w:cs="Times New Roman" w:ascii="Times New Roman" w:hAnsi="Times New Roman"/>
          <w:szCs w:val="22"/>
          <w:lang w:val="en-GB"/>
        </w:rPr>
      </w:r>
    </w:p>
    <w:p>
      <w:pPr>
        <w:pStyle w:val="Heading1Numbered"/>
        <w:numPr>
          <w:ilvl w:val="0"/>
          <w:numId w:val="2"/>
        </w:numPr>
        <w:tabs>
          <w:tab w:val="clear" w:pos="720"/>
          <w:tab w:val="left" w:pos="360" w:leader="none"/>
        </w:tabs>
        <w:spacing w:before="0" w:after="0"/>
        <w:ind w:hanging="360" w:start="360" w:end="0"/>
        <w:jc w:val="both"/>
        <w:rPr>
          <w:sz w:val="22"/>
          <w:szCs w:val="22"/>
        </w:rPr>
      </w:pPr>
      <w:bookmarkStart w:id="1" w:name="__RefHeading___Toc152058822"/>
      <w:bookmarkEnd w:id="1"/>
      <w:r>
        <w:rPr>
          <w:sz w:val="22"/>
          <w:szCs w:val="22"/>
        </w:rPr>
        <w:t>Contract Categories</w:t>
      </w:r>
    </w:p>
    <w:p>
      <w:pPr>
        <w:pStyle w:val="BodytextHM"/>
        <w:spacing w:before="0" w:after="0"/>
        <w:ind w:start="0" w:end="0"/>
        <w:jc w:val="both"/>
        <w:rPr>
          <w:rFonts w:ascii="Times New Roman" w:hAnsi="Times New Roman" w:cs="Times New Roman"/>
          <w:sz w:val="22"/>
          <w:szCs w:val="22"/>
          <w:lang w:val="en-GB"/>
        </w:rPr>
      </w:pPr>
      <w:r>
        <w:rPr>
          <w:rFonts w:cs="Times New Roman" w:ascii="Times New Roman" w:hAnsi="Times New Roman"/>
          <w:sz w:val="22"/>
          <w:szCs w:val="22"/>
          <w:lang w:val="en-GB"/>
        </w:rPr>
      </w:r>
    </w:p>
    <w:p>
      <w:pPr>
        <w:pStyle w:val="BodytextHM"/>
        <w:spacing w:before="0" w:after="0"/>
        <w:ind w:start="0" w:end="0"/>
        <w:jc w:val="both"/>
        <w:rPr>
          <w:rFonts w:ascii="Times New Roman" w:hAnsi="Times New Roman" w:cs="Times New Roman"/>
          <w:szCs w:val="22"/>
          <w:lang w:val="en-GB"/>
        </w:rPr>
      </w:pPr>
      <w:r>
        <w:rPr>
          <w:rFonts w:cs="Times New Roman" w:ascii="Times New Roman" w:hAnsi="Times New Roman"/>
          <w:szCs w:val="22"/>
          <w:lang w:val="en-GB"/>
        </w:rPr>
        <w:t>The Third Party Contracts fall into three (3) separate categories, each with their own set of pre-Effective Date actions, and financial and management responsibilities. These are listed in the table below:</w:t>
      </w:r>
    </w:p>
    <w:p>
      <w:pPr>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pStyle w:val="Normal"/>
        <w:spacing w:before="0" w:after="0"/>
        <w:rPr>
          <w:rFonts w:ascii="Times New Roman" w:hAnsi="Times New Roman" w:cs="Times New Roman"/>
          <w:szCs w:val="22"/>
          <w:lang w:val="en-GB"/>
        </w:rPr>
      </w:pPr>
      <w:r>
        <w:rPr>
          <w:rFonts w:cs="Times New Roman"/>
          <w:szCs w:val="22"/>
          <w:lang w:val="en-GB"/>
        </w:rPr>
      </w:r>
    </w:p>
    <w:tbl>
      <w:tblPr>
        <w:tblW w:w="15048" w:type="dxa"/>
        <w:jc w:val="start"/>
        <w:tblInd w:w="0" w:type="dxa"/>
        <w:tblLayout w:type="fixed"/>
        <w:tblCellMar>
          <w:top w:w="0" w:type="dxa"/>
          <w:start w:w="108" w:type="dxa"/>
          <w:bottom w:w="0" w:type="dxa"/>
          <w:end w:w="108" w:type="dxa"/>
        </w:tblCellMar>
      </w:tblPr>
      <w:tblGrid>
        <w:gridCol w:w="1008"/>
        <w:gridCol w:w="2160"/>
        <w:gridCol w:w="2520"/>
        <w:gridCol w:w="2340"/>
        <w:gridCol w:w="1980"/>
        <w:gridCol w:w="1800"/>
        <w:gridCol w:w="1620"/>
        <w:gridCol w:w="1620"/>
      </w:tblGrid>
      <w:tr>
        <w:trPr/>
        <w:tc>
          <w:tcPr>
            <w:tcW w:w="1008"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b/>
                <w:sz w:val="16"/>
                <w:szCs w:val="16"/>
                <w:lang w:val="en-GB"/>
              </w:rPr>
            </w:pPr>
            <w:r>
              <w:rPr>
                <w:rFonts w:cs="Times New Roman" w:ascii="Times New Roman" w:hAnsi="Times New Roman"/>
                <w:b/>
                <w:sz w:val="16"/>
                <w:szCs w:val="16"/>
                <w:lang w:val="en-GB"/>
              </w:rPr>
              <w:t>Category</w:t>
            </w:r>
          </w:p>
        </w:tc>
        <w:tc>
          <w:tcPr>
            <w:tcW w:w="216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b/>
                <w:sz w:val="16"/>
                <w:szCs w:val="16"/>
                <w:lang w:val="en-GB"/>
              </w:rPr>
            </w:pPr>
            <w:r>
              <w:rPr>
                <w:rFonts w:cs="Times New Roman" w:ascii="Times New Roman" w:hAnsi="Times New Roman"/>
                <w:b/>
                <w:sz w:val="16"/>
                <w:szCs w:val="16"/>
                <w:lang w:val="en-GB"/>
              </w:rPr>
              <w:t>Description</w:t>
            </w:r>
          </w:p>
        </w:tc>
        <w:tc>
          <w:tcPr>
            <w:tcW w:w="25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pPr>
            <w:r>
              <w:rPr>
                <w:rFonts w:cs="Times New Roman" w:ascii="Times New Roman" w:hAnsi="Times New Roman"/>
                <w:b/>
                <w:sz w:val="16"/>
                <w:szCs w:val="16"/>
                <w:lang w:val="en-GB"/>
              </w:rPr>
              <w:t>Pre-CD actions and responsibilities</w:t>
            </w:r>
          </w:p>
        </w:tc>
        <w:tc>
          <w:tcPr>
            <w:tcW w:w="234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pPr>
            <w:r>
              <w:rPr>
                <w:rFonts w:cs="Times New Roman" w:ascii="Times New Roman" w:hAnsi="Times New Roman"/>
                <w:b/>
                <w:sz w:val="16"/>
                <w:szCs w:val="16"/>
                <w:lang w:val="en-GB"/>
              </w:rPr>
              <w:t>Post-CD Financial Responsibility</w:t>
            </w:r>
          </w:p>
        </w:tc>
        <w:tc>
          <w:tcPr>
            <w:tcW w:w="198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pPr>
            <w:r>
              <w:rPr>
                <w:rFonts w:cs="Times New Roman" w:ascii="Times New Roman" w:hAnsi="Times New Roman"/>
                <w:b/>
                <w:sz w:val="16"/>
                <w:szCs w:val="16"/>
                <w:lang w:val="en-GB"/>
              </w:rPr>
              <w:t>Post-CD Management Responsibility</w:t>
            </w:r>
          </w:p>
        </w:tc>
        <w:tc>
          <w:tcPr>
            <w:tcW w:w="5040" w:type="dxa"/>
            <w:gridSpan w:val="3"/>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center"/>
              <w:rPr/>
            </w:pPr>
            <w:r>
              <w:rPr>
                <w:rFonts w:cs="Times New Roman" w:ascii="Times New Roman" w:hAnsi="Times New Roman"/>
                <w:b/>
                <w:sz w:val="16"/>
                <w:szCs w:val="16"/>
                <w:lang w:val="en-GB"/>
              </w:rPr>
              <w:t>Net effect(s) on services or Services provided under the Third Party Contract</w:t>
            </w:r>
          </w:p>
        </w:tc>
      </w:tr>
      <w:tr>
        <w:trPr>
          <w:trHeight w:val="320" w:hRule="atLeast"/>
        </w:trPr>
        <w:tc>
          <w:tcPr>
            <w:tcW w:w="1008"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18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216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18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252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r>
          </w:p>
        </w:tc>
        <w:tc>
          <w:tcPr>
            <w:tcW w:w="234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r>
          </w:p>
        </w:tc>
        <w:tc>
          <w:tcPr>
            <w:tcW w:w="198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r>
          </w:p>
        </w:tc>
        <w:tc>
          <w:tcPr>
            <w:tcW w:w="180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b/>
                <w:sz w:val="16"/>
                <w:szCs w:val="16"/>
                <w:lang w:val="en-GB"/>
              </w:rPr>
            </w:pPr>
            <w:r>
              <w:rPr>
                <w:rFonts w:cs="Times New Roman" w:ascii="Times New Roman" w:hAnsi="Times New Roman"/>
                <w:b/>
                <w:sz w:val="16"/>
                <w:szCs w:val="16"/>
                <w:lang w:val="en-GB"/>
              </w:rPr>
              <w:t>For EuroBank</w:t>
            </w:r>
          </w:p>
        </w:tc>
        <w:tc>
          <w:tcPr>
            <w:tcW w:w="16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b/>
                <w:sz w:val="16"/>
                <w:szCs w:val="16"/>
                <w:lang w:val="en-GB"/>
              </w:rPr>
            </w:pPr>
            <w:r>
              <w:rPr>
                <w:rFonts w:cs="Times New Roman" w:ascii="Times New Roman" w:hAnsi="Times New Roman"/>
                <w:b/>
                <w:sz w:val="16"/>
                <w:szCs w:val="16"/>
                <w:lang w:val="en-GB"/>
              </w:rPr>
              <w:t>For PST Supplier</w:t>
            </w:r>
          </w:p>
        </w:tc>
        <w:tc>
          <w:tcPr>
            <w:tcW w:w="16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b/>
                <w:sz w:val="16"/>
                <w:szCs w:val="16"/>
                <w:lang w:val="en-GB"/>
              </w:rPr>
            </w:pPr>
            <w:r>
              <w:rPr>
                <w:rFonts w:cs="Times New Roman" w:ascii="Times New Roman" w:hAnsi="Times New Roman"/>
                <w:b/>
                <w:sz w:val="16"/>
                <w:szCs w:val="16"/>
                <w:lang w:val="en-GB"/>
              </w:rPr>
              <w:t>For Third Party</w:t>
            </w:r>
          </w:p>
        </w:tc>
      </w:tr>
      <w:tr>
        <w:trPr>
          <w:trHeight w:val="211" w:hRule="atLeast"/>
        </w:trPr>
        <w:tc>
          <w:tcPr>
            <w:tcW w:w="1008"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216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252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234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198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180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162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c>
          <w:tcPr>
            <w:tcW w:w="1620" w:type="dxa"/>
            <w:tcBorders>
              <w:top w:val="single" w:sz="4" w:space="0" w:color="000000"/>
              <w:start w:val="single" w:sz="4" w:space="0" w:color="000000"/>
              <w:bottom w:val="single" w:sz="4" w:space="0" w:color="000000"/>
              <w:end w:val="single" w:sz="4" w:space="0" w:color="000000"/>
            </w:tcBorders>
          </w:tcPr>
          <w:p>
            <w:pPr>
              <w:pStyle w:val="BodytextHM"/>
              <w:snapToGrid w:val="false"/>
              <w:spacing w:before="0" w:after="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t>Novate</w:t>
            </w:r>
          </w:p>
        </w:tc>
        <w:tc>
          <w:tcPr>
            <w:tcW w:w="216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The PST Supplier takes over the contract from EuroBank and becomes the contracting party with the Third Party, and incorporates the services under the contract into its overall solution</w:t>
            </w:r>
          </w:p>
        </w:tc>
        <w:tc>
          <w:tcPr>
            <w:tcW w:w="2520" w:type="dxa"/>
            <w:tcBorders>
              <w:top w:val="single" w:sz="4" w:space="0" w:color="000000"/>
              <w:start w:val="single" w:sz="4" w:space="0" w:color="000000"/>
              <w:bottom w:val="single" w:sz="4" w:space="0" w:color="000000"/>
              <w:end w:val="single" w:sz="4" w:space="0" w:color="000000"/>
            </w:tcBorders>
          </w:tcPr>
          <w:p>
            <w:pPr>
              <w:pStyle w:val="BodytextHM"/>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 xml:space="preserve">Permission to novate will be obtained by EuroBank before Commencement Date. </w:t>
            </w:r>
          </w:p>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If refused, the contract will be re-classified by EuroBank (and at its sole discretion) as either a “Retain” or “Terminate” contract as below</w:t>
            </w:r>
            <w:r>
              <w:rPr>
                <w:rFonts w:cs="Times New Roman" w:ascii="Times New Roman" w:hAnsi="Times New Roman"/>
                <w:i/>
                <w:sz w:val="16"/>
                <w:szCs w:val="16"/>
                <w:lang w:val="en-GB"/>
              </w:rPr>
            </w:r>
            <w:r>
              <w:rPr>
                <w:rFonts w:cs="Times New Roman" w:ascii="Times New Roman" w:hAnsi="Times New Roman"/>
                <w:sz w:val="16"/>
                <w:szCs w:val="16"/>
                <w:lang w:val="en-GB"/>
              </w:rPr>
            </w:r>
            <w:r>
              <w:rPr>
                <w:rFonts w:cs="Times New Roman" w:ascii="Times New Roman" w:hAnsi="Times New Roman"/>
                <w:i/>
                <w:sz w:val="16"/>
                <w:szCs w:val="16"/>
                <w:lang w:val="en-GB"/>
              </w:rPr>
            </w:r>
            <w:r>
              <w:rPr>
                <w:rFonts w:cs="Times New Roman" w:ascii="Times New Roman" w:hAnsi="Times New Roman"/>
                <w:sz w:val="16"/>
                <w:szCs w:val="16"/>
                <w:lang w:val="en-GB"/>
              </w:rPr>
            </w:r>
          </w:p>
        </w:tc>
        <w:tc>
          <w:tcPr>
            <w:tcW w:w="234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i/>
                <w:sz w:val="16"/>
                <w:szCs w:val="16"/>
                <w:lang w:val="en-GB"/>
              </w:rPr>
              <w:t>PST Supplier</w:t>
            </w:r>
            <w:r>
              <w:rPr>
                <w:rFonts w:cs="Times New Roman" w:ascii="Times New Roman" w:hAnsi="Times New Roman"/>
                <w:sz w:val="16"/>
                <w:szCs w:val="16"/>
                <w:lang w:val="en-GB"/>
              </w:rPr>
              <w:t xml:space="preserve"> (novated contracts will be included in the Base Charges)</w:t>
            </w:r>
          </w:p>
        </w:tc>
        <w:tc>
          <w:tcPr>
            <w:tcW w:w="198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i/>
                <w:i/>
                <w:sz w:val="16"/>
                <w:szCs w:val="16"/>
                <w:lang w:val="en-GB"/>
              </w:rPr>
            </w:pPr>
            <w:r>
              <w:rPr>
                <w:rFonts w:cs="Times New Roman" w:ascii="Times New Roman" w:hAnsi="Times New Roman"/>
                <w:i/>
                <w:sz w:val="16"/>
                <w:szCs w:val="16"/>
                <w:lang w:val="en-GB"/>
              </w:rPr>
              <w:t>PST Supplier</w:t>
            </w:r>
          </w:p>
        </w:tc>
        <w:tc>
          <w:tcPr>
            <w:tcW w:w="180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It ceases to be a party to the contract and receives the consolidated Services directly from PST Supplier</w:t>
            </w:r>
          </w:p>
        </w:tc>
        <w:tc>
          <w:tcPr>
            <w:tcW w:w="16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It becomes the contracting party and consolidates the services in the Services it provides to EuroBank</w:t>
            </w:r>
          </w:p>
        </w:tc>
        <w:tc>
          <w:tcPr>
            <w:tcW w:w="16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It provides the services to PST Supplier instead of EuroBank – otherwise, no change</w:t>
            </w:r>
          </w:p>
        </w:tc>
      </w:tr>
      <w:tr>
        <w:trPr/>
        <w:tc>
          <w:tcPr>
            <w:tcW w:w="1008"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t>Retain</w:t>
            </w:r>
          </w:p>
        </w:tc>
        <w:tc>
          <w:tcPr>
            <w:tcW w:w="216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EuroBank will continue to receive services from each Third Party Supplier</w:t>
            </w:r>
          </w:p>
        </w:tc>
        <w:tc>
          <w:tcPr>
            <w:tcW w:w="25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(None)</w:t>
            </w:r>
          </w:p>
        </w:tc>
        <w:tc>
          <w:tcPr>
            <w:tcW w:w="234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i/>
                <w:sz w:val="16"/>
                <w:szCs w:val="16"/>
                <w:lang w:val="en-GB"/>
              </w:rPr>
              <w:t>EuroBank (as the ongoing contracting party)</w:t>
            </w:r>
            <w:r>
              <w:rPr>
                <w:rFonts w:cs="Times New Roman" w:ascii="Times New Roman" w:hAnsi="Times New Roman"/>
                <w:sz w:val="16"/>
                <w:szCs w:val="16"/>
                <w:lang w:val="en-GB"/>
              </w:rPr>
            </w:r>
          </w:p>
        </w:tc>
        <w:tc>
          <w:tcPr>
            <w:tcW w:w="198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i/>
                <w:i/>
                <w:sz w:val="16"/>
                <w:szCs w:val="16"/>
                <w:lang w:val="en-GB"/>
              </w:rPr>
            </w:pPr>
            <w:r>
              <w:rPr>
                <w:rFonts w:cs="Times New Roman" w:ascii="Times New Roman" w:hAnsi="Times New Roman"/>
                <w:i/>
                <w:sz w:val="16"/>
                <w:szCs w:val="16"/>
                <w:lang w:val="en-GB"/>
              </w:rPr>
              <w:t>PST Supplier</w:t>
            </w:r>
          </w:p>
        </w:tc>
        <w:tc>
          <w:tcPr>
            <w:tcW w:w="180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rPr>
            </w:pPr>
            <w:r>
              <w:rPr>
                <w:rFonts w:cs="Times New Roman" w:ascii="Times New Roman" w:hAnsi="Times New Roman"/>
                <w:sz w:val="16"/>
                <w:szCs w:val="16"/>
                <w:lang w:val="en-GB"/>
              </w:rPr>
              <w:t xml:space="preserve">The services under the contract will be managed by PST Supplier – otherwise, no change </w:t>
            </w:r>
          </w:p>
        </w:tc>
        <w:tc>
          <w:tcPr>
            <w:tcW w:w="16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The services under the contract have to be managed as part of the overall Services provision</w:t>
            </w:r>
          </w:p>
        </w:tc>
        <w:tc>
          <w:tcPr>
            <w:tcW w:w="16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The Third Party has to liaise with the PST Supplier for the provision of the services under the contract – otherwise, no change</w:t>
            </w:r>
          </w:p>
        </w:tc>
      </w:tr>
      <w:tr>
        <w:trPr/>
        <w:tc>
          <w:tcPr>
            <w:tcW w:w="1008"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b/>
                <w:i/>
                <w:i/>
                <w:sz w:val="16"/>
                <w:szCs w:val="16"/>
                <w:lang w:val="en-GB"/>
              </w:rPr>
            </w:pPr>
            <w:r>
              <w:rPr>
                <w:rFonts w:cs="Times New Roman" w:ascii="Times New Roman" w:hAnsi="Times New Roman"/>
                <w:b/>
                <w:i/>
                <w:sz w:val="16"/>
                <w:szCs w:val="16"/>
                <w:lang w:val="en-GB"/>
              </w:rPr>
              <w:t>Terminate</w:t>
            </w:r>
          </w:p>
        </w:tc>
        <w:tc>
          <w:tcPr>
            <w:tcW w:w="216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The contract will be terminated and the services previously provided under it are to be provided as part of the Services by the PST Supplier</w:t>
            </w:r>
          </w:p>
        </w:tc>
        <w:tc>
          <w:tcPr>
            <w:tcW w:w="2520" w:type="dxa"/>
            <w:tcBorders>
              <w:top w:val="single" w:sz="4" w:space="0" w:color="000000"/>
              <w:start w:val="single" w:sz="4" w:space="0" w:color="000000"/>
              <w:bottom w:val="single" w:sz="4" w:space="0" w:color="000000"/>
              <w:end w:val="single" w:sz="4" w:space="0" w:color="000000"/>
            </w:tcBorders>
          </w:tcPr>
          <w:p>
            <w:pPr>
              <w:pStyle w:val="BodytextHM"/>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PST Supplier gives notice to EuroBank of (i) the suggested Third Party Contracts available for termination, and (ii) the suggested timelines for such termination and proposed takeover of the services under them</w:t>
            </w:r>
          </w:p>
          <w:p>
            <w:pPr>
              <w:pStyle w:val="BodytextHM"/>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EuroBank reviews the suggested list and agrees action plan for post-ED execution (if deemed appropriate)</w:t>
            </w:r>
          </w:p>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r>
          </w:p>
        </w:tc>
        <w:tc>
          <w:tcPr>
            <w:tcW w:w="2340" w:type="dxa"/>
            <w:tcBorders>
              <w:top w:val="single" w:sz="4" w:space="0" w:color="000000"/>
              <w:start w:val="single" w:sz="4" w:space="0" w:color="000000"/>
              <w:bottom w:val="single" w:sz="4" w:space="0" w:color="000000"/>
              <w:end w:val="single" w:sz="4" w:space="0" w:color="000000"/>
            </w:tcBorders>
          </w:tcPr>
          <w:p>
            <w:pPr>
              <w:pStyle w:val="BodytextHM"/>
              <w:ind w:start="0" w:end="0"/>
              <w:jc w:val="both"/>
              <w:rPr/>
            </w:pPr>
            <w:r>
              <w:rPr>
                <w:rFonts w:cs="Times New Roman" w:ascii="Times New Roman" w:hAnsi="Times New Roman"/>
                <w:sz w:val="16"/>
                <w:szCs w:val="16"/>
                <w:lang w:val="en-GB"/>
              </w:rPr>
              <w:t>Subject to any settlement on early termination fees, EuroBank will have financial responsibility as the ongoing contracting party until it terminates.</w:t>
            </w:r>
            <w:r>
              <w:rPr>
                <w:rFonts w:cs="Times New Roman" w:ascii="Times New Roman" w:hAnsi="Times New Roman"/>
                <w:i/>
                <w:sz w:val="16"/>
                <w:szCs w:val="16"/>
                <w:lang w:val="en-GB"/>
              </w:rPr>
            </w:r>
            <w:r>
              <w:rPr>
                <w:rFonts w:cs="Times New Roman" w:ascii="Times New Roman" w:hAnsi="Times New Roman"/>
                <w:sz w:val="16"/>
                <w:szCs w:val="16"/>
                <w:lang w:val="en-GB"/>
              </w:rPr>
            </w:r>
          </w:p>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The PST Supplier provides a monthly credit to EuroBank for any charges that form part of the Base Charges during the termination period (to be agreed as part of the reconciliation process in Section 7 below)</w:t>
            </w:r>
          </w:p>
        </w:tc>
        <w:tc>
          <w:tcPr>
            <w:tcW w:w="1980" w:type="dxa"/>
            <w:tcBorders>
              <w:top w:val="single" w:sz="4" w:space="0" w:color="000000"/>
              <w:start w:val="single" w:sz="4" w:space="0" w:color="000000"/>
              <w:bottom w:val="single" w:sz="4" w:space="0" w:color="000000"/>
              <w:end w:val="single" w:sz="4" w:space="0" w:color="000000"/>
            </w:tcBorders>
          </w:tcPr>
          <w:p>
            <w:pPr>
              <w:pStyle w:val="BodytextHM"/>
              <w:ind w:start="0" w:end="0"/>
              <w:jc w:val="both"/>
              <w:rPr>
                <w:rFonts w:ascii="Times New Roman" w:hAnsi="Times New Roman" w:cs="Times New Roman"/>
                <w:i/>
                <w:i/>
                <w:sz w:val="16"/>
                <w:szCs w:val="16"/>
                <w:lang w:val="en-GB"/>
              </w:rPr>
            </w:pPr>
            <w:r>
              <w:rPr>
                <w:rFonts w:cs="Times New Roman" w:ascii="Times New Roman" w:hAnsi="Times New Roman"/>
                <w:sz w:val="16"/>
                <w:szCs w:val="16"/>
                <w:lang w:val="en-GB"/>
              </w:rPr>
              <w:t xml:space="preserve">EuroBank gives notice in a timely manner to terminate the Third Party Contract(s) in accordance with the termination provisions of each contract  </w:t>
            </w:r>
            <w:r>
              <w:rPr>
                <w:rFonts w:cs="Times New Roman" w:ascii="Times New Roman" w:hAnsi="Times New Roman"/>
                <w:sz w:val="16"/>
                <w:szCs w:val="16"/>
              </w:rPr>
            </w:r>
            <w:r>
              <w:rPr>
                <w:rFonts w:cs="Times New Roman" w:ascii="Times New Roman" w:hAnsi="Times New Roman"/>
                <w:sz w:val="16"/>
                <w:szCs w:val="16"/>
                <w:lang w:val="en-GB"/>
              </w:rPr>
            </w:r>
            <w:r>
              <w:rPr>
                <w:rFonts w:cs="Times New Roman" w:ascii="Times New Roman" w:hAnsi="Times New Roman"/>
                <w:i/>
                <w:sz w:val="16"/>
                <w:szCs w:val="16"/>
                <w:lang w:val="en-GB"/>
              </w:rPr>
            </w:r>
          </w:p>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 xml:space="preserve">Otherwise, the </w:t>
            </w:r>
            <w:r>
              <w:rPr>
                <w:rFonts w:cs="Times New Roman" w:ascii="Times New Roman" w:hAnsi="Times New Roman"/>
                <w:i/>
                <w:sz w:val="16"/>
                <w:szCs w:val="16"/>
                <w:lang w:val="en-GB"/>
              </w:rPr>
              <w:t>PST Supplier</w:t>
            </w:r>
            <w:r>
              <w:rPr>
                <w:rFonts w:cs="Times New Roman" w:ascii="Times New Roman" w:hAnsi="Times New Roman"/>
                <w:sz w:val="16"/>
                <w:szCs w:val="16"/>
                <w:lang w:val="en-GB"/>
              </w:rPr>
              <w:t xml:space="preserve"> has management responsibility during the termination exit period</w:t>
            </w:r>
          </w:p>
        </w:tc>
        <w:tc>
          <w:tcPr>
            <w:tcW w:w="180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The services will cease as soon as the Third Party Contract terminates and thereafter will be provided by the PST Supplier as part of the Services</w:t>
            </w:r>
          </w:p>
        </w:tc>
        <w:tc>
          <w:tcPr>
            <w:tcW w:w="16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It will manage the Third Party Contract during the termination period after CD and otherwise take over delivery of the services under it as soon as the contract terminates</w:t>
            </w:r>
          </w:p>
        </w:tc>
        <w:tc>
          <w:tcPr>
            <w:tcW w:w="1620" w:type="dxa"/>
            <w:tcBorders>
              <w:top w:val="single" w:sz="4" w:space="0" w:color="000000"/>
              <w:start w:val="single" w:sz="4" w:space="0" w:color="000000"/>
              <w:bottom w:val="single" w:sz="4" w:space="0" w:color="000000"/>
              <w:end w:val="single" w:sz="4" w:space="0" w:color="000000"/>
            </w:tcBorders>
          </w:tcPr>
          <w:p>
            <w:pPr>
              <w:pStyle w:val="BodytextHM"/>
              <w:spacing w:before="0" w:after="180"/>
              <w:ind w:start="0" w:end="0"/>
              <w:jc w:val="both"/>
              <w:rPr>
                <w:rFonts w:ascii="Times New Roman" w:hAnsi="Times New Roman" w:cs="Times New Roman"/>
                <w:sz w:val="16"/>
                <w:szCs w:val="16"/>
                <w:lang w:val="en-GB"/>
              </w:rPr>
            </w:pPr>
            <w:r>
              <w:rPr>
                <w:rFonts w:cs="Times New Roman" w:ascii="Times New Roman" w:hAnsi="Times New Roman"/>
                <w:sz w:val="16"/>
                <w:szCs w:val="16"/>
                <w:lang w:val="en-GB"/>
              </w:rPr>
              <w:t>It will cease to be a supplier of the services as soon as the contract terminates</w:t>
            </w:r>
          </w:p>
        </w:tc>
      </w:tr>
    </w:tbl>
    <w:p>
      <w:pPr>
        <w:pStyle w:val="Normal"/>
        <w:spacing w:before="0" w:after="0"/>
        <w:rPr>
          <w:lang w:val="en-GB"/>
        </w:rPr>
      </w:pPr>
      <w:r>
        <w:rPr>
          <w:lang w:val="en-GB"/>
        </w:rPr>
      </w:r>
    </w:p>
    <w:p>
      <w:pPr>
        <w:pStyle w:val="Normal"/>
        <w:spacing w:before="0" w:after="0"/>
        <w:jc w:val="both"/>
        <w:rPr>
          <w:szCs w:val="22"/>
          <w:lang w:val="en-GB"/>
        </w:rPr>
      </w:pPr>
      <w:r>
        <w:rPr>
          <w:szCs w:val="22"/>
          <w:lang w:val="en-GB"/>
        </w:rPr>
        <w:t>Certain situations may give rise to hybrid versions of the above, for example where a “partial novation” is required. This will arise when EuroBank wishes to “split” the services under a given Third Party Contract by novating a portion of the services but retaining the rest because of legal, economic or business reasons. In such cases, EuroBank shall have responsibility for liaising with the Third Party Supplier to get their permission to split the contract. The resultant parts will then be handled under the appropriate categories in the table above.</w:t>
      </w:r>
    </w:p>
    <w:p>
      <w:pPr>
        <w:sectPr>
          <w:headerReference w:type="default" r:id="rId12"/>
          <w:headerReference w:type="first" r:id="rId13"/>
          <w:footerReference w:type="default" r:id="rId14"/>
          <w:footerReference w:type="first" r:id="rId15"/>
          <w:type w:val="nextPage"/>
          <w:pgSz w:orient="landscape" w:w="16838" w:h="11906"/>
          <w:pgMar w:left="720" w:right="1094" w:gutter="0" w:header="720" w:top="1729" w:footer="720" w:bottom="1729"/>
          <w:pgNumType w:fmt="decimal"/>
          <w:formProt w:val="false"/>
          <w:textDirection w:val="lrTb"/>
          <w:docGrid w:type="default" w:linePitch="360" w:charSpace="0"/>
        </w:sectPr>
        <w:pStyle w:val="Normal"/>
        <w:spacing w:before="0" w:after="0"/>
        <w:jc w:val="both"/>
        <w:rPr>
          <w:szCs w:val="22"/>
          <w:lang w:val="en-GB"/>
        </w:rPr>
      </w:pPr>
      <w:r>
        <w:rPr>
          <w:szCs w:val="22"/>
          <w:lang w:val="en-GB"/>
        </w:rPr>
      </w:r>
    </w:p>
    <w:p>
      <w:pPr>
        <w:pStyle w:val="Normal"/>
        <w:jc w:val="both"/>
        <w:rPr>
          <w:szCs w:val="22"/>
          <w:lang w:val="en-GB"/>
        </w:rPr>
      </w:pPr>
      <w:r>
        <w:rPr>
          <w:szCs w:val="22"/>
          <w:lang w:val="en-GB"/>
        </w:rPr>
      </w:r>
    </w:p>
    <w:p>
      <w:pPr>
        <w:pStyle w:val="Heading1Numbered"/>
        <w:numPr>
          <w:ilvl w:val="0"/>
          <w:numId w:val="2"/>
        </w:numPr>
        <w:tabs>
          <w:tab w:val="clear" w:pos="720"/>
          <w:tab w:val="left" w:pos="360" w:leader="none"/>
        </w:tabs>
        <w:spacing w:before="0" w:after="0"/>
        <w:ind w:hanging="360" w:start="360" w:end="0"/>
        <w:rPr>
          <w:sz w:val="22"/>
          <w:szCs w:val="22"/>
        </w:rPr>
      </w:pPr>
      <w:bookmarkStart w:id="2" w:name="__RefHeading___Toc152058823"/>
      <w:bookmarkEnd w:id="2"/>
      <w:r>
        <w:rPr>
          <w:sz w:val="22"/>
          <w:szCs w:val="22"/>
        </w:rPr>
        <w:t>Responsibilities under each Contract Category</w:t>
      </w:r>
    </w:p>
    <w:p>
      <w:pPr>
        <w:pStyle w:val="Heading2Numbered"/>
        <w:numPr>
          <w:ilvl w:val="1"/>
          <w:numId w:val="2"/>
        </w:numPr>
        <w:ind w:hanging="0" w:start="0"/>
        <w:rPr>
          <w:sz w:val="22"/>
          <w:szCs w:val="22"/>
        </w:rPr>
      </w:pPr>
      <w:bookmarkStart w:id="3" w:name="__RefHeading___Toc152058824"/>
      <w:bookmarkEnd w:id="3"/>
      <w:r>
        <w:rPr>
          <w:sz w:val="22"/>
          <w:szCs w:val="22"/>
        </w:rPr>
        <w:t>Generally</w:t>
      </w:r>
    </w:p>
    <w:p>
      <w:pPr>
        <w:pStyle w:val="Normal"/>
        <w:spacing w:before="0" w:after="0"/>
        <w:ind w:hanging="360" w:start="1440" w:end="0"/>
        <w:jc w:val="both"/>
        <w:rPr/>
      </w:pPr>
      <w:r>
        <w:rPr>
          <w:szCs w:val="22"/>
        </w:rPr>
        <w:t>a)</w:t>
        <w:tab/>
        <w:t>EuroBank has no obligation to terminate any Third Party Contract prior to the expiry date or the first renewal date of that contract after the Commencement Date. EuroBank shall not renew or extend any Third Party Contract prior to the Commencement Date without first consulting the relevant PST Member. The PST Members acknowledge that it is critical for EuroBank to maintain continuity of service under the Third Party Contracts and that EuroBank shall be entitled after consultation with the relevant PST Supplier to contract with Third Party Vendors on such terms as EuroBank reasonably considers necessary to maintain such continuity, provided that it will not agree on terms and conditions less stringent than under the MSA (in order to enable the relevant PST Supplier to deliver the agreed Service Levels).</w:t>
      </w:r>
    </w:p>
    <w:p>
      <w:pPr>
        <w:pStyle w:val="Normal"/>
        <w:spacing w:before="0" w:after="0"/>
        <w:ind w:hanging="360" w:start="1440" w:end="0"/>
        <w:jc w:val="both"/>
        <w:rPr>
          <w:szCs w:val="22"/>
        </w:rPr>
      </w:pPr>
      <w:r>
        <w:rPr>
          <w:szCs w:val="22"/>
        </w:rPr>
      </w:r>
    </w:p>
    <w:p>
      <w:pPr>
        <w:pStyle w:val="Normal"/>
        <w:spacing w:before="0" w:after="0"/>
        <w:ind w:hanging="360" w:start="1440" w:end="0"/>
        <w:jc w:val="both"/>
        <w:rPr/>
      </w:pPr>
      <w:r>
        <w:rPr>
          <w:szCs w:val="22"/>
        </w:rPr>
        <w:t>b)</w:t>
        <w:tab/>
        <w:t>The PST Member shall provide EuroBank with a positive business case (which shall be validated by the 2IM before submission to EuroBank) to terminate any Third Party Contract earlier than the stipulated expiry date.</w:t>
      </w:r>
    </w:p>
    <w:p>
      <w:pPr>
        <w:pStyle w:val="Normal"/>
        <w:spacing w:before="0" w:after="0"/>
        <w:ind w:hanging="360" w:start="1440" w:end="0"/>
        <w:jc w:val="both"/>
        <w:rPr>
          <w:szCs w:val="22"/>
        </w:rPr>
      </w:pPr>
      <w:r>
        <w:rPr>
          <w:szCs w:val="22"/>
        </w:rPr>
      </w:r>
    </w:p>
    <w:p>
      <w:pPr>
        <w:pStyle w:val="Normal"/>
        <w:spacing w:before="0" w:after="0"/>
        <w:ind w:hanging="357" w:start="1434" w:end="0"/>
        <w:jc w:val="both"/>
        <w:rPr/>
      </w:pPr>
      <w:r>
        <w:rPr>
          <w:szCs w:val="22"/>
        </w:rPr>
        <w:t>c)</w:t>
        <w:tab/>
        <w:t>To avoid double-charging, at no time shall EuroBank be required to pay Charges to a PST Supplier in respect of Services which are covered by a Third Party Contract which remains in force between EuroBank and the Third Party Vendor.</w:t>
      </w:r>
    </w:p>
    <w:p>
      <w:pPr>
        <w:pStyle w:val="Normal"/>
        <w:spacing w:before="0" w:after="0"/>
        <w:ind w:hanging="360" w:start="1440" w:end="0"/>
        <w:jc w:val="both"/>
        <w:rPr>
          <w:szCs w:val="22"/>
        </w:rPr>
      </w:pPr>
      <w:r>
        <w:rPr>
          <w:szCs w:val="22"/>
        </w:rPr>
      </w:r>
    </w:p>
    <w:p>
      <w:pPr>
        <w:pStyle w:val="Normal"/>
        <w:spacing w:before="0" w:after="0"/>
        <w:ind w:hanging="360" w:start="1440" w:end="0"/>
        <w:jc w:val="both"/>
        <w:rPr>
          <w:szCs w:val="22"/>
        </w:rPr>
      </w:pPr>
      <w:r>
        <w:rPr>
          <w:szCs w:val="22"/>
        </w:rPr>
        <w:t>d)</w:t>
        <w:tab/>
        <w:t>The PST Supplier’s responsibilities include:</w:t>
      </w:r>
    </w:p>
    <w:p>
      <w:pPr>
        <w:pStyle w:val="Normal"/>
        <w:spacing w:before="0" w:after="0"/>
        <w:ind w:hanging="360" w:start="1440" w:end="0"/>
        <w:jc w:val="both"/>
        <w:rPr>
          <w:szCs w:val="22"/>
        </w:rPr>
      </w:pPr>
      <w:r>
        <w:rPr>
          <w:szCs w:val="22"/>
        </w:rPr>
      </w:r>
    </w:p>
    <w:p>
      <w:pPr>
        <w:pStyle w:val="Normal"/>
        <w:spacing w:before="0" w:after="0"/>
        <w:ind w:hanging="720" w:start="2160" w:end="0"/>
        <w:jc w:val="both"/>
        <w:rPr/>
      </w:pPr>
      <w:r>
        <w:rPr>
          <w:szCs w:val="22"/>
        </w:rPr>
        <w:t>(i)</w:t>
        <w:tab/>
        <w:t>Working with EuroBank in a collaborative and proactive manner to categorize each Third Party Contract and transition the services under them;</w:t>
      </w:r>
    </w:p>
    <w:p>
      <w:pPr>
        <w:pStyle w:val="Normal"/>
        <w:spacing w:before="0" w:after="0"/>
        <w:ind w:hanging="720" w:start="2160" w:end="0"/>
        <w:jc w:val="both"/>
        <w:rPr>
          <w:szCs w:val="22"/>
        </w:rPr>
      </w:pPr>
      <w:r>
        <w:rPr>
          <w:szCs w:val="22"/>
        </w:rPr>
      </w:r>
    </w:p>
    <w:p>
      <w:pPr>
        <w:pStyle w:val="Normal"/>
        <w:spacing w:before="0" w:after="0"/>
        <w:ind w:hanging="720" w:start="2160" w:end="0"/>
        <w:jc w:val="both"/>
        <w:rPr/>
      </w:pPr>
      <w:r>
        <w:rPr>
          <w:szCs w:val="22"/>
        </w:rPr>
        <w:t>(ii)</w:t>
        <w:tab/>
        <w:t>Ensuring continuity, consistency and quality of service provision to EuroBank during the transition of any Third Party Contract;</w:t>
      </w:r>
    </w:p>
    <w:p>
      <w:pPr>
        <w:pStyle w:val="Normal"/>
        <w:spacing w:before="0" w:after="0"/>
        <w:ind w:hanging="540" w:start="1980" w:end="0"/>
        <w:jc w:val="both"/>
        <w:rPr>
          <w:szCs w:val="22"/>
        </w:rPr>
      </w:pPr>
      <w:r>
        <w:rPr>
          <w:szCs w:val="22"/>
        </w:rPr>
      </w:r>
    </w:p>
    <w:p>
      <w:pPr>
        <w:pStyle w:val="Normal"/>
        <w:numPr>
          <w:ilvl w:val="0"/>
          <w:numId w:val="7"/>
        </w:numPr>
        <w:spacing w:before="0" w:after="0"/>
        <w:jc w:val="both"/>
        <w:rPr>
          <w:szCs w:val="22"/>
        </w:rPr>
      </w:pPr>
      <w:r>
        <w:rPr>
          <w:szCs w:val="22"/>
        </w:rPr>
        <w:t>Completing the transfer of all Third Party Contracts (by whichever method) by the Reconciliation Date, and in the case of any new contracts (as defined in Section 6(b)(i) below) being discovered after the Effective Date, within 3 month(s) of discovery of the contract;</w:t>
      </w:r>
    </w:p>
    <w:p>
      <w:pPr>
        <w:pStyle w:val="Normal"/>
        <w:spacing w:before="0" w:after="0"/>
        <w:ind w:start="1440" w:end="0"/>
        <w:jc w:val="both"/>
        <w:rPr>
          <w:szCs w:val="22"/>
        </w:rPr>
      </w:pPr>
      <w:r>
        <w:rPr>
          <w:szCs w:val="22"/>
        </w:rPr>
      </w:r>
    </w:p>
    <w:p>
      <w:pPr>
        <w:pStyle w:val="Normal"/>
        <w:numPr>
          <w:ilvl w:val="0"/>
          <w:numId w:val="7"/>
        </w:numPr>
        <w:spacing w:before="0" w:after="0"/>
        <w:jc w:val="both"/>
        <w:rPr>
          <w:szCs w:val="22"/>
        </w:rPr>
      </w:pPr>
      <w:r>
        <w:rPr>
          <w:szCs w:val="22"/>
        </w:rPr>
        <w:t>Keeping EuroBank updated on a regular basis with the progress of novations, terminations and all other matters regarding Third Party Contracts;</w:t>
      </w:r>
    </w:p>
    <w:p>
      <w:pPr>
        <w:pStyle w:val="Normal"/>
        <w:spacing w:before="0" w:after="0"/>
        <w:ind w:start="1440" w:end="0"/>
        <w:jc w:val="both"/>
        <w:rPr>
          <w:szCs w:val="22"/>
        </w:rPr>
      </w:pPr>
      <w:r>
        <w:rPr>
          <w:szCs w:val="22"/>
        </w:rPr>
      </w:r>
    </w:p>
    <w:p>
      <w:pPr>
        <w:pStyle w:val="Normal"/>
        <w:numPr>
          <w:ilvl w:val="0"/>
          <w:numId w:val="7"/>
        </w:numPr>
        <w:spacing w:before="0" w:after="0"/>
        <w:jc w:val="both"/>
        <w:rPr>
          <w:szCs w:val="22"/>
        </w:rPr>
      </w:pPr>
      <w:r>
        <w:rPr>
          <w:szCs w:val="22"/>
        </w:rPr>
        <w:t>In all its dealings with Third Party Vendors, ensuring that the confidentiality provisions of the MSA are fully observed and, in particular, that details of the MSA and its contents are not disclosed to Third Party Vendors beyond what they need to know to be able to perform their obligations under the Third Party Contract (in the event of any uncertainty over disclosure, the matter is to be referred to EuroBank for authority to disclose)</w:t>
      </w:r>
    </w:p>
    <w:p>
      <w:pPr>
        <w:pStyle w:val="Normal"/>
        <w:spacing w:before="0" w:after="0"/>
        <w:ind w:start="1440" w:end="0"/>
        <w:jc w:val="both"/>
        <w:rPr>
          <w:szCs w:val="22"/>
        </w:rPr>
      </w:pPr>
      <w:r>
        <w:rPr>
          <w:szCs w:val="22"/>
        </w:rPr>
      </w:r>
    </w:p>
    <w:p>
      <w:pPr>
        <w:pStyle w:val="Normal"/>
        <w:numPr>
          <w:ilvl w:val="0"/>
          <w:numId w:val="7"/>
        </w:numPr>
        <w:spacing w:before="0" w:after="0"/>
        <w:jc w:val="both"/>
        <w:rPr>
          <w:szCs w:val="22"/>
        </w:rPr>
      </w:pPr>
      <w:r>
        <w:rPr>
          <w:szCs w:val="22"/>
        </w:rPr>
        <w:t>Operational management by the PST Supplier of the Third Party Contracts in each of the categories below shall consist of the following:</w:t>
      </w:r>
    </w:p>
    <w:p>
      <w:pPr>
        <w:pStyle w:val="Normal"/>
        <w:spacing w:before="0" w:after="0"/>
        <w:ind w:start="1440" w:end="0"/>
        <w:jc w:val="both"/>
        <w:rPr>
          <w:szCs w:val="22"/>
        </w:rPr>
      </w:pPr>
      <w:r>
        <w:rPr>
          <w:szCs w:val="22"/>
        </w:rPr>
      </w:r>
    </w:p>
    <w:p>
      <w:pPr>
        <w:pStyle w:val="Normal"/>
        <w:spacing w:before="0" w:after="0"/>
        <w:ind w:hanging="720" w:start="2880" w:end="0"/>
        <w:jc w:val="both"/>
        <w:rPr/>
      </w:pPr>
      <w:r>
        <w:rPr>
          <w:szCs w:val="22"/>
        </w:rPr>
        <w:t>(aa)</w:t>
        <w:tab/>
        <w:t>ensuring Service quality and commercial alignment with the MSA;</w:t>
      </w:r>
    </w:p>
    <w:p>
      <w:pPr>
        <w:pStyle w:val="Normal"/>
        <w:numPr>
          <w:ilvl w:val="1"/>
          <w:numId w:val="7"/>
        </w:numPr>
        <w:spacing w:before="0" w:after="0"/>
        <w:jc w:val="both"/>
        <w:rPr>
          <w:szCs w:val="22"/>
        </w:rPr>
      </w:pPr>
      <w:r>
        <w:rPr>
          <w:szCs w:val="22"/>
        </w:rPr>
        <w:t>putting operational arrangements in place to ensure the PST Supplier’s end-to-end SLA responsibility;</w:t>
      </w:r>
    </w:p>
    <w:p>
      <w:pPr>
        <w:pStyle w:val="Normal"/>
        <w:numPr>
          <w:ilvl w:val="1"/>
          <w:numId w:val="7"/>
        </w:numPr>
        <w:spacing w:before="0" w:after="0"/>
        <w:jc w:val="both"/>
        <w:rPr>
          <w:szCs w:val="22"/>
        </w:rPr>
      </w:pPr>
      <w:r>
        <w:rPr>
          <w:szCs w:val="22"/>
        </w:rPr>
        <w:t xml:space="preserve">SLA measurement and reporting; </w:t>
      </w:r>
    </w:p>
    <w:p>
      <w:pPr>
        <w:pStyle w:val="Normal"/>
        <w:numPr>
          <w:ilvl w:val="1"/>
          <w:numId w:val="7"/>
        </w:numPr>
        <w:spacing w:before="0" w:after="0"/>
        <w:jc w:val="both"/>
        <w:rPr>
          <w:szCs w:val="22"/>
        </w:rPr>
      </w:pPr>
      <w:r>
        <w:rPr>
          <w:szCs w:val="22"/>
        </w:rPr>
        <w:t>Invoice control and validation on behalf of EuroBank.</w:t>
      </w:r>
    </w:p>
    <w:p>
      <w:pPr>
        <w:pStyle w:val="Normal"/>
        <w:jc w:val="both"/>
        <w:rPr>
          <w:szCs w:val="22"/>
        </w:rPr>
      </w:pPr>
      <w:r>
        <w:rPr>
          <w:szCs w:val="22"/>
        </w:rPr>
      </w:r>
    </w:p>
    <w:p>
      <w:pPr>
        <w:pStyle w:val="Heading2Numbered"/>
        <w:numPr>
          <w:ilvl w:val="1"/>
          <w:numId w:val="2"/>
        </w:numPr>
        <w:ind w:hanging="0" w:start="0"/>
        <w:rPr>
          <w:bCs/>
          <w:sz w:val="22"/>
        </w:rPr>
      </w:pPr>
      <w:bookmarkStart w:id="4" w:name="__RefHeading___Toc152058825"/>
      <w:bookmarkEnd w:id="4"/>
      <w:r>
        <w:rPr>
          <w:bCs/>
          <w:sz w:val="22"/>
        </w:rPr>
        <w:t>Novated Contracts</w:t>
      </w:r>
    </w:p>
    <w:p>
      <w:pPr>
        <w:pStyle w:val="Normal"/>
        <w:ind w:start="720" w:end="0"/>
        <w:jc w:val="both"/>
        <w:rPr/>
      </w:pPr>
      <w:bookmarkStart w:id="5" w:name="OLE_LINK4"/>
      <w:bookmarkStart w:id="6" w:name="OLE_LINK3"/>
      <w:bookmarkEnd w:id="5"/>
      <w:bookmarkEnd w:id="6"/>
      <w:r>
        <w:rPr>
          <w:szCs w:val="22"/>
          <w:lang w:val="en-GB"/>
        </w:rPr>
        <w:t>a)</w:t>
        <w:tab/>
        <w:t>The PST Supplier’s responsibilities include:</w:t>
      </w:r>
    </w:p>
    <w:p>
      <w:pPr>
        <w:pStyle w:val="Normal"/>
        <w:ind w:hanging="720" w:start="2160" w:end="0"/>
        <w:jc w:val="both"/>
        <w:rPr/>
      </w:pPr>
      <w:bookmarkStart w:id="7" w:name="OLE_LINK4"/>
      <w:bookmarkStart w:id="8" w:name="OLE_LINK3"/>
      <w:bookmarkEnd w:id="7"/>
      <w:bookmarkEnd w:id="8"/>
      <w:r>
        <w:rPr>
          <w:szCs w:val="22"/>
          <w:lang w:val="en-GB"/>
        </w:rPr>
        <w:t>(i)</w:t>
        <w:tab/>
        <w:t>Taking all necessary steps to enter into, execute and complete each novation agreement with and between PST Supplier, EuroBank and each Third Party Vendor;</w:t>
      </w:r>
    </w:p>
    <w:p>
      <w:pPr>
        <w:pStyle w:val="Normal"/>
        <w:ind w:hanging="720" w:start="2160" w:end="0"/>
        <w:jc w:val="both"/>
        <w:rPr/>
      </w:pPr>
      <w:r>
        <w:rPr>
          <w:szCs w:val="22"/>
          <w:lang w:val="en-GB"/>
        </w:rPr>
        <w:t>(ii)</w:t>
        <w:tab/>
        <w:t>Taking all necessary steps to transition the services under each Third Party Contract and consolidate them into the Services provided to EuroBank as from the agreed date for each Third Party Contract;</w:t>
      </w:r>
    </w:p>
    <w:p>
      <w:pPr>
        <w:pStyle w:val="Normal"/>
        <w:ind w:hanging="720" w:start="2160" w:end="0"/>
        <w:jc w:val="both"/>
        <w:rPr/>
      </w:pPr>
      <w:r>
        <w:rPr>
          <w:szCs w:val="22"/>
          <w:lang w:val="en-GB"/>
        </w:rPr>
        <w:t>(iii)</w:t>
        <w:tab/>
        <w:t>Managing and working with the Third Party Vendor in a proactive manner to ensure both continuity and quality of service to EuroBank;</w:t>
      </w:r>
    </w:p>
    <w:p>
      <w:pPr>
        <w:pStyle w:val="Normal"/>
        <w:ind w:hanging="720" w:start="2160" w:end="0"/>
        <w:jc w:val="both"/>
        <w:rPr>
          <w:szCs w:val="22"/>
          <w:lang w:val="en-GB"/>
        </w:rPr>
      </w:pPr>
      <w:r>
        <w:rPr>
          <w:szCs w:val="22"/>
          <w:lang w:val="en-GB"/>
        </w:rPr>
        <w:t>(iv)</w:t>
        <w:tab/>
        <w:t>Accepting financial responsibility for the Third Party Contract as from the agreed date for each Third Party Contract and thereafter receiving and paying the Third Party Vendor’s invoices under those contracts.</w:t>
      </w:r>
    </w:p>
    <w:p>
      <w:pPr>
        <w:pStyle w:val="Normal"/>
        <w:jc w:val="both"/>
        <w:rPr>
          <w:szCs w:val="22"/>
          <w:lang w:val="en-GB"/>
        </w:rPr>
      </w:pPr>
      <w:r>
        <w:rPr>
          <w:szCs w:val="22"/>
          <w:lang w:val="en-GB"/>
        </w:rPr>
      </w:r>
    </w:p>
    <w:p>
      <w:pPr>
        <w:pStyle w:val="Heading2Numbered"/>
        <w:numPr>
          <w:ilvl w:val="1"/>
          <w:numId w:val="2"/>
        </w:numPr>
        <w:ind w:hanging="0" w:start="0"/>
        <w:rPr>
          <w:bCs/>
          <w:sz w:val="22"/>
          <w:lang w:val="en-GB"/>
        </w:rPr>
      </w:pPr>
      <w:bookmarkStart w:id="9" w:name="__RefHeading___Toc152058826"/>
      <w:bookmarkEnd w:id="9"/>
      <w:r>
        <w:rPr>
          <w:bCs/>
          <w:sz w:val="22"/>
          <w:lang w:val="en-GB"/>
        </w:rPr>
        <w:t>Retained Contracts</w:t>
      </w:r>
    </w:p>
    <w:p>
      <w:pPr>
        <w:pStyle w:val="Normal"/>
        <w:ind w:start="720" w:end="0"/>
        <w:jc w:val="both"/>
        <w:rPr/>
      </w:pPr>
      <w:r>
        <w:rPr>
          <w:szCs w:val="22"/>
          <w:lang w:val="en-GB"/>
        </w:rPr>
        <w:t>a)</w:t>
        <w:tab/>
        <w:t>The PST Supplier’s responsibilities include:</w:t>
      </w:r>
    </w:p>
    <w:p>
      <w:pPr>
        <w:pStyle w:val="Normal"/>
        <w:ind w:hanging="720" w:start="2160" w:end="0"/>
        <w:jc w:val="both"/>
        <w:rPr>
          <w:szCs w:val="22"/>
          <w:lang w:val="en-GB"/>
        </w:rPr>
      </w:pPr>
      <w:r>
        <w:rPr>
          <w:szCs w:val="22"/>
          <w:lang w:val="en-GB"/>
        </w:rPr>
        <w:t>(i)</w:t>
        <w:tab/>
        <w:t>Managing and working with the Third Party Vendor in a proactive manner to ensure both continuity and quality of service to EuroBank (EuroBank will give notice to Third Party Vendor that PST Supplier will be managing the contract and be working with the Third Party Vendor on behalf of EuroBank)</w:t>
      </w:r>
    </w:p>
    <w:p>
      <w:pPr>
        <w:pStyle w:val="Normal"/>
        <w:ind w:hanging="720" w:start="2160" w:end="0"/>
        <w:jc w:val="both"/>
        <w:rPr/>
      </w:pPr>
      <w:r>
        <w:rPr>
          <w:szCs w:val="22"/>
          <w:lang w:val="en-GB"/>
        </w:rPr>
        <w:t>(ii)</w:t>
        <w:tab/>
        <w:t>Reviewing retained Third Party Contracts from time to time to evaluate the services thereunder in terms of efficiency, effectiveness and economy in the light of EuroBank’s requirements under the MSA;</w:t>
      </w:r>
    </w:p>
    <w:p>
      <w:pPr>
        <w:pStyle w:val="Normal"/>
        <w:ind w:hanging="720" w:start="2160" w:end="0"/>
        <w:jc w:val="both"/>
        <w:rPr/>
      </w:pPr>
      <w:r>
        <w:rPr>
          <w:szCs w:val="22"/>
          <w:lang w:val="en-GB"/>
        </w:rPr>
        <w:t>(iii)</w:t>
        <w:tab/>
        <w:t>Providing EuroBank with a positive business case in writing (validated by the 2IM) and obtaining EuroBank’s written consent in cases where it believes that a retained Third Party Contract should be terminated early;</w:t>
      </w:r>
      <w:r>
        <w:rPr>
          <w:szCs w:val="22"/>
        </w:rPr>
      </w:r>
      <w:r>
        <w:rPr>
          <w:szCs w:val="22"/>
          <w:lang w:val="en-GB"/>
        </w:rPr>
      </w:r>
    </w:p>
    <w:p>
      <w:pPr>
        <w:pStyle w:val="Normal"/>
        <w:ind w:hanging="720" w:start="2160" w:end="0"/>
        <w:jc w:val="both"/>
        <w:rPr/>
      </w:pPr>
      <w:r>
        <w:rPr>
          <w:szCs w:val="22"/>
          <w:lang w:val="en-GB"/>
        </w:rPr>
        <w:t>(iv)</w:t>
        <w:tab/>
        <w:t>Advising EuroBank within 7 days after the PST Supplier becomes aware of any issues arising under the retained Third Party Contract.</w:t>
      </w:r>
    </w:p>
    <w:p>
      <w:pPr>
        <w:pStyle w:val="Normal"/>
        <w:jc w:val="both"/>
        <w:rPr>
          <w:szCs w:val="22"/>
          <w:lang w:val="en-GB"/>
        </w:rPr>
      </w:pPr>
      <w:r>
        <w:rPr>
          <w:szCs w:val="22"/>
          <w:lang w:val="en-GB"/>
        </w:rPr>
      </w:r>
    </w:p>
    <w:p>
      <w:pPr>
        <w:pStyle w:val="Heading2Numbered"/>
        <w:numPr>
          <w:ilvl w:val="1"/>
          <w:numId w:val="2"/>
        </w:numPr>
        <w:ind w:hanging="0" w:start="0"/>
        <w:rPr>
          <w:bCs/>
          <w:sz w:val="22"/>
          <w:lang w:val="en-GB"/>
        </w:rPr>
      </w:pPr>
      <w:bookmarkStart w:id="10" w:name="__RefHeading___Toc152058827"/>
      <w:bookmarkEnd w:id="10"/>
      <w:r>
        <w:rPr>
          <w:bCs/>
          <w:sz w:val="22"/>
          <w:lang w:val="en-GB"/>
        </w:rPr>
        <w:t>Contracts to be Terminated</w:t>
      </w:r>
    </w:p>
    <w:p>
      <w:pPr>
        <w:pStyle w:val="Normal"/>
        <w:ind w:hanging="720" w:start="1440" w:end="0"/>
        <w:jc w:val="both"/>
        <w:rPr>
          <w:szCs w:val="22"/>
          <w:lang w:val="en-GB"/>
        </w:rPr>
      </w:pPr>
      <w:r>
        <w:rPr>
          <w:szCs w:val="22"/>
          <w:lang w:val="en-GB"/>
        </w:rPr>
        <w:t>a)</w:t>
        <w:tab/>
        <w:t>The contracts that it wishes to have terminated will have been identified by the PST Supplier and notified to EuroBank prior to the Effective Date. There are then two (2) scenarios that can apply to Third Party Contracts in this category:</w:t>
      </w:r>
    </w:p>
    <w:p>
      <w:pPr>
        <w:pStyle w:val="Normal"/>
        <w:ind w:hanging="720" w:start="2160" w:end="0"/>
        <w:jc w:val="both"/>
        <w:rPr/>
      </w:pPr>
      <w:r>
        <w:rPr>
          <w:szCs w:val="22"/>
          <w:lang w:val="en-GB"/>
        </w:rPr>
        <w:t>(i)</w:t>
        <w:tab/>
        <w:t>The contract expires by passing of time – EuroBank gives notice in a timely manner to the Third Party Vendor that the contract will not be renewed on the agreed expiry date. The PST Supplier takes over management of the contract from the Effective Date until it terminates, with EuroBank retaining financial responsibility during the same period (subject to any credit due to EuroBank for double-charging in the Base Charges). On termination it ceases and services under it are replaced by the PST Supplier as part of the Services;</w:t>
      </w:r>
      <w:r>
        <w:rPr>
          <w:szCs w:val="22"/>
          <w:u w:val="single"/>
          <w:lang w:val="en-GB"/>
        </w:rPr>
      </w:r>
      <w:r>
        <w:rPr>
          <w:szCs w:val="22"/>
          <w:lang w:val="en-GB"/>
        </w:rPr>
      </w:r>
    </w:p>
    <w:p>
      <w:pPr>
        <w:pStyle w:val="Normal"/>
        <w:ind w:hanging="720" w:start="2160" w:end="0"/>
        <w:jc w:val="both"/>
        <w:rPr/>
      </w:pPr>
      <w:r>
        <w:rPr>
          <w:szCs w:val="22"/>
          <w:lang w:val="en-GB"/>
        </w:rPr>
        <w:t>(ii)</w:t>
        <w:tab/>
        <w:t>The contract is terminated early – following provision the by the PST Supplier of, and the review and acceptance by EuroBank of, a positive business case, EuroBank gives notice to the Third Party Vendor that the contract will be terminated early. The PST Supplier takes over management of the contract from the Effective Date until it terminates, with EuroBank retaining financial responsibility during the same period (subject to any credit due to EuroBank for double-charging in the Base Charges). Early termination fees will need to be stated by the PST Supplier in the positive business case but will be the responsibility of EuroBank. On termination, the contract ceases and services under it are replaced by the PST Supplier as part of the Services</w:t>
      </w:r>
      <w:r>
        <w:rPr>
          <w:szCs w:val="22"/>
          <w:u w:val="single"/>
          <w:lang w:val="en-GB"/>
        </w:rPr>
      </w:r>
      <w:r>
        <w:rPr>
          <w:szCs w:val="22"/>
          <w:lang w:val="en-GB"/>
        </w:rPr>
      </w:r>
    </w:p>
    <w:p>
      <w:pPr>
        <w:pStyle w:val="Normal"/>
        <w:ind w:hanging="720" w:start="1440" w:end="0"/>
        <w:jc w:val="both"/>
        <w:rPr>
          <w:szCs w:val="22"/>
          <w:lang w:val="en-GB"/>
        </w:rPr>
      </w:pPr>
      <w:r>
        <w:rPr>
          <w:szCs w:val="22"/>
          <w:lang w:val="en-GB"/>
        </w:rPr>
      </w:r>
    </w:p>
    <w:p>
      <w:pPr>
        <w:pStyle w:val="Normal"/>
        <w:ind w:hanging="720" w:start="1440" w:end="0"/>
        <w:jc w:val="both"/>
        <w:rPr/>
      </w:pPr>
      <w:r>
        <w:rPr>
          <w:szCs w:val="22"/>
          <w:lang w:val="en-GB"/>
        </w:rPr>
        <w:t>b)</w:t>
        <w:tab/>
        <w:t>The PST Supplier’s responsibilities include (where relevant):</w:t>
      </w:r>
    </w:p>
    <w:p>
      <w:pPr>
        <w:pStyle w:val="Normal"/>
        <w:ind w:hanging="720" w:start="2160" w:end="0"/>
        <w:jc w:val="both"/>
        <w:rPr/>
      </w:pPr>
      <w:r>
        <w:rPr>
          <w:szCs w:val="22"/>
          <w:lang w:val="en-GB"/>
        </w:rPr>
        <w:t>(i)</w:t>
        <w:tab/>
        <w:t>Providing a positive business case for each nominated contract to be terminated at least 4 weeks prior to the final date on which EuroBank has to give notice to the Third Party Vendor under the contract (only applicable for early termination);</w:t>
      </w:r>
      <w:r>
        <w:rPr>
          <w:szCs w:val="22"/>
          <w:u w:val="single"/>
          <w:lang w:val="en-GB"/>
        </w:rPr>
      </w:r>
      <w:r>
        <w:rPr>
          <w:szCs w:val="22"/>
          <w:lang w:val="en-GB"/>
        </w:rPr>
      </w:r>
    </w:p>
    <w:p>
      <w:pPr>
        <w:pStyle w:val="Normal"/>
        <w:ind w:hanging="720" w:start="2160" w:end="0"/>
        <w:jc w:val="both"/>
        <w:rPr/>
      </w:pPr>
      <w:r>
        <w:rPr>
          <w:szCs w:val="22"/>
          <w:lang w:val="en-GB"/>
        </w:rPr>
        <w:t>(ii)</w:t>
        <w:tab/>
        <w:t>Managing and working with the Third Party Vendor in a proactive manner to ensure both continuity and quality of service to EuroBank prior to termination;</w:t>
      </w:r>
    </w:p>
    <w:p>
      <w:pPr>
        <w:pStyle w:val="Normal"/>
        <w:ind w:hanging="720" w:start="2160" w:end="0"/>
        <w:jc w:val="both"/>
        <w:rPr>
          <w:szCs w:val="22"/>
          <w:lang w:val="en-GB"/>
        </w:rPr>
      </w:pPr>
      <w:r>
        <w:rPr>
          <w:szCs w:val="22"/>
          <w:lang w:val="en-GB"/>
        </w:rPr>
        <w:t>(iii)</w:t>
        <w:tab/>
        <w:t>Carrying out a full analysis of the services provided under the Third Party Contract and ensuring that they are fully replaced with and, if possible, enhanced by, the Services to be provided by the PST Supplier;</w:t>
      </w:r>
    </w:p>
    <w:p>
      <w:pPr>
        <w:pStyle w:val="Normal"/>
        <w:numPr>
          <w:ilvl w:val="0"/>
          <w:numId w:val="4"/>
        </w:numPr>
        <w:jc w:val="both"/>
        <w:rPr>
          <w:szCs w:val="22"/>
          <w:lang w:val="en-GB"/>
        </w:rPr>
      </w:pPr>
      <w:r>
        <w:rPr>
          <w:szCs w:val="22"/>
          <w:lang w:val="en-GB"/>
        </w:rPr>
        <w:t>Advising EuroBank within twenty (20) days after the PST Supplier becomes aware of any issues arising under the Third Party Contract prior to termination;</w:t>
      </w:r>
    </w:p>
    <w:p>
      <w:pPr>
        <w:pStyle w:val="Heading2Numbered"/>
        <w:numPr>
          <w:ilvl w:val="1"/>
          <w:numId w:val="2"/>
        </w:numPr>
        <w:ind w:hanging="0" w:start="0"/>
        <w:rPr>
          <w:bCs/>
          <w:sz w:val="22"/>
          <w:lang w:val="en-GB"/>
        </w:rPr>
      </w:pPr>
      <w:bookmarkStart w:id="11" w:name="__RefHeading___Toc152058828"/>
      <w:bookmarkEnd w:id="11"/>
      <w:r>
        <w:rPr>
          <w:bCs/>
          <w:sz w:val="22"/>
          <w:lang w:val="en-GB"/>
        </w:rPr>
        <w:t>Impact Base Charges</w:t>
      </w:r>
    </w:p>
    <w:p>
      <w:pPr>
        <w:pStyle w:val="Normal"/>
        <w:jc w:val="both"/>
        <w:rPr>
          <w:szCs w:val="22"/>
          <w:lang w:val="en-GB"/>
        </w:rPr>
      </w:pPr>
      <w:r>
        <w:rPr>
          <w:bCs/>
          <w:lang w:val="en-GB"/>
        </w:rPr>
        <w:t>If a Third Party Contract cannot be novated or terminated before Commencement Date, the PST Supplier will reduce its Base Charges by the amount stated in the column headed “</w:t>
      </w:r>
      <w:r>
        <w:rPr>
          <w:bCs/>
          <w:i/>
          <w:lang w:val="en-GB"/>
        </w:rPr>
        <w:t>base charge portion corresponding with TPC/month</w:t>
      </w:r>
      <w:r>
        <w:rPr>
          <w:bCs/>
          <w:lang w:val="en-GB"/>
        </w:rPr>
        <w:t>” in Attachment 12-A until the Third Party Contract is novated or terminated.</w:t>
      </w:r>
    </w:p>
    <w:p>
      <w:pPr>
        <w:pStyle w:val="Normal"/>
        <w:jc w:val="both"/>
        <w:rPr>
          <w:szCs w:val="22"/>
          <w:lang w:val="en-GB"/>
        </w:rPr>
      </w:pPr>
      <w:r>
        <w:rPr>
          <w:szCs w:val="22"/>
          <w:lang w:val="en-GB"/>
        </w:rPr>
      </w:r>
    </w:p>
    <w:p>
      <w:pPr>
        <w:pStyle w:val="Heading1Numbered"/>
        <w:numPr>
          <w:ilvl w:val="0"/>
          <w:numId w:val="2"/>
        </w:numPr>
        <w:tabs>
          <w:tab w:val="clear" w:pos="720"/>
          <w:tab w:val="left" w:pos="360" w:leader="none"/>
        </w:tabs>
        <w:spacing w:before="0" w:after="0"/>
        <w:ind w:hanging="360" w:start="360" w:end="0"/>
        <w:rPr>
          <w:sz w:val="22"/>
          <w:szCs w:val="22"/>
        </w:rPr>
      </w:pPr>
      <w:bookmarkStart w:id="12" w:name="__RefHeading___Toc152058829"/>
      <w:bookmarkEnd w:id="12"/>
      <w:r>
        <w:rPr>
          <w:sz w:val="22"/>
          <w:szCs w:val="22"/>
        </w:rPr>
        <w:t>System Software License Contracts</w:t>
      </w:r>
    </w:p>
    <w:p>
      <w:pPr>
        <w:pStyle w:val="Normal"/>
        <w:spacing w:before="0" w:after="0"/>
        <w:jc w:val="both"/>
        <w:rPr>
          <w:sz w:val="22"/>
          <w:szCs w:val="22"/>
          <w:lang w:val="en-GB"/>
        </w:rPr>
      </w:pPr>
      <w:r>
        <w:rPr>
          <w:sz w:val="22"/>
          <w:szCs w:val="22"/>
          <w:lang w:val="en-GB"/>
        </w:rPr>
      </w:r>
    </w:p>
    <w:p>
      <w:pPr>
        <w:pStyle w:val="Normal"/>
        <w:spacing w:before="0" w:after="0"/>
        <w:jc w:val="both"/>
        <w:rPr/>
      </w:pPr>
      <w:r>
        <w:rPr>
          <w:szCs w:val="22"/>
        </w:rPr>
        <w:t>On or before the License Inventory Date, the PST Supplier will review the licenses for all System Software within scope of the SWS Function and provide to EuroBank an inventory of current licenses and usage against those licenses (both excess, unlicensed usage and under-utilization). In the case of under-utilization, the PST is also to provide a recommendation (as validated by the 2IM) as to whether the license coverage should be reduced.</w:t>
      </w:r>
    </w:p>
    <w:p>
      <w:pPr>
        <w:pStyle w:val="Normal"/>
        <w:tabs>
          <w:tab w:val="left" w:pos="720" w:leader="none"/>
        </w:tabs>
        <w:spacing w:before="0" w:after="0"/>
        <w:jc w:val="both"/>
        <w:rPr>
          <w:szCs w:val="22"/>
        </w:rPr>
      </w:pPr>
      <w:r>
        <w:rPr>
          <w:szCs w:val="22"/>
        </w:rPr>
      </w:r>
    </w:p>
    <w:p>
      <w:pPr>
        <w:pStyle w:val="Normal"/>
        <w:tabs>
          <w:tab w:val="left" w:pos="720" w:leader="none"/>
        </w:tabs>
        <w:spacing w:before="0" w:after="0"/>
        <w:jc w:val="both"/>
        <w:rPr/>
      </w:pPr>
      <w:r>
        <w:rPr>
          <w:szCs w:val="22"/>
        </w:rPr>
        <w:t>In the case of unlicensed usage, EuroBank may direct the PST Supplier to resolve the issue by either reducing the number of users to within the license conditions or increasing the number of licenses available. EuroBank will be responsible for payment of all fees imposed by the relevant Third Party Vendor/licensor for rectification of unlicensed usage only in cases where:</w:t>
      </w:r>
    </w:p>
    <w:p>
      <w:pPr>
        <w:pStyle w:val="Normal"/>
        <w:tabs>
          <w:tab w:val="left" w:pos="720" w:leader="none"/>
        </w:tabs>
        <w:spacing w:before="0" w:after="0"/>
        <w:jc w:val="both"/>
        <w:rPr>
          <w:szCs w:val="22"/>
        </w:rPr>
      </w:pPr>
      <w:r>
        <w:rPr>
          <w:szCs w:val="22"/>
        </w:rPr>
      </w:r>
    </w:p>
    <w:p>
      <w:pPr>
        <w:pStyle w:val="Normal"/>
        <w:numPr>
          <w:ilvl w:val="1"/>
          <w:numId w:val="6"/>
        </w:numPr>
        <w:tabs>
          <w:tab w:val="left" w:pos="720" w:leader="none"/>
        </w:tabs>
        <w:spacing w:before="0" w:after="0"/>
        <w:ind w:hanging="360" w:start="720" w:end="0"/>
        <w:jc w:val="both"/>
        <w:rPr>
          <w:szCs w:val="22"/>
        </w:rPr>
      </w:pPr>
      <w:r>
        <w:rPr>
          <w:szCs w:val="22"/>
        </w:rPr>
        <w:t>The PST Supplier notifies EuroBank prior to the License Inventory Date of the unlicensed usage (unless such usage was the result of acts or omissions by the PST), or</w:t>
      </w:r>
    </w:p>
    <w:p>
      <w:pPr>
        <w:pStyle w:val="Normal"/>
        <w:spacing w:before="0" w:after="0"/>
        <w:ind w:start="360" w:end="0"/>
        <w:jc w:val="both"/>
        <w:rPr>
          <w:szCs w:val="22"/>
        </w:rPr>
      </w:pPr>
      <w:r>
        <w:rPr>
          <w:szCs w:val="22"/>
        </w:rPr>
      </w:r>
    </w:p>
    <w:p>
      <w:pPr>
        <w:pStyle w:val="Normal"/>
        <w:numPr>
          <w:ilvl w:val="1"/>
          <w:numId w:val="6"/>
        </w:numPr>
        <w:tabs>
          <w:tab w:val="left" w:pos="720" w:leader="none"/>
        </w:tabs>
        <w:spacing w:before="0" w:after="0"/>
        <w:ind w:hanging="360" w:start="720" w:end="0"/>
        <w:jc w:val="both"/>
        <w:rPr>
          <w:szCs w:val="22"/>
        </w:rPr>
      </w:pPr>
      <w:r>
        <w:rPr>
          <w:szCs w:val="22"/>
        </w:rPr>
        <w:t>The unlicensed usage arose after the License Inventory Date due to an act or omission by an Authorized User</w:t>
      </w:r>
    </w:p>
    <w:p>
      <w:pPr>
        <w:pStyle w:val="Normal"/>
        <w:spacing w:before="0" w:after="0"/>
        <w:jc w:val="both"/>
        <w:rPr>
          <w:szCs w:val="22"/>
        </w:rPr>
      </w:pPr>
      <w:r>
        <w:rPr>
          <w:szCs w:val="22"/>
        </w:rPr>
      </w:r>
    </w:p>
    <w:p>
      <w:pPr>
        <w:pStyle w:val="Normal"/>
        <w:spacing w:before="0" w:after="0"/>
        <w:jc w:val="both"/>
        <w:rPr/>
      </w:pPr>
      <w:r>
        <w:rPr>
          <w:szCs w:val="22"/>
        </w:rPr>
        <w:t>Otherwise, the PST Supplier will be responsible for the payment of all fees imposed by the relevant Third Party Vendor/licensor for rectification of unlicensed usage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tabs>
          <w:tab w:val="clear" w:pos="720"/>
          <w:tab w:val="left" w:pos="360" w:leader="none"/>
        </w:tabs>
        <w:spacing w:before="0" w:after="0"/>
        <w:ind w:hanging="360" w:start="360" w:end="0"/>
        <w:rPr>
          <w:sz w:val="22"/>
          <w:szCs w:val="22"/>
        </w:rPr>
      </w:pPr>
      <w:bookmarkStart w:id="13" w:name="__RefHeading___Toc152058830"/>
      <w:bookmarkEnd w:id="13"/>
      <w:r>
        <w:rPr>
          <w:sz w:val="22"/>
          <w:szCs w:val="22"/>
        </w:rPr>
        <w:t>Change Control Procedure</w:t>
      </w:r>
    </w:p>
    <w:p>
      <w:pPr>
        <w:pStyle w:val="Heading2Numbered"/>
        <w:numPr>
          <w:ilvl w:val="1"/>
          <w:numId w:val="2"/>
        </w:numPr>
        <w:ind w:hanging="0" w:start="0"/>
        <w:rPr>
          <w:bCs/>
          <w:sz w:val="22"/>
          <w:lang w:val="en-GB"/>
        </w:rPr>
      </w:pPr>
      <w:bookmarkStart w:id="14" w:name="__RefHeading___Toc152058831"/>
      <w:bookmarkEnd w:id="14"/>
      <w:r>
        <w:rPr>
          <w:bCs/>
          <w:sz w:val="22"/>
          <w:lang w:val="en-GB"/>
        </w:rPr>
        <w:t>“</w:t>
      </w:r>
      <w:r>
        <w:rPr>
          <w:bCs/>
          <w:sz w:val="22"/>
          <w:lang w:val="en-GB"/>
        </w:rPr>
        <w:t>New” Contracts</w:t>
      </w:r>
    </w:p>
    <w:p>
      <w:pPr>
        <w:pStyle w:val="Normal"/>
        <w:spacing w:before="0" w:after="0"/>
        <w:jc w:val="both"/>
        <w:rPr/>
      </w:pPr>
      <w:r>
        <w:rPr>
          <w:szCs w:val="22"/>
          <w:lang w:val="en-GB"/>
        </w:rPr>
        <w:t>In the light of the situation outlined in Section 1 above i.e. that there may be contracts discovered that had not been known about or anticipated at Effective Date, and recognising that a procedure is required to resolve how such contracts are to be handled under the MSA, the parties have agreed that the following pre-conditions will apply to any Third Party Contract that is to be referred to the Significant Change Control Procedure in Exhibit 22 for adjudication:</w:t>
      </w:r>
    </w:p>
    <w:p>
      <w:pPr>
        <w:pStyle w:val="Normal"/>
        <w:spacing w:before="0" w:after="0"/>
        <w:jc w:val="both"/>
        <w:rPr>
          <w:szCs w:val="22"/>
          <w:lang w:val="en-GB"/>
        </w:rPr>
      </w:pPr>
      <w:r>
        <w:rPr>
          <w:szCs w:val="22"/>
          <w:lang w:val="en-GB"/>
        </w:rPr>
      </w:r>
    </w:p>
    <w:p>
      <w:pPr>
        <w:pStyle w:val="Normal"/>
        <w:spacing w:before="0" w:after="0"/>
        <w:ind w:start="720" w:end="0"/>
        <w:jc w:val="both"/>
        <w:rPr/>
      </w:pPr>
      <w:r>
        <w:rPr>
          <w:szCs w:val="22"/>
          <w:lang w:val="en-GB"/>
        </w:rPr>
        <w:t>a)</w:t>
        <w:tab/>
        <w:t>Firstly, that it shall match all of the following criteria:</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w:t>
        <w:tab/>
        <w:t>it is In Scope; and</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(ii)</w:t>
        <w:tab/>
        <w:t xml:space="preserve">it must be a contract that the PST Supplier was not informed about and could not have reasonably detected or identified as being in existence as at the Effective Date (if required, </w:t>
      </w:r>
      <w:r>
        <w:rPr>
          <w:szCs w:val="22"/>
          <w:lang w:val="en-NZ"/>
        </w:rPr>
        <w:t>such knowledge or deemed knowledge by the PST Supplier</w:t>
      </w:r>
      <w:r>
        <w:rPr>
          <w:szCs w:val="22"/>
        </w:rPr>
        <w:t xml:space="preserve"> to be validated by the 2IM)</w:t>
      </w:r>
      <w:r>
        <w:rPr>
          <w:szCs w:val="22"/>
          <w:lang w:val="en-GB"/>
        </w:rPr>
        <w:t>; and</w:t>
      </w:r>
    </w:p>
    <w:p>
      <w:pPr>
        <w:pStyle w:val="Normal"/>
        <w:spacing w:before="0" w:after="0"/>
        <w:ind w:hanging="720" w:start="216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b)</w:t>
        <w:tab/>
        <w:t>Secondly, only contracts falling within the following categories shall apply:</w:t>
      </w:r>
    </w:p>
    <w:p>
      <w:pPr>
        <w:pStyle w:val="Normal"/>
        <w:spacing w:before="0" w:after="0"/>
        <w:ind w:start="72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w:t>
        <w:tab/>
        <w:t>it is a “new” contract (meaning that it is not listed in either Attachment 12-A or 12-B);</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(ii)</w:t>
        <w:tab/>
        <w:t>it is a newly discovered addendum, amendment or extension that extends the scope of an existing contract listed in Attachments 12-A or 12-B;</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(iii)</w:t>
        <w:tab/>
        <w:t>it is a contract that has been mistakenly listed as terminated in Attachments 12-A or 12-B</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rPr>
      </w:pPr>
      <w:r>
        <w:rPr>
          <w:szCs w:val="22"/>
          <w:lang w:val="en-GB"/>
        </w:rPr>
        <w:t>c)</w:t>
        <w:tab/>
        <w:t>Any other contracts falling outside the criteria in (a) and (b) above will be referable to the Procedural Change Control Procedure and shall then form part of the PST Supplier’s Base Charges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5" w:name="__RefHeading___Toc152058832"/>
      <w:bookmarkEnd w:id="15"/>
      <w:r>
        <w:rPr>
          <w:bCs/>
          <w:sz w:val="22"/>
          <w:lang w:val="en-GB"/>
        </w:rPr>
        <w:t>Contracts to be “backed out”</w:t>
      </w:r>
    </w:p>
    <w:p>
      <w:pPr>
        <w:pStyle w:val="Normal"/>
        <w:spacing w:before="0" w:after="0"/>
        <w:jc w:val="both"/>
        <w:rPr>
          <w:szCs w:val="22"/>
          <w:lang w:val="en-GB"/>
        </w:rPr>
      </w:pPr>
      <w:r>
        <w:rPr>
          <w:szCs w:val="22"/>
          <w:lang w:val="en-GB"/>
        </w:rPr>
        <w:t>In the same way that “new” contracts under Section 6.1 above are to be added to the Third Party Contract portfolio on appropriate adjudication from the Significant Change Control Procedure, there will be instances where existing contracts are to be removed from Third Party Contracts. All such cases shall be referred to the Significant Change Control Procedure and include the following examples (without limitation):</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a)</w:t>
        <w:tab/>
        <w:t>a Third Party Contract that is (subsequent to the Effective Date) realised to be out of scope of the MSA and SWS Function;</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b)</w:t>
        <w:tab/>
        <w:t>a Third Party Contract that has been terminated prior to the Effective Date.</w:t>
      </w:r>
    </w:p>
    <w:p>
      <w:pPr>
        <w:pStyle w:val="Normal"/>
        <w:spacing w:before="0" w:after="0"/>
        <w:jc w:val="both"/>
        <w:rPr>
          <w:szCs w:val="22"/>
          <w:lang w:val="en-GB"/>
        </w:rPr>
      </w:pPr>
      <w:r>
        <w:rPr>
          <w:szCs w:val="22"/>
          <w:lang w:val="en-GB"/>
        </w:rPr>
      </w:r>
    </w:p>
    <w:p>
      <w:pPr>
        <w:pStyle w:val="Heading1Numbered"/>
        <w:numPr>
          <w:ilvl w:val="0"/>
          <w:numId w:val="2"/>
        </w:numPr>
        <w:tabs>
          <w:tab w:val="clear" w:pos="720"/>
          <w:tab w:val="left" w:pos="360" w:leader="none"/>
        </w:tabs>
        <w:spacing w:before="0" w:after="0"/>
        <w:ind w:hanging="360" w:start="360" w:end="0"/>
        <w:rPr>
          <w:sz w:val="22"/>
          <w:szCs w:val="22"/>
        </w:rPr>
      </w:pPr>
      <w:bookmarkStart w:id="16" w:name="__RefHeading___Toc152058833"/>
      <w:bookmarkEnd w:id="16"/>
      <w:r>
        <w:rPr>
          <w:sz w:val="22"/>
          <w:szCs w:val="22"/>
        </w:rPr>
        <w:t>Reconciliation Process</w:t>
      </w:r>
    </w:p>
    <w:p>
      <w:pPr>
        <w:pStyle w:val="Normal"/>
        <w:spacing w:before="0" w:after="0"/>
        <w:jc w:val="both"/>
        <w:rPr>
          <w:sz w:val="22"/>
          <w:szCs w:val="22"/>
          <w:lang w:val="en-GB"/>
        </w:rPr>
      </w:pPr>
      <w:r>
        <w:rPr>
          <w:sz w:val="22"/>
          <w:szCs w:val="22"/>
          <w:lang w:val="en-GB"/>
        </w:rPr>
      </w:r>
    </w:p>
    <w:p>
      <w:pPr>
        <w:pStyle w:val="Normal"/>
        <w:spacing w:before="0" w:after="0"/>
        <w:jc w:val="both"/>
        <w:rPr>
          <w:szCs w:val="22"/>
          <w:lang w:val="en-GB"/>
        </w:rPr>
      </w:pPr>
      <w:r>
        <w:rPr>
          <w:szCs w:val="22"/>
          <w:lang w:val="en-GB"/>
        </w:rPr>
        <w:t>At the end of each calendar month after the Commencement Date, EuroBank and the PST Suppliers shall consult together in good faith to agree the adjustments (increases and decreases) to the Base Charges that have been determined by references to the Significant Change Control Procedure in Section 6 above. Such adjustments shall be validated by the 2IM and take effect in the monthly Base Charges for the calendar month immediately following the reference to the Significant Change Control Procedure. The final monthly review under this Section 7 shall occur on the Reconciliation Date (with the adjustments being validated and taking effect the month after, as above) and thereafter all newly discovered Third Party Contracts falling within the criteria in Sections 6 (a) and (b) above shall be referable to the Procedural Change Control Procedure and shall then form part of the PST Supplier’s Base Charges.</w:t>
      </w:r>
    </w:p>
    <w:p>
      <w:pPr>
        <w:pStyle w:val="Normal"/>
        <w:spacing w:before="0" w:after="0"/>
        <w:rPr>
          <w:szCs w:val="22"/>
          <w:lang w:val="en-GB"/>
        </w:rPr>
      </w:pPr>
      <w:r>
        <w:rPr>
          <w:szCs w:val="22"/>
          <w:lang w:val="en-GB"/>
        </w:rPr>
      </w:r>
    </w:p>
    <w:p>
      <w:pPr>
        <w:pStyle w:val="Heading1Numbered"/>
        <w:numPr>
          <w:ilvl w:val="0"/>
          <w:numId w:val="2"/>
        </w:numPr>
        <w:tabs>
          <w:tab w:val="clear" w:pos="720"/>
          <w:tab w:val="left" w:pos="360" w:leader="none"/>
        </w:tabs>
        <w:spacing w:before="0" w:after="0"/>
        <w:ind w:hanging="360" w:start="360" w:end="0"/>
        <w:rPr>
          <w:sz w:val="22"/>
          <w:szCs w:val="22"/>
        </w:rPr>
      </w:pPr>
      <w:bookmarkStart w:id="17" w:name="__RefHeading___Toc152058834"/>
      <w:r>
        <w:rPr>
          <w:sz w:val="22"/>
          <w:szCs w:val="22"/>
        </w:rPr>
        <w:t>Affected Contractors</w:t>
      </w:r>
      <w:bookmarkEnd w:id="17"/>
      <w:r>
        <w:rPr>
          <w:sz w:val="22"/>
          <w:szCs w:val="22"/>
        </w:rPr>
        <w:t xml:space="preserve"> </w:t>
      </w:r>
    </w:p>
    <w:p>
      <w:pPr>
        <w:pStyle w:val="Heading1Numbered"/>
        <w:numPr>
          <w:ilvl w:val="0"/>
          <w:numId w:val="0"/>
        </w:numPr>
        <w:spacing w:before="0" w:after="0"/>
        <w:ind w:hanging="0" w:start="0"/>
        <w:rPr>
          <w:rFonts w:ascii="Times New Roman" w:hAnsi="Times New Roman" w:cs="Times New Roman"/>
          <w:b w:val="false"/>
          <w:caps w:val="false"/>
          <w:smallCaps w:val="false"/>
          <w:sz w:val="22"/>
          <w:szCs w:val="22"/>
          <w:lang w:val="en-GB"/>
        </w:rPr>
      </w:pPr>
      <w:r>
        <w:rPr>
          <w:rFonts w:cs="Times New Roman" w:ascii="Times New Roman" w:hAnsi="Times New Roman"/>
          <w:b w:val="false"/>
          <w:caps w:val="false"/>
          <w:smallCaps w:val="false"/>
          <w:sz w:val="22"/>
          <w:szCs w:val="22"/>
          <w:lang w:val="en-GB"/>
        </w:rPr>
      </w:r>
    </w:p>
    <w:p>
      <w:pPr>
        <w:pStyle w:val="Normal"/>
        <w:jc w:val="both"/>
        <w:rPr/>
      </w:pPr>
      <w:r>
        <w:rPr>
          <w:lang w:val="en-GB"/>
        </w:rPr>
        <w:t>In Attachment 12-B, the list of Affected Contractors is given for information purposes only. EuroBank will terminate all contracts with affected Contractors before Commencement Date.</w:t>
      </w:r>
    </w:p>
    <w:p>
      <w:pPr>
        <w:pStyle w:val="Normal"/>
        <w:jc w:val="both"/>
        <w:rPr>
          <w:lang w:val="en-GB"/>
        </w:rPr>
      </w:pPr>
      <w:r>
        <w:rPr>
          <w:lang w:val="en-GB"/>
        </w:rPr>
      </w:r>
    </w:p>
    <w:p>
      <w:pPr>
        <w:pStyle w:val="Normal"/>
        <w:jc w:val="both"/>
        <w:rPr>
          <w:lang w:val="en-GB"/>
        </w:rPr>
      </w:pPr>
      <w:r>
        <w:rPr>
          <w:lang w:val="en-GB"/>
        </w:rPr>
        <w:t>Prior to 1st February 2007 Vendor Alpha will deliver a proposal setting out the number of Affected Contractors it considers ought to be retained by EuroBank and for what period (which in no event shall exceed 6 months) in order to ensure continuity of service. In addition Vendor Alpha must present clear justification and substantiation for such retention by EuroBank in the context of Vendor Alpha's obligations to deliver the Service. EuroBank shall consider the proposal in good faith taking into account the recommendations of the 2IM. EuroBank shall confirm the number of Affected Contractors it will retain within a reasonable period prior to Commencement Date. Thereafter on a monthly basis Vendor Alpha shall provide EuroBank with written justification and substantiation for the continued retention of each Affected Contractor. EuroBank shall consider these proposals also in good faith taking into account the recommendations of the 2IM. EuroBank shall confirm whether it wishes to continue with any or all of the Affected Contractors.</w:t>
      </w:r>
    </w:p>
    <w:p>
      <w:pPr>
        <w:pStyle w:val="Normal"/>
        <w:jc w:val="both"/>
        <w:rPr/>
      </w:pPr>
      <w:r>
        <w:rPr>
          <w:lang w:val="en-GB"/>
        </w:rPr>
        <w:t xml:space="preserve">For so long as EuroBank continues to retain the Affected Contractors, Vendor Alpha will reduce its Base Charges by the sum of 225€ excl VAT per day per Affected Contractor. </w:t>
      </w:r>
    </w:p>
    <w:p>
      <w:pPr>
        <w:pStyle w:val="Normal"/>
        <w:jc w:val="both"/>
        <w:rPr/>
      </w:pPr>
      <w:r>
        <w:rPr>
          <w:lang w:val="en-GB"/>
        </w:rPr>
        <w:t>At the end of the 6 months period following Commencement Date either EuroBank will terminate the contracts for all remaining Affected Contractors or Vendor Alpha will engage such Affected Contractors at its own cost.</w:t>
      </w:r>
    </w:p>
    <w:p>
      <w:pPr>
        <w:pStyle w:val="Normal"/>
        <w:jc w:val="both"/>
        <w:rPr>
          <w:lang w:val="en-GB"/>
        </w:rPr>
      </w:pPr>
      <w:r>
        <w:rPr>
          <w:lang w:val="en-GB"/>
        </w:rPr>
        <w:t>Vendor Alpha assumes 15 of these Affected Contractors to be part of their Base Charges.</w:t>
      </w:r>
    </w:p>
    <w:p>
      <w:pPr>
        <w:pStyle w:val="Normal"/>
        <w:jc w:val="both"/>
        <w:rPr>
          <w:lang w:val="en-GB"/>
        </w:rPr>
      </w:pPr>
      <w:r>
        <w:rPr>
          <w:lang w:val="en-GB"/>
        </w:rPr>
      </w:r>
    </w:p>
    <w:p>
      <w:pPr>
        <w:pStyle w:val="Heading1Numbered"/>
        <w:numPr>
          <w:ilvl w:val="0"/>
          <w:numId w:val="2"/>
        </w:numPr>
        <w:tabs>
          <w:tab w:val="clear" w:pos="720"/>
          <w:tab w:val="left" w:pos="360" w:leader="none"/>
        </w:tabs>
        <w:spacing w:before="0" w:after="0"/>
        <w:ind w:hanging="360" w:start="360" w:end="0"/>
        <w:rPr>
          <w:sz w:val="22"/>
          <w:szCs w:val="22"/>
        </w:rPr>
      </w:pPr>
      <w:bookmarkStart w:id="18" w:name="__RefHeading___Toc152058835"/>
      <w:r>
        <w:rPr>
          <w:sz w:val="22"/>
          <w:szCs w:val="22"/>
        </w:rPr>
        <w:t>Specific Third party Contracts</w:t>
      </w:r>
      <w:bookmarkEnd w:id="18"/>
      <w:r>
        <w:rPr>
          <w:sz w:val="22"/>
          <w:szCs w:val="22"/>
        </w:rPr>
        <w:t xml:space="preserve"> </w:t>
      </w:r>
    </w:p>
    <w:p>
      <w:pPr>
        <w:pStyle w:val="Normal"/>
        <w:spacing w:before="0" w:after="0"/>
        <w:rPr>
          <w:sz w:val="22"/>
          <w:szCs w:val="22"/>
          <w:lang w:val="en-GB"/>
        </w:rPr>
      </w:pPr>
      <w:r>
        <w:rPr>
          <w:sz w:val="22"/>
          <w:szCs w:val="22"/>
          <w:lang w:val="en-GB"/>
        </w:rPr>
      </w:r>
    </w:p>
    <w:p>
      <w:pPr>
        <w:pStyle w:val="Normal"/>
        <w:spacing w:before="0" w:after="0"/>
        <w:rPr/>
      </w:pPr>
      <w:r>
        <w:rPr>
          <w:lang w:val="en-GB"/>
        </w:rPr>
        <w:t>Special arrangements have been agreed for the 3 groups of Third Party Contracts stipulated below:</w:t>
      </w:r>
    </w:p>
    <w:p>
      <w:pPr>
        <w:pStyle w:val="Normal"/>
        <w:spacing w:before="0" w:after="0"/>
        <w:ind w:start="720" w:end="0"/>
        <w:jc w:val="both"/>
        <w:rPr/>
      </w:pPr>
      <w:r>
        <w:rPr>
          <w:szCs w:val="22"/>
          <w:u w:val="single"/>
          <w:lang w:val="en-GB"/>
        </w:rPr>
        <w:t>a)</w:t>
        <w:tab/>
        <w:t xml:space="preserve">Contraste/AmsIT </w:t>
      </w:r>
    </w:p>
    <w:p>
      <w:pPr>
        <w:pStyle w:val="Normal"/>
        <w:spacing w:before="0" w:after="0"/>
        <w:ind w:start="720" w:end="0"/>
        <w:jc w:val="both"/>
        <w:rPr>
          <w:szCs w:val="22"/>
          <w:u w:val="single"/>
          <w:lang w:val="en-GB"/>
        </w:rPr>
      </w:pPr>
      <w:r>
        <w:rPr>
          <w:szCs w:val="22"/>
          <w:u w:val="single"/>
          <w:lang w:val="en-GB"/>
        </w:rPr>
      </w:r>
    </w:p>
    <w:p>
      <w:pPr>
        <w:pStyle w:val="Normal"/>
        <w:spacing w:before="0" w:after="0"/>
        <w:ind w:start="720" w:end="0"/>
        <w:jc w:val="both"/>
        <w:rPr>
          <w:szCs w:val="22"/>
          <w:lang w:val="en-GB"/>
        </w:rPr>
      </w:pPr>
      <w:r>
        <w:rPr>
          <w:szCs w:val="22"/>
          <w:lang w:val="en-GB"/>
        </w:rPr>
        <w:t>As described in exhibit 4 7.1.</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b)</w:t>
        <w:tab/>
        <w:t>EuroBank Technics;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As described in Exhibit 4 7.1.</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c)</w:t>
        <w:tab/>
        <w:t>Siemens;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EuroBank agreed to terminate the Siemens contract in Year 2 (first half 2008). EuroBank and TelCo are going to negotiate jointly with Siemens to minimize the termination fee. Until the termination date of the Siemens contract, TelCo will reduce its voice Base Charges in Belgium by an amount equivalent to the Charges for 6000 ports.</w:t>
      </w:r>
    </w:p>
    <w:p>
      <w:pPr>
        <w:pStyle w:val="Normal"/>
        <w:spacing w:before="0" w:after="0"/>
        <w:rPr>
          <w:szCs w:val="22"/>
          <w:lang w:val="en-GB"/>
        </w:rPr>
      </w:pPr>
      <w:r>
        <w:rPr>
          <w:szCs w:val="22"/>
          <w:lang w:val="en-GB"/>
        </w:rPr>
      </w:r>
    </w:p>
    <w:p>
      <w:pPr>
        <w:pStyle w:val="Normal"/>
        <w:spacing w:before="0" w:after="0"/>
        <w:rPr>
          <w:lang w:val="en-GB"/>
        </w:rPr>
      </w:pPr>
      <w:r>
        <w:rPr>
          <w:lang w:val="en-GB"/>
        </w:rPr>
      </w:r>
    </w:p>
    <w:sectPr>
      <w:headerReference w:type="default" r:id="rId16"/>
      <w:headerReference w:type="first" r:id="rId17"/>
      <w:footerReference w:type="default" r:id="rId18"/>
      <w:footerReference w:type="first" r:id="rId19"/>
      <w:type w:val="nextPage"/>
      <w:pgSz w:w="11906" w:h="16838"/>
      <w:pgMar w:left="1729" w:right="1729" w:gutter="0" w:header="720" w:top="776"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right" w:pos="8460" w:leader="none"/>
      </w:tabs>
      <w:spacing w:before="120" w:after="120"/>
      <w:rPr/>
    </w:pPr>
    <w:r>
      <w:rPr>
        <w:sz w:val="16"/>
        <w:szCs w:val="16"/>
      </w:rPr>
      <w:t>Ops&amp;IT Banking Confidential</w:t>
      <w:tab/>
      <w:tab/>
      <w:t>12/12/06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12/12/2006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w:t>
      <w:tab/>
      <w:t>24/11/2006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left" w:pos="7920" w:leader="none"/>
        <w:tab w:val="left" w:pos="1332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2</w:t>
    </w:r>
    <w:r>
      <w:rPr>
        <w:sz w:val="16"/>
        <w:szCs w:val="16"/>
      </w:rPr>
      <w:fldChar w:fldCharType="end"/>
    </w:r>
    <w:r>
      <w:rPr>
        <w:sz w:val="16"/>
        <w:szCs w:val="16"/>
      </w:rPr>
      <w:t xml:space="preserve"> -</w:t>
      <w:tab/>
      <w:t>12/12/2006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8</w:t>
    </w:r>
    <w:r>
      <w:rPr>
        <w:sz w:val="16"/>
        <w:szCs w:val="16"/>
      </w:rPr>
      <w:fldChar w:fldCharType="end"/>
    </w:r>
    <w:r>
      <w:rPr>
        <w:sz w:val="16"/>
        <w:szCs w:val="16"/>
      </w:rPr>
      <w:t xml:space="preserve"> -</w:t>
      <w:tab/>
      <w:t>12/12/2006</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12 (3rd Party Contracts) Final v2.9.doc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12 (3rd Party Contracts) Final v2.9.doc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12 (3rd Party Contracts) Final v2.9.doc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7920" w:leader="none"/>
        <w:tab w:val="right" w:pos="14940" w:leader="none"/>
      </w:tabs>
      <w:spacing w:before="120" w:after="120"/>
      <w:rPr/>
    </w:pPr>
    <w:r>
      <w:rPr>
        <w:sz w:val="20"/>
      </w:rPr>
      <w:drawing>
        <wp:inline distT="0" distB="0" distL="0" distR="0">
          <wp:extent cx="965200" cy="28448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12 (3rd Party Contracts) Final v2.9.doc</w:t>
    </w:r>
    <w:r>
      <w:rPr>
        <w:sz w:val="16"/>
        <w:szCs w:val="16"/>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12 (3rd Party Contracts) Final v2.9.doc</w:t>
    </w:r>
    <w:r>
      <w:rPr>
        <w:sz w:val="16"/>
        <w:szCs w:val="16"/>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4"/>
      <w:numFmt w:val="lowerRoman"/>
      <w:lvlText w:val="(%1)"/>
      <w:lvlJc w:val="start"/>
      <w:pPr>
        <w:tabs>
          <w:tab w:val="num" w:pos="2160"/>
        </w:tabs>
        <w:ind w:start="2160" w:hanging="720"/>
      </w:pPr>
      <w:r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bullet"/>
      <w:lvlText w:val="•"/>
      <w:lvlJc w:val="start"/>
      <w:pPr>
        <w:tabs>
          <w:tab w:val="num" w:pos="540"/>
        </w:tabs>
        <w:ind w:start="540" w:hanging="360"/>
      </w:pPr>
      <w:rPr>
        <w:rFonts w:ascii="Times New Roman" w:hAnsi="Times New Roman" w:cs="Times New Roman" w:hint="default"/>
      </w:rPr>
    </w:lvl>
    <w:lvl w:ilvl="1">
      <w:start w:val="1"/>
      <w:numFmt w:val="bullet"/>
      <w:lvlText w:val="•"/>
      <w:lvlJc w:val="start"/>
      <w:pPr>
        <w:tabs>
          <w:tab w:val="num" w:pos="1260"/>
        </w:tabs>
        <w:ind w:start="1260" w:hanging="360"/>
      </w:pPr>
      <w:rPr>
        <w:rFonts w:ascii="Times New Roman" w:hAnsi="Times New Roman" w:cs="Times New Roman" w:hint="default"/>
      </w:rPr>
    </w:lvl>
    <w:lvl w:ilvl="2">
      <w:start w:val="1"/>
      <w:numFmt w:val="bullet"/>
      <w:lvlText w:val="•"/>
      <w:lvlJc w:val="start"/>
      <w:pPr>
        <w:tabs>
          <w:tab w:val="num" w:pos="1980"/>
        </w:tabs>
        <w:ind w:start="1980" w:hanging="360"/>
      </w:pPr>
      <w:rPr>
        <w:rFonts w:ascii="Times New Roman" w:hAnsi="Times New Roman" w:cs="Times New Roman" w:hint="default"/>
      </w:rPr>
    </w:lvl>
    <w:lvl w:ilvl="3">
      <w:start w:val="1"/>
      <w:numFmt w:val="bullet"/>
      <w:lvlText w:val="•"/>
      <w:lvlJc w:val="start"/>
      <w:pPr>
        <w:tabs>
          <w:tab w:val="num" w:pos="2700"/>
        </w:tabs>
        <w:ind w:start="2700" w:hanging="360"/>
      </w:pPr>
      <w:rPr>
        <w:rFonts w:ascii="Times New Roman" w:hAnsi="Times New Roman" w:cs="Times New Roman" w:hint="default"/>
      </w:rPr>
    </w:lvl>
    <w:lvl w:ilvl="4">
      <w:start w:val="1"/>
      <w:numFmt w:val="bullet"/>
      <w:lvlText w:val="•"/>
      <w:lvlJc w:val="start"/>
      <w:pPr>
        <w:tabs>
          <w:tab w:val="num" w:pos="3420"/>
        </w:tabs>
        <w:ind w:start="3420" w:hanging="360"/>
      </w:pPr>
      <w:rPr>
        <w:rFonts w:ascii="Times New Roman" w:hAnsi="Times New Roman" w:cs="Times New Roman" w:hint="default"/>
      </w:rPr>
    </w:lvl>
    <w:lvl w:ilvl="5">
      <w:start w:val="1"/>
      <w:numFmt w:val="bullet"/>
      <w:lvlText w:val="•"/>
      <w:lvlJc w:val="start"/>
      <w:pPr>
        <w:tabs>
          <w:tab w:val="num" w:pos="4140"/>
        </w:tabs>
        <w:ind w:start="4140" w:hanging="360"/>
      </w:pPr>
      <w:rPr>
        <w:rFonts w:ascii="Times New Roman" w:hAnsi="Times New Roman" w:cs="Times New Roman" w:hint="default"/>
      </w:rPr>
    </w:lvl>
    <w:lvl w:ilvl="6">
      <w:start w:val="1"/>
      <w:numFmt w:val="bullet"/>
      <w:lvlText w:val="•"/>
      <w:lvlJc w:val="start"/>
      <w:pPr>
        <w:tabs>
          <w:tab w:val="num" w:pos="4860"/>
        </w:tabs>
        <w:ind w:start="4860" w:hanging="360"/>
      </w:pPr>
      <w:rPr>
        <w:rFonts w:ascii="Times New Roman" w:hAnsi="Times New Roman" w:cs="Times New Roman" w:hint="default"/>
      </w:rPr>
    </w:lvl>
    <w:lvl w:ilvl="7">
      <w:start w:val="1"/>
      <w:numFmt w:val="bullet"/>
      <w:lvlText w:val="•"/>
      <w:lvlJc w:val="start"/>
      <w:pPr>
        <w:tabs>
          <w:tab w:val="num" w:pos="5580"/>
        </w:tabs>
        <w:ind w:start="5580" w:hanging="360"/>
      </w:pPr>
      <w:rPr>
        <w:rFonts w:ascii="Times New Roman" w:hAnsi="Times New Roman" w:cs="Times New Roman" w:hint="default"/>
      </w:rPr>
    </w:lvl>
    <w:lvl w:ilvl="8">
      <w:start w:val="1"/>
      <w:numFmt w:val="bullet"/>
      <w:lvlText w:val="•"/>
      <w:lvlJc w:val="start"/>
      <w:pPr>
        <w:tabs>
          <w:tab w:val="num" w:pos="6300"/>
        </w:tabs>
        <w:ind w:start="6300" w:hanging="360"/>
      </w:pPr>
      <w:rPr>
        <w:rFonts w:ascii="Times New Roman" w:hAnsi="Times New Roman" w:cs="Times New Roman" w:hint="default"/>
      </w:rPr>
    </w:lvl>
  </w:abstractNum>
  <w:abstractNum w:abstractNumId="7">
    <w:lvl w:ilvl="0">
      <w:start w:val="3"/>
      <w:numFmt w:val="lowerRoman"/>
      <w:lvlText w:val="(%1)"/>
      <w:lvlJc w:val="start"/>
      <w:pPr>
        <w:tabs>
          <w:tab w:val="num" w:pos="2160"/>
        </w:tabs>
        <w:ind w:start="2160" w:hanging="720"/>
      </w:pPr>
      <w:rPr/>
    </w:lvl>
    <w:lvl w:ilvl="1">
      <w:start w:val="28"/>
      <w:numFmt w:val="lowerLetter"/>
      <w:lvlText w:val="(%2)"/>
      <w:lvlJc w:val="start"/>
      <w:pPr>
        <w:tabs>
          <w:tab w:val="num" w:pos="2880"/>
        </w:tabs>
        <w:ind w:start="2880" w:hanging="720"/>
      </w:pPr>
      <w:rPr/>
    </w:lvl>
    <w:lvl w:ilvl="2">
      <w:start w:val="1"/>
      <w:numFmt w:val="lowerRoman"/>
      <w:lvlText w:val="%3."/>
      <w:lvlJc w:val="end"/>
      <w:pPr>
        <w:tabs>
          <w:tab w:val="num" w:pos="3240"/>
        </w:tabs>
        <w:ind w:start="3240" w:hanging="180"/>
      </w:pPr>
    </w:lvl>
    <w:lvl w:ilvl="3">
      <w:start w:val="1"/>
      <w:numFmt w:val="decimal"/>
      <w:lvlText w:val="%4."/>
      <w:lvlJc w:val="start"/>
      <w:pPr>
        <w:tabs>
          <w:tab w:val="num" w:pos="3960"/>
        </w:tabs>
        <w:ind w:start="3960" w:hanging="360"/>
      </w:pPr>
    </w:lvl>
    <w:lvl w:ilvl="4">
      <w:start w:val="1"/>
      <w:numFmt w:val="lowerLetter"/>
      <w:lvlText w:val="%5."/>
      <w:lvlJc w:val="start"/>
      <w:pPr>
        <w:tabs>
          <w:tab w:val="num" w:pos="4680"/>
        </w:tabs>
        <w:ind w:start="4680" w:hanging="360"/>
      </w:pPr>
    </w:lvl>
    <w:lvl w:ilvl="5">
      <w:start w:val="1"/>
      <w:numFmt w:val="lowerRoman"/>
      <w:lvlText w:val="%6."/>
      <w:lvlJc w:val="end"/>
      <w:pPr>
        <w:tabs>
          <w:tab w:val="num" w:pos="5400"/>
        </w:tabs>
        <w:ind w:start="5400" w:hanging="180"/>
      </w:pPr>
    </w:lvl>
    <w:lvl w:ilvl="6">
      <w:start w:val="1"/>
      <w:numFmt w:val="decimal"/>
      <w:lvlText w:val="%7."/>
      <w:lvlJc w:val="start"/>
      <w:pPr>
        <w:tabs>
          <w:tab w:val="num" w:pos="6120"/>
        </w:tabs>
        <w:ind w:start="6120" w:hanging="360"/>
      </w:pPr>
    </w:lvl>
    <w:lvl w:ilvl="7">
      <w:start w:val="1"/>
      <w:numFmt w:val="lowerLetter"/>
      <w:lvlText w:val="%8."/>
      <w:lvlJc w:val="start"/>
      <w:pPr>
        <w:tabs>
          <w:tab w:val="num" w:pos="6840"/>
        </w:tabs>
        <w:ind w:start="6840" w:hanging="360"/>
      </w:pPr>
    </w:lvl>
    <w:lvl w:ilvl="8">
      <w:start w:val="1"/>
      <w:numFmt w:val="lowerRoman"/>
      <w:lvlText w:val="%9."/>
      <w:lvlJc w:val="end"/>
      <w:pPr>
        <w:tabs>
          <w:tab w:val="num" w:pos="7560"/>
        </w:tabs>
        <w:ind w:start="7560" w:hanging="180"/>
      </w:pPr>
    </w:lvl>
  </w:abstractNum>
  <w:abstractNum w:abstractNumId="8">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rPr>
  </w:style>
  <w:style w:type="character" w:styleId="WW8Num6z0">
    <w:name w:val="WW8Num6z0"/>
    <w:qFormat/>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9"/>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bCs/>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odytextHM">
    <w:name w:val="Body text HM"/>
    <w:basedOn w:val="Normal"/>
    <w:qFormat/>
    <w:pPr>
      <w:tabs>
        <w:tab w:val="clear" w:pos="720"/>
        <w:tab w:val="left" w:pos="709" w:leader="none"/>
      </w:tabs>
      <w:spacing w:before="0" w:after="180"/>
      <w:ind w:hanging="0" w:start="709" w:end="0"/>
    </w:pPr>
    <w:rPr>
      <w:rFonts w:ascii="Arial" w:hAnsi="Arial" w:cs="Arial"/>
      <w:szCs w:val="20"/>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NormalWeb">
    <w:name w:val="Normal (Web)"/>
    <w:basedOn w:val="Normal"/>
    <w:qFormat/>
    <w:pPr>
      <w:spacing w:before="280" w:after="280"/>
    </w:pPr>
    <w:rPr>
      <w:sz w:val="24"/>
      <w:lang w:val="nl-B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2006-12-13T12:53:00Z</dcterms:created>
  <dc:creator> </dc:creator>
  <dc:description/>
  <cp:keywords/>
  <dc:language>en-US</dc:language>
  <cp:lastModifiedBy>Stuart Johnson</cp:lastModifiedBy>
  <cp:lastPrinted>2006-11-23T11:27:00Z</cp:lastPrinted>
  <dcterms:modified xsi:type="dcterms:W3CDTF">2006-12-13T12:56:00Z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1061482396</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exhibit 12</vt:lpwstr>
  </property>
  <property fmtid="{D5CDD505-2E9C-101B-9397-08002B2CF9AE}" pid="6" name="_ReviewingToolsShownOnce">
    <vt:lpwstr/>
  </property>
</Properties>
</file>