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exhibit 14</w:t>
      </w:r>
    </w:p>
    <w:p>
      <w:pPr>
        <w:pStyle w:val="Title"/>
        <w:rPr>
          <w:lang w:val="en-GB"/>
        </w:rPr>
      </w:pPr>
      <w:r>
        <w:rPr>
          <w:lang w:val="en-GB"/>
        </w:rPr>
      </w:r>
    </w:p>
    <w:p>
      <w:pPr>
        <w:pStyle w:val="Title"/>
        <w:rPr>
          <w:lang w:val="en-GB"/>
        </w:rPr>
      </w:pPr>
      <w:r>
        <w:rPr>
          <w:lang w:val="en-GB"/>
        </w:rPr>
        <w:t>customer satisfaction surveys</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lang w:val="en-GB"/>
        </w:rPr>
      </w:pPr>
      <w:r>
        <w:rPr>
          <w:lang w:val="en-GB"/>
        </w:rPr>
      </w:r>
    </w:p>
    <w:p>
      <w:pPr>
        <w:pStyle w:val="Normal"/>
        <w:rPr>
          <w:lang w:val="en-GB"/>
        </w:rPr>
      </w:pPr>
      <w:r>
        <w:rPr>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sz w:val="20"/>
              <w:szCs w:val="20"/>
              <w:lang w:val="en-US" w:eastAsia="en-US"/>
            </w:rPr>
          </w:pPr>
          <w:r>
            <w:fldChar w:fldCharType="begin"/>
          </w:r>
          <w:r>
            <w:rPr>
              <w:sz w:val="20"/>
              <w:szCs w:val="20"/>
              <w:lang w:val="en-GB" w:eastAsia="en-US"/>
            </w:rPr>
            <w:instrText xml:space="preserve"> TOC \o "2-9" \t "Heading 1 Numbered,1" </w:instrText>
          </w:r>
          <w:r>
            <w:rPr>
              <w:sz w:val="20"/>
              <w:szCs w:val="20"/>
              <w:lang w:val="en-GB" w:eastAsia="en-US"/>
            </w:rPr>
            <w:fldChar w:fldCharType="separate"/>
          </w:r>
          <w:r>
            <w:rPr>
              <w:sz w:val="20"/>
              <w:szCs w:val="20"/>
              <w:lang w:val="en-GB" w:eastAsia="en-US"/>
            </w:rPr>
            <w:t>1.</w:t>
          </w:r>
          <w:r>
            <w:rPr>
              <w:b w:val="false"/>
              <w:sz w:val="20"/>
              <w:szCs w:val="20"/>
              <w:lang w:val="en-US" w:eastAsia="en-US"/>
            </w:rPr>
            <w:tab/>
          </w:r>
          <w:r>
            <w:rPr>
              <w:sz w:val="20"/>
              <w:szCs w:val="20"/>
              <w:lang w:val="en-GB" w:eastAsia="en-US"/>
            </w:rPr>
            <w:t>INTRODUCTION</w:t>
          </w:r>
          <w:r>
            <w:rPr>
              <w:sz w:val="20"/>
              <w:szCs w:val="20"/>
              <w:lang w:val="en-US" w:eastAsia="en-US"/>
            </w:rPr>
            <w:tab/>
          </w:r>
          <w:hyperlink w:anchor="__RefHeading___Toc148149838">
            <w:r>
              <w:rPr>
                <w:rStyle w:val="IndexLink"/>
                <w:sz w:val="20"/>
                <w:szCs w:val="20"/>
                <w:lang w:val="en-US" w:eastAsia="en-US"/>
              </w:rPr>
              <w:t>1</w:t>
            </w:r>
          </w:hyperlink>
        </w:p>
        <w:p>
          <w:pPr>
            <w:pStyle w:val="TOC1"/>
            <w:tabs>
              <w:tab w:val="clear" w:pos="720"/>
              <w:tab w:val="left" w:pos="440" w:leader="none"/>
              <w:tab w:val="right" w:pos="8441" w:leader="dot"/>
            </w:tabs>
            <w:rPr>
              <w:b w:val="false"/>
              <w:sz w:val="20"/>
              <w:szCs w:val="20"/>
              <w:lang w:val="en-US" w:eastAsia="en-US"/>
            </w:rPr>
          </w:pPr>
          <w:r>
            <w:rPr>
              <w:sz w:val="20"/>
              <w:szCs w:val="20"/>
              <w:lang w:val="en-GB" w:eastAsia="en-US"/>
            </w:rPr>
            <w:t>2.</w:t>
          </w:r>
          <w:r>
            <w:rPr>
              <w:b w:val="false"/>
              <w:sz w:val="20"/>
              <w:szCs w:val="20"/>
              <w:lang w:val="en-US" w:eastAsia="en-US"/>
            </w:rPr>
            <w:tab/>
          </w:r>
          <w:r>
            <w:rPr>
              <w:sz w:val="20"/>
              <w:szCs w:val="20"/>
              <w:lang w:val="en-GB" w:eastAsia="en-US"/>
            </w:rPr>
            <w:t>GENERAL REQUIREMENTS</w:t>
          </w:r>
          <w:r>
            <w:rPr>
              <w:sz w:val="20"/>
              <w:szCs w:val="20"/>
              <w:lang w:val="en-US" w:eastAsia="en-US"/>
            </w:rPr>
            <w:tab/>
          </w:r>
          <w:hyperlink w:anchor="__RefHeading___Toc148149839">
            <w:r>
              <w:rPr>
                <w:rStyle w:val="IndexLink"/>
                <w:sz w:val="20"/>
                <w:szCs w:val="20"/>
                <w:lang w:val="en-US" w:eastAsia="en-US"/>
              </w:rPr>
              <w:t>1</w:t>
            </w:r>
          </w:hyperlink>
        </w:p>
        <w:p>
          <w:pPr>
            <w:pStyle w:val="TOC1"/>
            <w:tabs>
              <w:tab w:val="clear" w:pos="720"/>
              <w:tab w:val="left" w:pos="440" w:leader="none"/>
              <w:tab w:val="right" w:pos="8441" w:leader="dot"/>
            </w:tabs>
            <w:rPr>
              <w:b w:val="false"/>
              <w:sz w:val="20"/>
              <w:szCs w:val="20"/>
              <w:lang w:val="en-US" w:eastAsia="en-US"/>
            </w:rPr>
          </w:pPr>
          <w:r>
            <w:rPr>
              <w:sz w:val="20"/>
              <w:szCs w:val="20"/>
              <w:lang w:val="en-GB" w:eastAsia="en-US"/>
            </w:rPr>
            <w:t>3.</w:t>
          </w:r>
          <w:r>
            <w:rPr>
              <w:b w:val="false"/>
              <w:sz w:val="20"/>
              <w:szCs w:val="20"/>
              <w:lang w:val="en-US" w:eastAsia="en-US"/>
            </w:rPr>
            <w:tab/>
          </w:r>
          <w:r>
            <w:rPr>
              <w:sz w:val="20"/>
              <w:szCs w:val="20"/>
              <w:lang w:val="en-GB" w:eastAsia="en-US"/>
            </w:rPr>
            <w:t>EXECUTIVE CUSTOMER SATISFACTION SURVEYS</w:t>
          </w:r>
          <w:r>
            <w:rPr>
              <w:sz w:val="20"/>
              <w:szCs w:val="20"/>
              <w:lang w:val="en-US" w:eastAsia="en-US"/>
            </w:rPr>
            <w:tab/>
          </w:r>
          <w:hyperlink w:anchor="__RefHeading___Toc148149840">
            <w:r>
              <w:rPr>
                <w:rStyle w:val="IndexLink"/>
                <w:sz w:val="20"/>
                <w:szCs w:val="20"/>
                <w:lang w:val="en-US" w:eastAsia="en-US"/>
              </w:rPr>
              <w:t>3</w:t>
            </w:r>
          </w:hyperlink>
        </w:p>
        <w:p>
          <w:pPr>
            <w:pStyle w:val="TOC1"/>
            <w:tabs>
              <w:tab w:val="clear" w:pos="720"/>
              <w:tab w:val="left" w:pos="440" w:leader="none"/>
              <w:tab w:val="right" w:pos="8441" w:leader="dot"/>
            </w:tabs>
            <w:rPr>
              <w:b w:val="false"/>
              <w:sz w:val="20"/>
              <w:szCs w:val="20"/>
              <w:lang w:val="en-US" w:eastAsia="en-US"/>
            </w:rPr>
          </w:pPr>
          <w:r>
            <w:rPr>
              <w:sz w:val="20"/>
              <w:szCs w:val="20"/>
              <w:lang w:val="en-GB" w:eastAsia="en-US"/>
            </w:rPr>
            <w:t>4.</w:t>
          </w:r>
          <w:r>
            <w:rPr>
              <w:b w:val="false"/>
              <w:sz w:val="20"/>
              <w:szCs w:val="20"/>
              <w:lang w:val="en-US" w:eastAsia="en-US"/>
            </w:rPr>
            <w:tab/>
          </w:r>
          <w:r>
            <w:rPr>
              <w:sz w:val="20"/>
              <w:szCs w:val="20"/>
              <w:lang w:val="en-GB" w:eastAsia="en-US"/>
            </w:rPr>
            <w:t>BUSINESS UNIT MANAGEMENT CUSTOMER SATISFACTION SURVEYS</w:t>
          </w:r>
          <w:r>
            <w:rPr>
              <w:sz w:val="20"/>
              <w:szCs w:val="20"/>
              <w:lang w:val="en-US" w:eastAsia="en-US"/>
            </w:rPr>
            <w:tab/>
          </w:r>
          <w:hyperlink w:anchor="__RefHeading___Toc148149841">
            <w:r>
              <w:rPr>
                <w:rStyle w:val="IndexLink"/>
                <w:sz w:val="20"/>
                <w:szCs w:val="20"/>
                <w:lang w:val="en-US" w:eastAsia="en-US"/>
              </w:rPr>
              <w:t>3</w:t>
            </w:r>
          </w:hyperlink>
        </w:p>
        <w:p>
          <w:pPr>
            <w:pStyle w:val="TOC1"/>
            <w:tabs>
              <w:tab w:val="clear" w:pos="720"/>
              <w:tab w:val="left" w:pos="440" w:leader="none"/>
              <w:tab w:val="right" w:pos="8441" w:leader="dot"/>
            </w:tabs>
            <w:rPr>
              <w:b w:val="false"/>
              <w:sz w:val="20"/>
              <w:szCs w:val="20"/>
              <w:lang w:val="en-US" w:eastAsia="en-US"/>
            </w:rPr>
          </w:pPr>
          <w:r>
            <w:rPr>
              <w:sz w:val="20"/>
              <w:szCs w:val="20"/>
              <w:lang w:val="en-GB" w:eastAsia="en-US"/>
            </w:rPr>
            <w:t>5.</w:t>
          </w:r>
          <w:r>
            <w:rPr>
              <w:b w:val="false"/>
              <w:sz w:val="20"/>
              <w:szCs w:val="20"/>
              <w:lang w:val="en-US" w:eastAsia="en-US"/>
            </w:rPr>
            <w:tab/>
          </w:r>
          <w:r>
            <w:rPr>
              <w:sz w:val="20"/>
              <w:szCs w:val="20"/>
              <w:lang w:val="en-GB" w:eastAsia="en-US"/>
            </w:rPr>
            <w:t>ANNUAL END USER CUSTOMER SATISFACTION SURVEYS</w:t>
          </w:r>
          <w:r>
            <w:rPr>
              <w:sz w:val="20"/>
              <w:szCs w:val="20"/>
              <w:lang w:val="en-US" w:eastAsia="en-US"/>
            </w:rPr>
            <w:tab/>
          </w:r>
          <w:hyperlink w:anchor="__RefHeading___Toc148149842">
            <w:r>
              <w:rPr>
                <w:rStyle w:val="IndexLink"/>
                <w:sz w:val="20"/>
                <w:szCs w:val="20"/>
                <w:lang w:val="en-US" w:eastAsia="en-US"/>
              </w:rPr>
              <w:t>4</w:t>
            </w:r>
          </w:hyperlink>
        </w:p>
        <w:p>
          <w:pPr>
            <w:pStyle w:val="TOC1"/>
            <w:tabs>
              <w:tab w:val="clear" w:pos="720"/>
              <w:tab w:val="left" w:pos="440" w:leader="none"/>
              <w:tab w:val="right" w:pos="8441" w:leader="dot"/>
            </w:tabs>
            <w:rPr>
              <w:sz w:val="20"/>
              <w:szCs w:val="20"/>
              <w:lang w:val="en-US" w:eastAsia="en-US"/>
            </w:rPr>
          </w:pPr>
          <w:r>
            <w:rPr>
              <w:b w:val="false"/>
              <w:sz w:val="20"/>
              <w:szCs w:val="20"/>
              <w:lang w:val="en-GB" w:eastAsia="en-US"/>
            </w:rPr>
            <w:t>6.</w:t>
          </w:r>
          <w:r>
            <w:rPr>
              <w:b w:val="false"/>
              <w:sz w:val="20"/>
              <w:szCs w:val="20"/>
              <w:lang w:val="en-US" w:eastAsia="en-US"/>
            </w:rPr>
            <w:tab/>
          </w:r>
          <w:r>
            <w:rPr>
              <w:b w:val="false"/>
              <w:sz w:val="20"/>
              <w:szCs w:val="20"/>
              <w:lang w:val="en-GB" w:eastAsia="en-US"/>
            </w:rPr>
            <w:t>POINT OF SERVICE CUSTOMER SATISFACTION SURVEYS</w:t>
          </w:r>
          <w:r>
            <w:rPr>
              <w:b w:val="false"/>
              <w:sz w:val="20"/>
              <w:szCs w:val="20"/>
              <w:lang w:val="en-US" w:eastAsia="en-US"/>
            </w:rPr>
            <w:tab/>
          </w:r>
          <w:hyperlink w:anchor="__RefHeading___Toc148149843">
            <w:r>
              <w:rPr>
                <w:rStyle w:val="IndexLink"/>
                <w:b w:val="false"/>
                <w:sz w:val="20"/>
                <w:szCs w:val="20"/>
                <w:lang w:val="en-US" w:eastAsia="en-US"/>
              </w:rPr>
              <w:t>4</w:t>
            </w:r>
          </w:hyperlink>
          <w:r>
            <w:rPr>
              <w:rStyle w:val="IndexLink"/>
              <w:sz w:val="20"/>
              <w:b w:val="false"/>
              <w:szCs w:val="20"/>
              <w:lang w:val="en-US" w:eastAsia="en-US"/>
            </w:rPr>
            <w:fldChar w:fldCharType="end"/>
          </w:r>
        </w:p>
      </w:sdtContent>
    </w:sdt>
    <w:p>
      <w:pPr>
        <w:pStyle w:val="Normal"/>
        <w:rPr>
          <w:b/>
          <w:caps/>
          <w:sz w:val="20"/>
          <w:szCs w:val="20"/>
          <w:lang w:val="en-GB" w:eastAsia="en-US"/>
        </w:rPr>
      </w:pPr>
      <w:r>
        <w:rPr>
          <w:b/>
          <w:caps/>
          <w:sz w:val="20"/>
          <w:szCs w:val="20"/>
          <w:lang w:val="en-GB" w:eastAsia="en-US"/>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rPr>
          <w:b/>
          <w:caps/>
          <w:sz w:val="20"/>
          <w:szCs w:val="20"/>
          <w:lang w:val="en-GB"/>
        </w:rPr>
      </w:pPr>
      <w:r>
        <w:rPr>
          <w:b/>
          <w:caps/>
          <w:sz w:val="20"/>
          <w:szCs w:val="20"/>
          <w:lang w:val="en-GB"/>
        </w:rPr>
      </w:r>
    </w:p>
    <w:p>
      <w:pPr>
        <w:pStyle w:val="Normal"/>
        <w:rPr>
          <w:lang w:val="en-GB"/>
        </w:rPr>
      </w:pPr>
      <w:r>
        <w:rPr>
          <w:lang w:val="en-GB"/>
        </w:rPr>
      </w:r>
    </w:p>
    <w:p>
      <w:pPr>
        <w:pStyle w:val="Heading1Numbered"/>
        <w:numPr>
          <w:ilvl w:val="0"/>
          <w:numId w:val="12"/>
        </w:numPr>
        <w:ind w:hanging="0" w:start="0"/>
        <w:rPr>
          <w:sz w:val="22"/>
          <w:szCs w:val="22"/>
          <w:lang w:val="en-GB"/>
        </w:rPr>
      </w:pPr>
      <w:bookmarkStart w:id="0" w:name="__RefHeading___Toc148149838"/>
      <w:bookmarkEnd w:id="0"/>
      <w:r>
        <w:rPr>
          <w:sz w:val="22"/>
          <w:szCs w:val="22"/>
          <w:lang w:val="en-GB"/>
        </w:rPr>
        <w:t>INTRODUCTION</w:t>
      </w:r>
    </w:p>
    <w:p>
      <w:pPr>
        <w:pStyle w:val="Normal"/>
        <w:jc w:val="both"/>
        <w:rPr/>
      </w:pPr>
      <w:r>
        <w:rPr>
          <w:lang w:val="en-GB"/>
        </w:rPr>
        <w:t>This Exhibit describes the requirements related to Customer Satisfaction Surveys. The following Attachments to this Exhibit and are hereby incorporated by reference:</w:t>
      </w:r>
    </w:p>
    <w:p>
      <w:pPr>
        <w:pStyle w:val="Normal"/>
        <w:ind w:start="720" w:end="0"/>
        <w:jc w:val="both"/>
        <w:rPr/>
      </w:pPr>
      <w:r>
        <w:rPr>
          <w:u w:val="single"/>
          <w:lang w:val="en-GB"/>
        </w:rPr>
        <w:t>Attachment 14-A: Sample Point of Service Survey</w:t>
      </w:r>
      <w:r>
        <w:rPr>
          <w:lang w:val="en-GB"/>
        </w:rPr>
        <w:t>.  The PST Supplier will use the sample survey contained in the Attachment as a minimum subset as the basis for conducting point of service satisfaction measurements.</w:t>
      </w:r>
    </w:p>
    <w:p>
      <w:pPr>
        <w:pStyle w:val="Normal"/>
        <w:jc w:val="both"/>
        <w:rPr>
          <w:lang w:val="en-GB"/>
        </w:rPr>
      </w:pPr>
      <w:r>
        <w:rPr>
          <w:lang w:val="en-GB"/>
        </w:rPr>
        <w:t>EuroBank will have overall review and approval of the customer satisfaction surveys, to include input and approval of the survey recipients, the survey methodology, and the survey questions.</w:t>
      </w:r>
    </w:p>
    <w:p>
      <w:pPr>
        <w:pStyle w:val="Normal"/>
        <w:rPr>
          <w:lang w:val="en-GB"/>
        </w:rPr>
      </w:pPr>
      <w:r>
        <w:rPr>
          <w:lang w:val="en-GB"/>
        </w:rPr>
      </w:r>
    </w:p>
    <w:p>
      <w:pPr>
        <w:pStyle w:val="Heading1Numbered"/>
        <w:numPr>
          <w:ilvl w:val="0"/>
          <w:numId w:val="2"/>
        </w:numPr>
        <w:ind w:hanging="0" w:start="0"/>
        <w:rPr>
          <w:sz w:val="22"/>
          <w:szCs w:val="22"/>
          <w:lang w:val="en-GB"/>
        </w:rPr>
      </w:pPr>
      <w:bookmarkStart w:id="1" w:name="__RefHeading___Toc148149839"/>
      <w:bookmarkEnd w:id="1"/>
      <w:r>
        <w:rPr>
          <w:sz w:val="22"/>
          <w:szCs w:val="22"/>
          <w:lang w:val="en-GB"/>
        </w:rPr>
        <w:t>GENERAL REQUIREMENTS</w:t>
      </w:r>
    </w:p>
    <w:p>
      <w:pPr>
        <w:pStyle w:val="Normal"/>
        <w:rPr>
          <w:lang w:val="en-GB"/>
        </w:rPr>
      </w:pPr>
      <w:r>
        <w:rPr>
          <w:lang w:val="en-GB"/>
        </w:rPr>
        <w:t>The PST Suppliers responsibilities include:</w:t>
      </w:r>
    </w:p>
    <w:p>
      <w:pPr>
        <w:pStyle w:val="Normal"/>
        <w:ind w:hanging="720" w:start="1440" w:end="0"/>
        <w:jc w:val="both"/>
        <w:rPr>
          <w:lang w:val="en-GB"/>
        </w:rPr>
      </w:pPr>
      <w:r>
        <w:rPr>
          <w:lang w:val="en-GB"/>
        </w:rPr>
        <w:t>a)</w:t>
        <w:tab/>
        <w:t>Conducting customer satisfaction surveys for the following categories of Authorized Users:</w:t>
      </w:r>
    </w:p>
    <w:p>
      <w:pPr>
        <w:pStyle w:val="Normal"/>
        <w:numPr>
          <w:ilvl w:val="0"/>
          <w:numId w:val="6"/>
        </w:numPr>
        <w:tabs>
          <w:tab w:val="clear" w:pos="720"/>
        </w:tabs>
        <w:ind w:hanging="540" w:start="2160" w:end="0"/>
        <w:jc w:val="both"/>
        <w:rPr>
          <w:lang w:val="en-GB"/>
        </w:rPr>
      </w:pPr>
      <w:r>
        <w:rPr>
          <w:lang w:val="en-GB"/>
        </w:rPr>
        <w:t>Senior Management (Executive) Customer Satisfaction Survey.</w:t>
      </w:r>
    </w:p>
    <w:p>
      <w:pPr>
        <w:pStyle w:val="Normal"/>
        <w:numPr>
          <w:ilvl w:val="0"/>
          <w:numId w:val="6"/>
        </w:numPr>
        <w:tabs>
          <w:tab w:val="clear" w:pos="720"/>
        </w:tabs>
        <w:ind w:hanging="540" w:start="2160" w:end="0"/>
        <w:jc w:val="both"/>
        <w:rPr>
          <w:lang w:val="en-GB"/>
        </w:rPr>
      </w:pPr>
      <w:r>
        <w:rPr>
          <w:lang w:val="en-GB"/>
        </w:rPr>
        <w:t>Customer Satisfaction Survey, by business line.</w:t>
      </w:r>
    </w:p>
    <w:p>
      <w:pPr>
        <w:pStyle w:val="Normal"/>
        <w:numPr>
          <w:ilvl w:val="0"/>
          <w:numId w:val="6"/>
        </w:numPr>
        <w:tabs>
          <w:tab w:val="clear" w:pos="720"/>
        </w:tabs>
        <w:ind w:hanging="540" w:start="2160" w:end="0"/>
        <w:jc w:val="both"/>
        <w:rPr>
          <w:lang w:val="en-GB"/>
        </w:rPr>
      </w:pPr>
      <w:r>
        <w:rPr>
          <w:lang w:val="en-GB"/>
        </w:rPr>
        <w:t>Annual End User Customer Satisfaction Survey.</w:t>
      </w:r>
    </w:p>
    <w:p>
      <w:pPr>
        <w:pStyle w:val="Normal"/>
        <w:numPr>
          <w:ilvl w:val="0"/>
          <w:numId w:val="6"/>
        </w:numPr>
        <w:tabs>
          <w:tab w:val="clear" w:pos="720"/>
        </w:tabs>
        <w:ind w:hanging="540" w:start="2160" w:end="0"/>
        <w:jc w:val="both"/>
        <w:rPr>
          <w:lang w:val="en-GB"/>
        </w:rPr>
      </w:pPr>
      <w:r>
        <w:rPr>
          <w:lang w:val="en-GB"/>
        </w:rPr>
        <w:t>Point of Service Customer Satisfaction Surveys.</w:t>
      </w:r>
    </w:p>
    <w:p>
      <w:pPr>
        <w:pStyle w:val="Normal"/>
        <w:ind w:hanging="720" w:start="1440" w:end="0"/>
        <w:jc w:val="both"/>
        <w:rPr/>
      </w:pPr>
      <w:r>
        <w:rPr>
          <w:lang w:val="en-GB"/>
        </w:rPr>
        <w:t>b)</w:t>
        <w:tab/>
        <w:t>Measuring customer satisfaction in all surveys for the following general attributes:</w:t>
      </w:r>
    </w:p>
    <w:p>
      <w:pPr>
        <w:pStyle w:val="Normal"/>
        <w:ind w:hanging="720" w:start="2160" w:end="0"/>
        <w:jc w:val="both"/>
        <w:rPr>
          <w:lang w:val="en-GB"/>
        </w:rPr>
      </w:pPr>
      <w:r>
        <w:rPr>
          <w:lang w:val="en-GB"/>
        </w:rPr>
        <w:t>i)</w:t>
        <w:tab/>
        <w:t>Responsiveness.</w:t>
      </w:r>
    </w:p>
    <w:p>
      <w:pPr>
        <w:pStyle w:val="Normal"/>
        <w:ind w:hanging="720" w:start="2160" w:end="0"/>
        <w:jc w:val="both"/>
        <w:rPr>
          <w:lang w:val="en-GB"/>
        </w:rPr>
      </w:pPr>
      <w:r>
        <w:rPr>
          <w:lang w:val="en-GB"/>
        </w:rPr>
        <w:t>ii)</w:t>
        <w:tab/>
        <w:t>Performance.</w:t>
      </w:r>
    </w:p>
    <w:p>
      <w:pPr>
        <w:pStyle w:val="Normal"/>
        <w:ind w:hanging="720" w:start="2160" w:end="0"/>
        <w:jc w:val="both"/>
        <w:rPr>
          <w:lang w:val="en-GB"/>
        </w:rPr>
      </w:pPr>
      <w:r>
        <w:rPr>
          <w:lang w:val="en-GB"/>
        </w:rPr>
        <w:t>iii)</w:t>
        <w:tab/>
        <w:t>Knowledge.</w:t>
      </w:r>
    </w:p>
    <w:p>
      <w:pPr>
        <w:pStyle w:val="Normal"/>
        <w:ind w:hanging="720" w:start="2160" w:end="0"/>
        <w:jc w:val="both"/>
        <w:rPr>
          <w:lang w:val="en-GB"/>
        </w:rPr>
      </w:pPr>
      <w:r>
        <w:rPr>
          <w:lang w:val="en-GB"/>
        </w:rPr>
        <w:t>iv)</w:t>
        <w:tab/>
        <w:t>Overall Satisfaction.</w:t>
      </w:r>
    </w:p>
    <w:p>
      <w:pPr>
        <w:pStyle w:val="Normal"/>
        <w:ind w:hanging="720" w:start="1440" w:end="0"/>
        <w:jc w:val="both"/>
        <w:rPr/>
      </w:pPr>
      <w:r>
        <w:rPr>
          <w:lang w:val="en-GB"/>
        </w:rPr>
        <w:t>c)</w:t>
        <w:tab/>
        <w:t>Measuring customer satisfaction for each bundle or unique Service provided, based on the audience for each survey.</w:t>
      </w:r>
    </w:p>
    <w:p>
      <w:pPr>
        <w:pStyle w:val="Normal"/>
        <w:ind w:hanging="720" w:start="1440" w:end="0"/>
        <w:jc w:val="both"/>
        <w:rPr/>
      </w:pPr>
      <w:r>
        <w:rPr>
          <w:lang w:val="en-GB"/>
        </w:rPr>
        <w:t>d)</w:t>
        <w:tab/>
        <w:t>Measuring the satisfaction with the value of the Services provided by the PST Supplier in the Senior Management (Executive) Customer Satisfaction Survey and the Business line Customer Satisfaction Survey.</w:t>
      </w:r>
    </w:p>
    <w:p>
      <w:pPr>
        <w:pStyle w:val="Normal"/>
        <w:ind w:hanging="720" w:start="1440" w:end="0"/>
        <w:jc w:val="both"/>
        <w:rPr/>
      </w:pPr>
      <w:r>
        <w:rPr>
          <w:lang w:val="en-GB"/>
        </w:rPr>
        <w:t>e)</w:t>
        <w:tab/>
        <w:t>Developing the materials and methodology for each survey, and submitting the materials and methodology to EuroBank for its approval at least 1 calendar month prior to the scheduled start date for each survey.</w:t>
      </w:r>
    </w:p>
    <w:p>
      <w:pPr>
        <w:pStyle w:val="Normal"/>
        <w:ind w:hanging="720" w:start="1440" w:end="0"/>
        <w:jc w:val="both"/>
        <w:rPr/>
      </w:pPr>
      <w:r>
        <w:rPr>
          <w:lang w:val="en-GB"/>
        </w:rPr>
        <w:t>f)</w:t>
        <w:tab/>
        <w:t>Communicating with Authorized Users on a proactive basis to achieve a minimum response rate specified for each survey.</w:t>
      </w:r>
    </w:p>
    <w:p>
      <w:pPr>
        <w:pStyle w:val="Normal"/>
        <w:ind w:hanging="720" w:start="2160" w:end="0"/>
        <w:jc w:val="both"/>
        <w:rPr/>
      </w:pPr>
      <w:r>
        <w:rPr>
          <w:lang w:val="en-GB"/>
        </w:rPr>
        <w:t>i)</w:t>
        <w:tab/>
        <w:t>Using reasonable endeavours to attain at least a thirty percent (30%) response rate from the Annual End User Customer Satisfaction Survey.</w:t>
      </w:r>
    </w:p>
    <w:p>
      <w:pPr>
        <w:pStyle w:val="Normal"/>
        <w:ind w:hanging="720" w:start="2160" w:end="0"/>
        <w:jc w:val="both"/>
        <w:rPr/>
      </w:pPr>
      <w:r>
        <w:rPr>
          <w:lang w:val="en-GB"/>
        </w:rPr>
        <w:t>ii)</w:t>
        <w:tab/>
        <w:t>Using reasonable endeavours to attain at least a thirty percent (30%) response rate from the Point of Service Customer Satisfaction Survey.</w:t>
      </w:r>
    </w:p>
    <w:p>
      <w:pPr>
        <w:pStyle w:val="Normal"/>
        <w:ind w:hanging="720" w:start="1440" w:end="0"/>
        <w:jc w:val="both"/>
        <w:rPr/>
      </w:pPr>
      <w:r>
        <w:rPr>
          <w:lang w:val="en-GB"/>
        </w:rPr>
        <w:t>g)</w:t>
        <w:tab/>
        <w:t>Receiving completed surveys from Authorized Users and tabulating results from the surveys.</w:t>
      </w:r>
    </w:p>
    <w:p>
      <w:pPr>
        <w:pStyle w:val="Normal"/>
        <w:ind w:hanging="720" w:start="1440" w:end="0"/>
        <w:jc w:val="both"/>
        <w:rPr/>
      </w:pPr>
      <w:r>
        <w:rPr>
          <w:lang w:val="en-GB"/>
        </w:rPr>
        <w:t>h)</w:t>
        <w:tab/>
        <w:t>Reporting the results to:</w:t>
      </w:r>
    </w:p>
    <w:p>
      <w:pPr>
        <w:pStyle w:val="Normal"/>
        <w:ind w:hanging="720" w:start="2160" w:end="0"/>
        <w:jc w:val="both"/>
        <w:rPr>
          <w:lang w:val="en-GB"/>
        </w:rPr>
      </w:pPr>
      <w:r>
        <w:rPr>
          <w:lang w:val="en-GB"/>
        </w:rPr>
        <w:t>i)</w:t>
        <w:tab/>
        <w:t>The EuroBank Contract Executive and Contract Manager.</w:t>
      </w:r>
    </w:p>
    <w:p>
      <w:pPr>
        <w:pStyle w:val="Normal"/>
        <w:ind w:hanging="720" w:start="2160" w:end="0"/>
        <w:jc w:val="both"/>
        <w:rPr>
          <w:lang w:val="en-GB"/>
        </w:rPr>
      </w:pPr>
      <w:r>
        <w:rPr>
          <w:lang w:val="en-GB"/>
        </w:rPr>
        <w:t>ii)</w:t>
        <w:tab/>
        <w:t>Authorized Users as directed by the EuroBank Contract Executive.</w:t>
      </w:r>
    </w:p>
    <w:p>
      <w:pPr>
        <w:pStyle w:val="Normal"/>
        <w:ind w:hanging="720" w:start="1440" w:end="0"/>
        <w:jc w:val="both"/>
        <w:rPr>
          <w:lang w:val="en-GB"/>
        </w:rPr>
      </w:pPr>
      <w:r>
        <w:rPr>
          <w:lang w:val="en-GB"/>
        </w:rPr>
        <w:t>i)</w:t>
        <w:tab/>
        <w:t>Using the survey results to plan and implement measurable improvement programs for areas requiring attention.</w:t>
      </w:r>
    </w:p>
    <w:p>
      <w:pPr>
        <w:pStyle w:val="Normal"/>
        <w:jc w:val="both"/>
        <w:rPr>
          <w:lang w:val="en-GB"/>
        </w:rPr>
      </w:pPr>
      <w:r>
        <w:rPr>
          <w:lang w:val="en-GB"/>
        </w:rPr>
      </w:r>
    </w:p>
    <w:p>
      <w:pPr>
        <w:pStyle w:val="Normal"/>
        <w:jc w:val="both"/>
        <w:rPr>
          <w:u w:val="single"/>
        </w:rPr>
      </w:pPr>
      <w:r>
        <w:rPr>
          <w:u w:val="single"/>
        </w:rPr>
        <w:t>Objectives</w:t>
      </w:r>
    </w:p>
    <w:p>
      <w:pPr>
        <w:pStyle w:val="Normal"/>
        <w:jc w:val="both"/>
        <w:rPr/>
      </w:pPr>
      <w:r>
        <w:rPr/>
        <w:t>The methodology for conducting all the surveys as described in this Exhibit will be based on the following objectives</w:t>
      </w:r>
      <w:r>
        <w:rPr>
          <w:lang w:val="en-GB"/>
        </w:rPr>
        <w:t>:</w:t>
      </w:r>
    </w:p>
    <w:p>
      <w:pPr>
        <w:pStyle w:val="Normal"/>
        <w:numPr>
          <w:ilvl w:val="0"/>
          <w:numId w:val="4"/>
        </w:numPr>
        <w:jc w:val="both"/>
        <w:rPr/>
      </w:pPr>
      <w:r>
        <w:rPr/>
        <w:t>Getting maximum response from the target audience.</w:t>
      </w:r>
    </w:p>
    <w:p>
      <w:pPr>
        <w:pStyle w:val="Normal"/>
        <w:numPr>
          <w:ilvl w:val="0"/>
          <w:numId w:val="4"/>
        </w:numPr>
        <w:jc w:val="both"/>
        <w:rPr/>
      </w:pPr>
      <w:r>
        <w:rPr/>
        <w:t>Providing an efficient and prompt feedback mechanism.</w:t>
      </w:r>
    </w:p>
    <w:p>
      <w:pPr>
        <w:pStyle w:val="Normal"/>
        <w:numPr>
          <w:ilvl w:val="0"/>
          <w:numId w:val="4"/>
        </w:numPr>
        <w:jc w:val="both"/>
        <w:rPr/>
      </w:pPr>
      <w:r>
        <w:rPr/>
        <w:t>Striving for continuous improvement of response rates.</w:t>
      </w:r>
    </w:p>
    <w:p>
      <w:pPr>
        <w:pStyle w:val="Normal"/>
        <w:numPr>
          <w:ilvl w:val="0"/>
          <w:numId w:val="4"/>
        </w:numPr>
        <w:jc w:val="both"/>
        <w:rPr/>
      </w:pPr>
      <w:r>
        <w:rPr/>
        <w:t>Delivering service improvements based on survey results</w:t>
      </w:r>
    </w:p>
    <w:p>
      <w:pPr>
        <w:pStyle w:val="Normal"/>
        <w:jc w:val="both"/>
        <w:rPr>
          <w:lang w:val="en-GB"/>
        </w:rPr>
      </w:pPr>
      <w:r>
        <w:rPr>
          <w:lang w:val="en-GB"/>
        </w:rPr>
      </w:r>
    </w:p>
    <w:p>
      <w:pPr>
        <w:pStyle w:val="Normal"/>
        <w:jc w:val="both"/>
        <w:rPr>
          <w:u w:val="single"/>
          <w:lang w:val="en-GB"/>
        </w:rPr>
      </w:pPr>
      <w:r>
        <w:rPr>
          <w:u w:val="single"/>
          <w:lang w:val="en-GB"/>
        </w:rPr>
        <w:t>Principles to be applied</w:t>
      </w:r>
    </w:p>
    <w:p>
      <w:pPr>
        <w:pStyle w:val="Normal"/>
        <w:jc w:val="both"/>
        <w:rPr/>
      </w:pPr>
      <w:r>
        <w:rPr/>
        <w:t>The methodology will be built on the premise that the survey process should engage the target audience of the survey and to that effect the following principles are to be followed:</w:t>
      </w:r>
    </w:p>
    <w:p>
      <w:pPr>
        <w:pStyle w:val="Normal"/>
        <w:numPr>
          <w:ilvl w:val="0"/>
          <w:numId w:val="8"/>
        </w:numPr>
        <w:jc w:val="both"/>
        <w:rPr/>
      </w:pPr>
      <w:r>
        <w:rPr/>
        <w:t>The survey questionnaire is so constructed that it can be completed within a time span acceptable for the interviewee.</w:t>
      </w:r>
    </w:p>
    <w:p>
      <w:pPr>
        <w:pStyle w:val="Normal"/>
        <w:numPr>
          <w:ilvl w:val="0"/>
          <w:numId w:val="8"/>
        </w:numPr>
        <w:jc w:val="both"/>
        <w:rPr/>
      </w:pPr>
      <w:r>
        <w:rPr/>
        <w:t>The questions are brief and simple.</w:t>
      </w:r>
    </w:p>
    <w:p>
      <w:pPr>
        <w:pStyle w:val="Normal"/>
        <w:numPr>
          <w:ilvl w:val="0"/>
          <w:numId w:val="8"/>
        </w:numPr>
        <w:jc w:val="both"/>
        <w:rPr/>
      </w:pPr>
      <w:r>
        <w:rPr/>
        <w:t>All survey questions include space for comments.</w:t>
      </w:r>
    </w:p>
    <w:p>
      <w:pPr>
        <w:pStyle w:val="Normal"/>
        <w:numPr>
          <w:ilvl w:val="0"/>
          <w:numId w:val="8"/>
        </w:numPr>
        <w:jc w:val="both"/>
        <w:rPr/>
      </w:pPr>
      <w:r>
        <w:rPr/>
        <w:t>For each question included in the survey, satisfaction and importance is measured on a scale of 1 to 5. These factors will be combined in the analysis of the survey results so as to focus the improvement efforts on what the respondents felt was of highest importance.</w:t>
      </w:r>
    </w:p>
    <w:p>
      <w:pPr>
        <w:pStyle w:val="Normal"/>
        <w:jc w:val="both"/>
        <w:rPr>
          <w:lang w:val="en-GB"/>
        </w:rPr>
      </w:pPr>
      <w:r>
        <w:rPr>
          <w:lang w:val="en-GB"/>
        </w:rPr>
      </w:r>
    </w:p>
    <w:p>
      <w:pPr>
        <w:pStyle w:val="Normal"/>
        <w:jc w:val="both"/>
        <w:rPr>
          <w:u w:val="single"/>
          <w:lang w:val="en-GB"/>
        </w:rPr>
      </w:pPr>
      <w:r>
        <w:rPr>
          <w:u w:val="single"/>
          <w:lang w:val="en-GB"/>
        </w:rPr>
        <w:t>Phased Approach</w:t>
      </w:r>
    </w:p>
    <w:p>
      <w:pPr>
        <w:pStyle w:val="Normal"/>
        <w:jc w:val="both"/>
        <w:rPr/>
      </w:pPr>
      <w:r>
        <w:rPr/>
        <w:t>The methodology will fall into 3 phases:</w:t>
      </w:r>
    </w:p>
    <w:p>
      <w:pPr>
        <w:pStyle w:val="Normal"/>
        <w:numPr>
          <w:ilvl w:val="0"/>
          <w:numId w:val="5"/>
        </w:numPr>
        <w:tabs>
          <w:tab w:val="left" w:pos="720" w:leader="none"/>
        </w:tabs>
        <w:ind w:hanging="2160" w:start="2160" w:end="0"/>
        <w:jc w:val="both"/>
        <w:rPr/>
      </w:pPr>
      <w:r>
        <w:rPr/>
        <w:t>PLAN</w:t>
      </w:r>
      <w:r>
        <w:rPr>
          <w:b/>
        </w:rPr>
        <w:t>:</w:t>
        <w:tab/>
      </w:r>
      <w:r>
        <w:rPr/>
        <w:t>This phase includes activities around planning for the survey. Tasks include:</w:t>
      </w:r>
    </w:p>
    <w:p>
      <w:pPr>
        <w:pStyle w:val="Normal"/>
        <w:ind w:hanging="720" w:start="2880" w:end="0"/>
        <w:jc w:val="both"/>
        <w:rPr>
          <w:lang w:val="en-GB"/>
        </w:rPr>
      </w:pPr>
      <w:r>
        <w:rPr>
          <w:lang w:val="en-GB"/>
        </w:rPr>
        <w:t>i)</w:t>
        <w:tab/>
      </w:r>
      <w:r>
        <w:rPr/>
        <w:t>Defining the timing of the survey.</w:t>
      </w:r>
    </w:p>
    <w:p>
      <w:pPr>
        <w:pStyle w:val="Normal"/>
        <w:ind w:hanging="720" w:start="2880" w:end="0"/>
        <w:jc w:val="both"/>
        <w:rPr/>
      </w:pPr>
      <w:r>
        <w:rPr>
          <w:lang w:val="en-GB"/>
        </w:rPr>
        <w:t>ii)</w:t>
        <w:tab/>
      </w:r>
      <w:r>
        <w:rPr/>
        <w:t>Identifying the target audience.</w:t>
      </w:r>
    </w:p>
    <w:p>
      <w:pPr>
        <w:pStyle w:val="Normal"/>
        <w:numPr>
          <w:ilvl w:val="0"/>
          <w:numId w:val="11"/>
        </w:numPr>
        <w:tabs>
          <w:tab w:val="clear" w:pos="720"/>
          <w:tab w:val="left" w:pos="2880" w:leader="none"/>
        </w:tabs>
        <w:ind w:hanging="720" w:start="2880" w:end="0"/>
        <w:jc w:val="both"/>
        <w:rPr/>
      </w:pPr>
      <w:r>
        <w:rPr/>
        <w:t>Coming up with brief and clear questions.</w:t>
      </w:r>
    </w:p>
    <w:p>
      <w:pPr>
        <w:pStyle w:val="Normal"/>
        <w:numPr>
          <w:ilvl w:val="0"/>
          <w:numId w:val="11"/>
        </w:numPr>
        <w:tabs>
          <w:tab w:val="clear" w:pos="720"/>
          <w:tab w:val="left" w:pos="2880" w:leader="none"/>
        </w:tabs>
        <w:ind w:hanging="720" w:start="2880" w:end="0"/>
        <w:jc w:val="both"/>
        <w:rPr/>
      </w:pPr>
      <w:r>
        <w:rPr/>
        <w:t>Determining report requirements.</w:t>
      </w:r>
    </w:p>
    <w:p>
      <w:pPr>
        <w:pStyle w:val="Normal"/>
        <w:numPr>
          <w:ilvl w:val="0"/>
          <w:numId w:val="11"/>
        </w:numPr>
        <w:tabs>
          <w:tab w:val="clear" w:pos="720"/>
          <w:tab w:val="left" w:pos="2880" w:leader="none"/>
        </w:tabs>
        <w:ind w:hanging="720" w:start="2880" w:end="0"/>
        <w:jc w:val="both"/>
        <w:rPr/>
      </w:pPr>
      <w:r>
        <w:rPr/>
        <w:t>Determining  the survey medium (e.g. web or paper based).</w:t>
      </w:r>
    </w:p>
    <w:p>
      <w:pPr>
        <w:pStyle w:val="Normal"/>
        <w:numPr>
          <w:ilvl w:val="0"/>
          <w:numId w:val="11"/>
        </w:numPr>
        <w:tabs>
          <w:tab w:val="clear" w:pos="720"/>
          <w:tab w:val="left" w:pos="2880" w:leader="none"/>
        </w:tabs>
        <w:ind w:hanging="720" w:start="2880" w:end="0"/>
        <w:jc w:val="both"/>
        <w:rPr/>
      </w:pPr>
      <w:r>
        <w:rPr/>
        <w:t>Assigning proper weight to every question.</w:t>
      </w:r>
    </w:p>
    <w:p>
      <w:pPr>
        <w:pStyle w:val="TOC3"/>
        <w:spacing w:before="0" w:after="0"/>
        <w:ind w:start="6" w:end="0"/>
        <w:jc w:val="both"/>
        <w:rPr/>
      </w:pPr>
      <w:r>
        <w:rPr/>
      </w:r>
    </w:p>
    <w:p>
      <w:pPr>
        <w:pStyle w:val="Normal"/>
        <w:numPr>
          <w:ilvl w:val="0"/>
          <w:numId w:val="5"/>
        </w:numPr>
        <w:tabs>
          <w:tab w:val="left" w:pos="720" w:leader="none"/>
        </w:tabs>
        <w:ind w:hanging="2160" w:start="2160" w:end="0"/>
        <w:jc w:val="both"/>
        <w:rPr/>
      </w:pPr>
      <w:r>
        <w:rPr/>
        <w:t>EXECUTE:</w:t>
        <w:tab/>
        <w:t>This phase consists of analyzing activities related to the actual execution of the survey, publishing of results and communicating relevant feedback to respective stakeholders - management, target audience and the unit for which the survey was executed.</w:t>
      </w:r>
    </w:p>
    <w:p>
      <w:pPr>
        <w:pStyle w:val="TOC3"/>
        <w:jc w:val="both"/>
        <w:rPr/>
      </w:pPr>
      <w:r>
        <w:rPr/>
      </w:r>
    </w:p>
    <w:p>
      <w:pPr>
        <w:pStyle w:val="Normal"/>
        <w:numPr>
          <w:ilvl w:val="0"/>
          <w:numId w:val="5"/>
        </w:numPr>
        <w:tabs>
          <w:tab w:val="clear" w:pos="720"/>
          <w:tab w:val="left" w:pos="726" w:leader="none"/>
        </w:tabs>
        <w:ind w:hanging="2160" w:start="2166" w:end="0"/>
        <w:jc w:val="both"/>
        <w:rPr/>
      </w:pPr>
      <w:r>
        <w:rPr/>
        <w:t>IMPROVE:</w:t>
        <w:tab/>
        <w:t>This phase documents the “Lessons Learned”. Action items identified are assessed and where appropriate implemented to improve the quality of the survey and response rate. The implemented actions are tracked and assessed for effectiveness and long-term results are reported.</w:t>
      </w:r>
    </w:p>
    <w:p>
      <w:pPr>
        <w:pStyle w:val="TOC3"/>
        <w:spacing w:before="0" w:after="0"/>
        <w:ind w:start="6" w:end="0"/>
        <w:jc w:val="both"/>
        <w:rPr/>
      </w:pPr>
      <w:r>
        <w:rPr/>
      </w:r>
    </w:p>
    <w:p>
      <w:pPr>
        <w:pStyle w:val="TOC3"/>
        <w:spacing w:before="0" w:after="0"/>
        <w:ind w:start="6" w:end="0"/>
        <w:jc w:val="both"/>
        <w:rPr/>
      </w:pPr>
      <w:r>
        <w:rPr/>
        <w:t>The following figure represents the methodology with main activities within the three phases:</w:t>
      </w:r>
    </w:p>
    <w:p>
      <w:pPr>
        <w:pStyle w:val="Normal"/>
        <w:rPr/>
      </w:pPr>
      <w:r>
        <w:rPr/>
      </w:r>
    </w:p>
    <w:p>
      <w:pPr>
        <w:pStyle w:val="Normal"/>
        <w:jc w:val="both"/>
        <w:rPr>
          <w:lang w:val="en-GB"/>
        </w:rPr>
      </w:pPr>
      <w:r>
        <w:rPr>
          <w:lang w:val="en-GB"/>
        </w:rPr>
        <w:tab/>
      </w:r>
      <w:r>
        <w:rPr/>
        <w:drawing>
          <wp:inline distT="0" distB="0" distL="0" distR="0">
            <wp:extent cx="3748405" cy="2193925"/>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8"/>
                    <a:srcRect l="-5" t="-8" r="-5" b="-8"/>
                    <a:stretch>
                      <a:fillRect/>
                    </a:stretch>
                  </pic:blipFill>
                  <pic:spPr bwMode="auto">
                    <a:xfrm>
                      <a:off x="0" y="0"/>
                      <a:ext cx="3748405" cy="2193925"/>
                    </a:xfrm>
                    <a:prstGeom prst="rect">
                      <a:avLst/>
                    </a:prstGeom>
                    <a:noFill/>
                  </pic:spPr>
                </pic:pic>
              </a:graphicData>
            </a:graphic>
          </wp:inline>
        </w:drawing>
      </w:r>
    </w:p>
    <w:p>
      <w:pPr>
        <w:pStyle w:val="Normal"/>
        <w:rPr>
          <w:lang w:val="en-GB"/>
        </w:rPr>
      </w:pPr>
      <w:r>
        <w:rPr>
          <w:lang w:val="en-GB"/>
        </w:rPr>
      </w:r>
    </w:p>
    <w:p>
      <w:pPr>
        <w:pStyle w:val="Heading1Numbered"/>
        <w:numPr>
          <w:ilvl w:val="0"/>
          <w:numId w:val="2"/>
        </w:numPr>
        <w:ind w:hanging="0" w:start="0" w:end="0"/>
        <w:rPr>
          <w:bCs/>
          <w:sz w:val="22"/>
          <w:szCs w:val="22"/>
          <w:lang w:val="en-GB"/>
        </w:rPr>
      </w:pPr>
      <w:bookmarkStart w:id="2" w:name="__RefHeading___Toc148149840"/>
      <w:bookmarkEnd w:id="2"/>
      <w:r>
        <w:rPr>
          <w:bCs/>
          <w:sz w:val="22"/>
          <w:szCs w:val="22"/>
          <w:lang w:val="en-GB"/>
        </w:rPr>
        <w:t>EXECUTIVE CUSTOMER SATISFACTION SURVEYS</w:t>
      </w:r>
    </w:p>
    <w:p>
      <w:pPr>
        <w:pStyle w:val="Normal"/>
        <w:jc w:val="both"/>
        <w:rPr>
          <w:lang w:val="en-GB"/>
        </w:rPr>
      </w:pPr>
      <w:r>
        <w:rPr>
          <w:lang w:val="en-GB"/>
        </w:rPr>
        <w:t>The PST Suppliers responsibilities include:</w:t>
      </w:r>
    </w:p>
    <w:p>
      <w:pPr>
        <w:pStyle w:val="Normal"/>
        <w:ind w:hanging="720" w:start="1440" w:end="0"/>
        <w:jc w:val="both"/>
        <w:rPr>
          <w:lang w:val="en-GB"/>
        </w:rPr>
      </w:pPr>
      <w:r>
        <w:rPr>
          <w:lang w:val="en-GB"/>
        </w:rPr>
        <w:t>a)</w:t>
        <w:tab/>
        <w:t>Initiating the first Executive Customer Satisfaction Survey within six months after the Commencement Date, or at a later time if approved by the EuroBank Contract Executive.</w:t>
      </w:r>
    </w:p>
    <w:p>
      <w:pPr>
        <w:pStyle w:val="Normal"/>
        <w:ind w:hanging="720" w:start="1440" w:end="0"/>
        <w:jc w:val="both"/>
        <w:rPr>
          <w:lang w:val="en-GB"/>
        </w:rPr>
      </w:pPr>
      <w:r>
        <w:rPr>
          <w:lang w:val="en-GB"/>
        </w:rPr>
        <w:t>b)</w:t>
        <w:tab/>
        <w:t>Conducting ongoing Executive Customer Satisfaction Surveys on at least an annual basis, or as requested by EuroBank.</w:t>
      </w:r>
    </w:p>
    <w:p>
      <w:pPr>
        <w:pStyle w:val="Normal"/>
        <w:ind w:hanging="720" w:start="1440" w:end="0"/>
        <w:jc w:val="both"/>
        <w:rPr>
          <w:lang w:val="en-GB"/>
        </w:rPr>
      </w:pPr>
      <w:r>
        <w:rPr>
          <w:lang w:val="en-GB"/>
        </w:rPr>
        <w:t>c)</w:t>
        <w:tab/>
        <w:t>Working with the EuroBank Contract Executive, attempting to attain a one hundred percent (100%) response rate to the survey.</w:t>
      </w:r>
    </w:p>
    <w:p>
      <w:pPr>
        <w:pStyle w:val="Normal"/>
        <w:ind w:hanging="720" w:start="1440" w:end="0"/>
        <w:jc w:val="both"/>
        <w:rPr>
          <w:lang w:val="en-GB"/>
        </w:rPr>
      </w:pPr>
      <w:r>
        <w:rPr>
          <w:lang w:val="en-GB"/>
        </w:rPr>
        <w:t>d)</w:t>
        <w:tab/>
        <w:t>Reporting the results of the survey to the EuroBank Contract Executive and Contract Manager within two (2) weeks after the completion of the survey.</w:t>
      </w:r>
    </w:p>
    <w:p>
      <w:pPr>
        <w:pStyle w:val="Normal"/>
        <w:ind w:hanging="720" w:start="1440" w:end="0"/>
        <w:jc w:val="both"/>
        <w:rPr>
          <w:lang w:val="en-GB"/>
        </w:rPr>
      </w:pPr>
      <w:r>
        <w:rPr>
          <w:lang w:val="en-GB"/>
        </w:rPr>
        <w:t>e)</w:t>
        <w:tab/>
        <w:t>Reporting the results to the survey respondents and other EuroBank executives as requested by the EuroBank Contract Executive.</w:t>
      </w:r>
    </w:p>
    <w:p>
      <w:pPr>
        <w:pStyle w:val="Normal"/>
        <w:ind w:hanging="720" w:start="1440" w:end="0"/>
        <w:jc w:val="both"/>
        <w:rPr>
          <w:lang w:val="en-GB"/>
        </w:rPr>
      </w:pPr>
      <w:r>
        <w:rPr>
          <w:lang w:val="en-GB"/>
        </w:rPr>
        <w:t>f)</w:t>
        <w:tab/>
        <w:t>Conducting follow-on reviews or other activities as requested by the EuroBank Contract Executive.</w:t>
      </w:r>
    </w:p>
    <w:p>
      <w:pPr>
        <w:pStyle w:val="Normal"/>
        <w:rPr>
          <w:lang w:val="en-GB"/>
        </w:rPr>
      </w:pPr>
      <w:r>
        <w:rPr>
          <w:lang w:val="en-GB"/>
        </w:rPr>
      </w:r>
    </w:p>
    <w:p>
      <w:pPr>
        <w:pStyle w:val="Heading1Numbered"/>
        <w:numPr>
          <w:ilvl w:val="0"/>
          <w:numId w:val="2"/>
        </w:numPr>
        <w:ind w:hanging="0" w:start="0"/>
        <w:rPr>
          <w:sz w:val="22"/>
          <w:szCs w:val="22"/>
          <w:lang w:val="en-GB"/>
        </w:rPr>
      </w:pPr>
      <w:bookmarkStart w:id="3" w:name="__RefHeading___Toc148149841"/>
      <w:bookmarkEnd w:id="3"/>
      <w:r>
        <w:rPr>
          <w:sz w:val="22"/>
          <w:szCs w:val="22"/>
          <w:lang w:val="en-GB"/>
        </w:rPr>
        <w:t>BUSINESS UNIT MANAGEMENT CUSTOMER SATISFACTION SURVEYS</w:t>
      </w:r>
    </w:p>
    <w:p>
      <w:pPr>
        <w:pStyle w:val="Normal"/>
        <w:jc w:val="both"/>
        <w:rPr>
          <w:lang w:val="en-GB"/>
        </w:rPr>
      </w:pPr>
      <w:r>
        <w:rPr>
          <w:lang w:val="en-GB"/>
        </w:rPr>
        <w:t>The Customer Satisfaction Survey as described in this chapter can be part of an overall EuroBank Customer Satisfaction Survey. In this case the PST Suppliers Survey as mentioned in this chapter will be part of the overall EuroBank Customer Satisfaction Survey. In any case EuroBank must approve the date of execution of the Customer Satisfaction Survey.</w:t>
      </w:r>
    </w:p>
    <w:p>
      <w:pPr>
        <w:pStyle w:val="Normal"/>
        <w:jc w:val="both"/>
        <w:rPr>
          <w:lang w:val="en-GB"/>
        </w:rPr>
      </w:pPr>
      <w:r>
        <w:rPr>
          <w:lang w:val="en-GB"/>
        </w:rPr>
        <w:t>The PST Suppliers responsibilities include:</w:t>
      </w:r>
    </w:p>
    <w:p>
      <w:pPr>
        <w:pStyle w:val="Normal"/>
        <w:ind w:hanging="720" w:start="1440" w:end="0"/>
        <w:jc w:val="both"/>
        <w:rPr>
          <w:lang w:val="en-GB"/>
        </w:rPr>
      </w:pPr>
      <w:r>
        <w:rPr>
          <w:lang w:val="en-GB"/>
        </w:rPr>
        <w:t>a)</w:t>
        <w:tab/>
        <w:t>Conducting the Customer Satisfaction Survey by business line with each EuroBank business unit manager and/or designees.</w:t>
      </w:r>
    </w:p>
    <w:p>
      <w:pPr>
        <w:pStyle w:val="Normal"/>
        <w:ind w:hanging="720" w:start="1440" w:end="0"/>
        <w:jc w:val="both"/>
        <w:rPr>
          <w:lang w:val="en-GB"/>
        </w:rPr>
      </w:pPr>
      <w:r>
        <w:rPr>
          <w:lang w:val="en-GB"/>
        </w:rPr>
        <w:t>b)</w:t>
        <w:tab/>
        <w:t>Customizing parts of the survey to the particular requirements or work performed for each business unit.</w:t>
      </w:r>
    </w:p>
    <w:p>
      <w:pPr>
        <w:pStyle w:val="Normal"/>
        <w:ind w:hanging="720" w:start="1440" w:end="0"/>
        <w:jc w:val="both"/>
        <w:rPr>
          <w:lang w:val="en-GB"/>
        </w:rPr>
      </w:pPr>
      <w:r>
        <w:rPr>
          <w:lang w:val="en-GB"/>
        </w:rPr>
        <w:t>c)</w:t>
        <w:tab/>
        <w:t>Initiating the first Customer Satisfaction Survey by business line within six months after the Commencement Date, or at a later time if approved by the EuroBank Contract Executive.</w:t>
      </w:r>
    </w:p>
    <w:p>
      <w:pPr>
        <w:pStyle w:val="Normal"/>
        <w:ind w:hanging="720" w:start="1440" w:end="0"/>
        <w:jc w:val="both"/>
        <w:rPr>
          <w:lang w:val="en-GB"/>
        </w:rPr>
      </w:pPr>
      <w:r>
        <w:rPr>
          <w:lang w:val="en-GB"/>
        </w:rPr>
        <w:t>d)</w:t>
        <w:tab/>
        <w:t>Conducting ongoing Customer Satisfaction Surveys by business line on an annual basis, bi-annually if a previous survey indicated areas requiring significant attention and improvement.</w:t>
      </w:r>
    </w:p>
    <w:p>
      <w:pPr>
        <w:pStyle w:val="Normal"/>
        <w:ind w:hanging="720" w:start="1440" w:end="0"/>
        <w:jc w:val="both"/>
        <w:rPr/>
      </w:pPr>
      <w:r>
        <w:rPr>
          <w:lang w:val="en-GB"/>
        </w:rPr>
        <w:t>e)</w:t>
        <w:tab/>
        <w:t>Working with the EuroBank Contract Manager, attempting to attain an eighty percent (80%) response rate to the survey.</w:t>
      </w:r>
    </w:p>
    <w:p>
      <w:pPr>
        <w:pStyle w:val="Normal"/>
        <w:ind w:hanging="720" w:start="1440" w:end="0"/>
        <w:jc w:val="both"/>
        <w:rPr>
          <w:lang w:val="en-GB"/>
        </w:rPr>
      </w:pPr>
      <w:r>
        <w:rPr>
          <w:lang w:val="en-GB"/>
        </w:rPr>
        <w:t>f)</w:t>
        <w:tab/>
        <w:t>Reporting the results of the survey to the EuroBank Contract Executive and Contract Manager within two (2) weeks after the completion of the survey.</w:t>
      </w:r>
    </w:p>
    <w:p>
      <w:pPr>
        <w:pStyle w:val="Normal"/>
        <w:ind w:hanging="720" w:start="1440" w:end="0"/>
        <w:jc w:val="both"/>
        <w:rPr>
          <w:lang w:val="en-GB"/>
        </w:rPr>
      </w:pPr>
      <w:r>
        <w:rPr>
          <w:lang w:val="en-GB"/>
        </w:rPr>
        <w:t>g)</w:t>
        <w:tab/>
        <w:t>Reporting the results to the survey respondents and other EuroBank executives as requested by the EuroBank Contract Executive.</w:t>
      </w:r>
    </w:p>
    <w:p>
      <w:pPr>
        <w:pStyle w:val="Normal"/>
        <w:ind w:hanging="720" w:start="1440" w:end="0"/>
        <w:jc w:val="both"/>
        <w:rPr>
          <w:lang w:val="en-GB"/>
        </w:rPr>
      </w:pPr>
      <w:r>
        <w:rPr>
          <w:lang w:val="en-GB"/>
        </w:rPr>
        <w:t>h)</w:t>
        <w:tab/>
        <w:t>Conducting follow-on reviews or other activities as requested by the EuroBank Contract Executive.</w:t>
      </w:r>
    </w:p>
    <w:p>
      <w:pPr>
        <w:pStyle w:val="Normal"/>
        <w:rPr>
          <w:lang w:val="en-GB"/>
        </w:rPr>
      </w:pPr>
      <w:r>
        <w:rPr>
          <w:lang w:val="en-GB"/>
        </w:rPr>
      </w:r>
    </w:p>
    <w:p>
      <w:pPr>
        <w:pStyle w:val="Heading1Numbered"/>
        <w:numPr>
          <w:ilvl w:val="0"/>
          <w:numId w:val="2"/>
        </w:numPr>
        <w:ind w:hanging="0" w:start="0"/>
        <w:rPr>
          <w:sz w:val="22"/>
          <w:szCs w:val="22"/>
          <w:lang w:val="en-GB"/>
        </w:rPr>
      </w:pPr>
      <w:bookmarkStart w:id="4" w:name="__RefHeading___Toc148149842"/>
      <w:bookmarkEnd w:id="4"/>
      <w:r>
        <w:rPr>
          <w:sz w:val="22"/>
          <w:szCs w:val="22"/>
          <w:lang w:val="en-GB"/>
        </w:rPr>
        <w:t>ANNUAL END USER CUSTOMER SATISFACTION SURVEYS</w:t>
      </w:r>
    </w:p>
    <w:p>
      <w:pPr>
        <w:pStyle w:val="Normal"/>
        <w:jc w:val="both"/>
        <w:rPr>
          <w:lang w:val="en-GB"/>
        </w:rPr>
      </w:pPr>
      <w:r>
        <w:rPr>
          <w:lang w:val="en-GB"/>
        </w:rPr>
        <w:t>The PST Suppliers responsibilities include:</w:t>
      </w:r>
    </w:p>
    <w:p>
      <w:pPr>
        <w:pStyle w:val="Normal"/>
        <w:ind w:hanging="720" w:start="1440" w:end="0"/>
        <w:jc w:val="both"/>
        <w:rPr>
          <w:lang w:val="en-GB"/>
        </w:rPr>
      </w:pPr>
      <w:r>
        <w:rPr>
          <w:lang w:val="en-GB"/>
        </w:rPr>
        <w:t>a)</w:t>
        <w:tab/>
        <w:t>Conducting an annual survey sent to all Authorized Users of the Services.</w:t>
      </w:r>
    </w:p>
    <w:p>
      <w:pPr>
        <w:pStyle w:val="Normal"/>
        <w:ind w:hanging="720" w:start="1440" w:end="0"/>
        <w:jc w:val="both"/>
        <w:rPr>
          <w:lang w:val="en-GB"/>
        </w:rPr>
      </w:pPr>
      <w:r>
        <w:rPr>
          <w:lang w:val="en-GB"/>
        </w:rPr>
        <w:t>b)</w:t>
        <w:tab/>
        <w:t>Initiating the first Annual End User Customer Satisfaction Survey within nine months after the Commencement Date, or at a later time if approved by the EuroBank Contract Executive.</w:t>
      </w:r>
    </w:p>
    <w:p>
      <w:pPr>
        <w:pStyle w:val="Normal"/>
        <w:ind w:hanging="720" w:start="1440" w:end="0"/>
        <w:jc w:val="both"/>
        <w:rPr>
          <w:lang w:val="en-GB"/>
        </w:rPr>
      </w:pPr>
      <w:r>
        <w:rPr>
          <w:lang w:val="en-GB"/>
        </w:rPr>
        <w:t>c)</w:t>
        <w:tab/>
        <w:t>Customising parts of the survey with a specified subset of requirements addressed to the different geographies</w:t>
      </w:r>
    </w:p>
    <w:p>
      <w:pPr>
        <w:pStyle w:val="Normal"/>
        <w:ind w:hanging="720" w:start="1440" w:end="0"/>
        <w:jc w:val="both"/>
        <w:rPr>
          <w:lang w:val="en-GB"/>
        </w:rPr>
      </w:pPr>
      <w:r>
        <w:rPr>
          <w:lang w:val="en-GB"/>
        </w:rPr>
        <w:t>d)</w:t>
        <w:tab/>
        <w:t>Being able to provide reports on a number of cross sections, including geographic region.</w:t>
      </w:r>
    </w:p>
    <w:p>
      <w:pPr>
        <w:pStyle w:val="Normal"/>
        <w:ind w:hanging="720" w:start="1440" w:end="0"/>
        <w:jc w:val="both"/>
        <w:rPr>
          <w:lang w:val="en-GB"/>
        </w:rPr>
      </w:pPr>
      <w:r>
        <w:rPr>
          <w:lang w:val="en-GB"/>
        </w:rPr>
        <w:t>e)</w:t>
        <w:tab/>
        <w:t>Conducting ongoing Annual End User Customer Satisfaction Surveys on an annual basis.</w:t>
      </w:r>
    </w:p>
    <w:p>
      <w:pPr>
        <w:pStyle w:val="Normal"/>
        <w:ind w:hanging="720" w:start="1440" w:end="0"/>
        <w:jc w:val="both"/>
        <w:rPr/>
      </w:pPr>
      <w:r>
        <w:rPr>
          <w:lang w:val="en-GB"/>
        </w:rPr>
        <w:t>f)</w:t>
        <w:tab/>
        <w:t>Using reasonable endeavours to attain at least a thirty percent (30%) response rate to the survey.</w:t>
      </w:r>
    </w:p>
    <w:p>
      <w:pPr>
        <w:pStyle w:val="Normal"/>
        <w:ind w:hanging="720" w:start="1440" w:end="0"/>
        <w:jc w:val="both"/>
        <w:rPr>
          <w:lang w:val="en-GB"/>
        </w:rPr>
      </w:pPr>
      <w:r>
        <w:rPr>
          <w:lang w:val="en-GB"/>
        </w:rPr>
        <w:t>g)</w:t>
        <w:tab/>
        <w:t>Reporting the results of the survey to the EuroBank Contract Executive and Contract Manager within two (2) weeks after the completion of the survey.</w:t>
      </w:r>
    </w:p>
    <w:p>
      <w:pPr>
        <w:pStyle w:val="Normal"/>
        <w:ind w:hanging="720" w:start="1440" w:end="0"/>
        <w:jc w:val="both"/>
        <w:rPr>
          <w:lang w:val="en-GB"/>
        </w:rPr>
      </w:pPr>
      <w:r>
        <w:rPr>
          <w:lang w:val="en-GB"/>
        </w:rPr>
        <w:t>h)</w:t>
        <w:tab/>
        <w:t>Reporting the results to the survey respondents and other EuroBank executives as requested by the EuroBank Contract Executive.</w:t>
      </w:r>
    </w:p>
    <w:p>
      <w:pPr>
        <w:pStyle w:val="Normal"/>
        <w:rPr>
          <w:lang w:val="en-GB"/>
        </w:rPr>
      </w:pPr>
      <w:r>
        <w:rPr>
          <w:lang w:val="en-GB"/>
        </w:rPr>
      </w:r>
    </w:p>
    <w:p>
      <w:pPr>
        <w:pStyle w:val="Heading1Numbered"/>
        <w:numPr>
          <w:ilvl w:val="0"/>
          <w:numId w:val="2"/>
        </w:numPr>
        <w:ind w:hanging="0" w:start="0"/>
        <w:rPr>
          <w:sz w:val="22"/>
          <w:szCs w:val="22"/>
          <w:lang w:val="en-GB"/>
        </w:rPr>
      </w:pPr>
      <w:bookmarkStart w:id="5" w:name="__RefHeading___Toc148149843"/>
      <w:bookmarkEnd w:id="5"/>
      <w:r>
        <w:rPr>
          <w:sz w:val="22"/>
          <w:szCs w:val="22"/>
          <w:lang w:val="en-GB"/>
        </w:rPr>
        <w:t>POINT OF SERVICE CUSTOMER SATISFACTION SURVEYS</w:t>
      </w:r>
    </w:p>
    <w:p>
      <w:pPr>
        <w:pStyle w:val="Normal"/>
        <w:jc w:val="both"/>
        <w:rPr>
          <w:lang w:val="en-GB"/>
        </w:rPr>
      </w:pPr>
      <w:r>
        <w:rPr>
          <w:lang w:val="en-GB"/>
        </w:rPr>
        <w:t xml:space="preserve">The requirements as </w:t>
      </w:r>
      <w:r>
        <w:rPr>
          <w:bCs/>
          <w:lang w:val="en-GB"/>
        </w:rPr>
        <w:t>described in this chapter will be applicable no later than 7 months after Commencement Date</w:t>
      </w:r>
      <w:r>
        <w:rPr>
          <w:lang w:val="en-GB"/>
        </w:rPr>
        <w:t xml:space="preserve"> </w:t>
      </w:r>
    </w:p>
    <w:p>
      <w:pPr>
        <w:pStyle w:val="Normal"/>
        <w:jc w:val="both"/>
        <w:rPr>
          <w:lang w:val="en-GB"/>
        </w:rPr>
      </w:pPr>
      <w:r>
        <w:rPr>
          <w:lang w:val="en-GB"/>
        </w:rPr>
      </w:r>
    </w:p>
    <w:p>
      <w:pPr>
        <w:pStyle w:val="Normal"/>
        <w:jc w:val="both"/>
        <w:rPr>
          <w:lang w:val="en-GB"/>
        </w:rPr>
      </w:pPr>
      <w:r>
        <w:rPr>
          <w:lang w:val="en-GB"/>
        </w:rPr>
        <w:t>The PST will use the following approach while conducting the customer satisfaction survey. At the functional level,</w:t>
      </w:r>
    </w:p>
    <w:p>
      <w:pPr>
        <w:pStyle w:val="Normal"/>
        <w:ind w:hanging="720" w:start="1440" w:end="0"/>
        <w:jc w:val="both"/>
        <w:rPr/>
      </w:pPr>
      <w:r>
        <w:rPr>
          <w:lang w:val="en-GB"/>
        </w:rPr>
        <w:t>a)</w:t>
        <w:tab/>
        <w:t>10% of the total calls closed every 8 hours will be used for conducting the survey.</w:t>
      </w:r>
    </w:p>
    <w:p>
      <w:pPr>
        <w:pStyle w:val="Normal"/>
        <w:ind w:hanging="720" w:start="1440" w:end="0"/>
        <w:jc w:val="both"/>
        <w:rPr/>
      </w:pPr>
      <w:r>
        <w:rPr>
          <w:lang w:val="en-GB"/>
        </w:rPr>
        <w:t>b)</w:t>
        <w:tab/>
      </w:r>
      <w:r>
        <w:rPr/>
        <w:t>The calls will be selected to support the following:</w:t>
      </w:r>
    </w:p>
    <w:p>
      <w:pPr>
        <w:pStyle w:val="Normal"/>
        <w:ind w:hanging="720" w:start="2160" w:end="0"/>
        <w:jc w:val="both"/>
        <w:rPr>
          <w:lang w:val="en-GB"/>
        </w:rPr>
      </w:pPr>
      <w:r>
        <w:rPr>
          <w:lang w:val="en-GB"/>
        </w:rPr>
        <w:t>i)</w:t>
        <w:tab/>
      </w:r>
      <w:r>
        <w:rPr/>
        <w:t>Services having higher number of calls will have proportionately a higher representation in the survey.</w:t>
      </w:r>
    </w:p>
    <w:p>
      <w:pPr>
        <w:pStyle w:val="Normal"/>
        <w:ind w:hanging="720" w:start="2160" w:end="0"/>
        <w:jc w:val="both"/>
        <w:rPr/>
      </w:pPr>
      <w:r>
        <w:rPr>
          <w:lang w:val="en-GB"/>
        </w:rPr>
        <w:t>ii)</w:t>
        <w:tab/>
      </w:r>
      <w:r>
        <w:rPr/>
        <w:t>The number of calls used for this survey per Service will be proportionate to the calls received per Service.</w:t>
      </w:r>
    </w:p>
    <w:p>
      <w:pPr>
        <w:pStyle w:val="Normal"/>
        <w:ind w:hanging="720" w:start="2160" w:end="0"/>
        <w:jc w:val="both"/>
        <w:rPr/>
      </w:pPr>
      <w:r>
        <w:rPr/>
        <w:t>iii)</w:t>
        <w:tab/>
        <w:t>No user is asked to respond to more than one survey question per month or quarter depending on the size of the user base for that Service.</w:t>
      </w:r>
    </w:p>
    <w:p>
      <w:pPr>
        <w:pStyle w:val="Normal"/>
        <w:jc w:val="both"/>
        <w:rPr>
          <w:lang w:val="en-GB"/>
        </w:rPr>
      </w:pPr>
      <w:r>
        <w:rPr>
          <w:lang w:val="en-GB"/>
        </w:rPr>
        <w:t>On the Technical front, the PST will automate the process of Point of Service Customer Satisfaction Surveys by using tools to randomly select tickets closed within an 8 hour window, generate the survey form which includes ticket details in the form, email the survey to customer, and save the survey demographics in the survey tracking database.</w:t>
      </w:r>
    </w:p>
    <w:p>
      <w:pPr>
        <w:pStyle w:val="Normal"/>
        <w:jc w:val="both"/>
        <w:rPr>
          <w:lang w:val="en-GB"/>
        </w:rPr>
      </w:pPr>
      <w:r>
        <w:rPr>
          <w:lang w:val="en-GB"/>
        </w:rPr>
      </w:r>
    </w:p>
    <w:p>
      <w:pPr>
        <w:pStyle w:val="Normal"/>
        <w:jc w:val="both"/>
        <w:rPr>
          <w:lang w:val="en-GB"/>
        </w:rPr>
      </w:pPr>
      <w:r>
        <w:rPr>
          <w:lang w:val="en-GB"/>
        </w:rPr>
        <w:t>The PST Suppliers responsibilities include:</w:t>
      </w:r>
    </w:p>
    <w:p>
      <w:pPr>
        <w:pStyle w:val="Normal"/>
        <w:ind w:hanging="720" w:start="1440" w:end="0"/>
        <w:jc w:val="both"/>
        <w:rPr>
          <w:lang w:val="en-GB"/>
        </w:rPr>
      </w:pPr>
      <w:r>
        <w:rPr>
          <w:lang w:val="en-GB"/>
        </w:rPr>
        <w:t>a)</w:t>
        <w:tab/>
        <w:t>The PST Supplier shall perform point of service customer satisfaction surveys for a subset of the problems, questions, or requests from Authorized Users that are resolved by, or coordinated by, the Help Desk.</w:t>
      </w:r>
    </w:p>
    <w:p>
      <w:pPr>
        <w:pStyle w:val="Normal"/>
        <w:ind w:hanging="720" w:start="1440" w:end="0"/>
        <w:jc w:val="both"/>
        <w:rPr/>
      </w:pPr>
      <w:r>
        <w:rPr>
          <w:lang w:val="en-GB"/>
        </w:rPr>
        <w:t>b)</w:t>
        <w:tab/>
        <w:t>Selecting, on a random basis, five percent (5%) of the daily closed Calls managed by the Help Desk, including Calls resolved by Level 2 Support or Level 3 Support personnel in other bundles.</w:t>
      </w:r>
    </w:p>
    <w:p>
      <w:pPr>
        <w:pStyle w:val="Normal"/>
        <w:ind w:hanging="720" w:start="1440" w:end="0"/>
        <w:jc w:val="both"/>
        <w:rPr/>
      </w:pPr>
      <w:r>
        <w:rPr>
          <w:lang w:val="en-GB"/>
        </w:rPr>
        <w:t>c)</w:t>
        <w:tab/>
        <w:t>Contacting by e-mail or direct call the customer with a standard set of questions.  Such e-mails or call will be delivered to the Authorized Users within 1 working day of closing a Call.</w:t>
      </w:r>
    </w:p>
    <w:p>
      <w:pPr>
        <w:pStyle w:val="Normal"/>
        <w:ind w:hanging="720" w:start="1440" w:end="0"/>
        <w:jc w:val="both"/>
        <w:rPr>
          <w:lang w:val="en-GB"/>
        </w:rPr>
      </w:pPr>
      <w:r>
        <w:rPr>
          <w:lang w:val="en-GB"/>
        </w:rPr>
        <w:t>d)</w:t>
        <w:tab/>
        <w:t>Receiving completed point of service surveys from Authorized Users and tabulating results from the surveys.</w:t>
      </w:r>
    </w:p>
    <w:p>
      <w:pPr>
        <w:pStyle w:val="Normal"/>
        <w:ind w:hanging="720" w:start="1440" w:end="0"/>
        <w:jc w:val="both"/>
        <w:rPr>
          <w:lang w:val="en-GB"/>
        </w:rPr>
      </w:pPr>
      <w:r>
        <w:rPr>
          <w:lang w:val="en-GB"/>
        </w:rPr>
        <w:t>e)</w:t>
        <w:tab/>
        <w:t>PST Supplier will actively follow-up with Authorized Users to maintain at least a fifty percent (50%) response rate to the survey requests.</w:t>
      </w:r>
    </w:p>
    <w:p>
      <w:pPr>
        <w:pStyle w:val="Normal"/>
        <w:ind w:hanging="720" w:start="1440" w:end="0"/>
        <w:jc w:val="both"/>
        <w:rPr>
          <w:lang w:val="en-GB"/>
        </w:rPr>
      </w:pPr>
      <w:r>
        <w:rPr>
          <w:lang w:val="en-GB"/>
        </w:rPr>
        <w:t>f)</w:t>
        <w:tab/>
        <w:t>Reporting point of service survey results to EuroBank on a monthly basis.</w:t>
      </w:r>
    </w:p>
    <w:p>
      <w:pPr>
        <w:pStyle w:val="Normal"/>
        <w:ind w:hanging="720" w:start="1440" w:end="0"/>
        <w:jc w:val="both"/>
        <w:rPr>
          <w:lang w:val="en-GB"/>
        </w:rPr>
      </w:pPr>
      <w:r>
        <w:rPr>
          <w:lang w:val="en-GB"/>
        </w:rPr>
        <w:t>g)</w:t>
        <w:tab/>
        <w:t>Using the results from the point of service surveys to tabulate trends and typical problems or requests submitted by Authorized Users.</w:t>
      </w:r>
    </w:p>
    <w:p>
      <w:pPr>
        <w:pStyle w:val="Normal"/>
        <w:rPr>
          <w:lang w:val="en-GB"/>
        </w:rPr>
      </w:pPr>
      <w:r>
        <w:rPr>
          <w:lang w:val="en-GB"/>
        </w:rPr>
      </w:r>
    </w:p>
    <w:p>
      <w:pPr>
        <w:pStyle w:val="Normal"/>
        <w:rPr>
          <w:lang w:val="en-GB"/>
        </w:rPr>
      </w:pPr>
      <w:r>
        <w:rPr>
          <w:lang w:val="en-GB"/>
        </w:rPr>
      </w:r>
    </w:p>
    <w:p>
      <w:pPr>
        <w:pStyle w:val="Normal"/>
        <w:spacing w:before="120" w:after="120"/>
        <w:rPr>
          <w:lang w:val="en-GB"/>
        </w:rPr>
      </w:pPr>
      <w:r>
        <w:rPr>
          <w:lang w:val="en-GB"/>
        </w:rPr>
      </w:r>
    </w:p>
    <w:sectPr>
      <w:headerReference w:type="default" r:id="rId9"/>
      <w:headerReference w:type="first" r:id="rId10"/>
      <w:footerReference w:type="default" r:id="rId11"/>
      <w:footerReference w:type="first" r:id="rId12"/>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0" w:leader="none"/>
        <w:tab w:val="center" w:pos="4320" w:leader="none"/>
        <w:tab w:val="right" w:pos="8460" w:leader="none"/>
      </w:tabs>
      <w:spacing w:before="120" w:after="120"/>
      <w:rPr/>
    </w:pPr>
    <w:r>
      <w:rPr>
        <w:sz w:val="16"/>
        <w:szCs w:val="16"/>
      </w:rPr>
      <w:t>Ops&amp;IT Banking Confidential</w:t>
      <w:tab/>
      <w:tab/>
      <w:t>30/11/06</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5</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16"/>
        <w:szCs w:val="16"/>
      </w:rPr>
      <w:drawing>
        <wp:inline distT="0" distB="0" distL="0" distR="0">
          <wp:extent cx="965200" cy="284480"/>
          <wp:effectExtent l="0" t="0" r="0" b="0"/>
          <wp:docPr id="1"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16"/>
        <w:szCs w:val="16"/>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14 (Customer Satisfaction Surveys) Final v1.9.doc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sz w:val="16"/>
        <w:szCs w:val="16"/>
      </w:rPr>
      <w:drawing>
        <wp:inline distT="0" distB="0" distL="0" distR="0">
          <wp:extent cx="965200" cy="284480"/>
          <wp:effectExtent l="0" t="0" r="0" b="0"/>
          <wp:docPr id="2"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16"/>
        <w:szCs w:val="16"/>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14 (Customer Satisfaction Surveys) Final v1.9.doc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sz w:val="16"/>
        <w:szCs w:val="16"/>
      </w:rPr>
      <w:drawing>
        <wp:inline distT="0" distB="0" distL="0" distR="0">
          <wp:extent cx="965200" cy="284480"/>
          <wp:effectExtent l="0" t="0" r="0" b="0"/>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16"/>
        <w:szCs w:val="16"/>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14 (Customer Satisfaction Surveys) Final v1.9.doc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lowerLetter"/>
      <w:lvlText w:val="%1)"/>
      <w:lvlJc w:val="start"/>
      <w:pPr>
        <w:tabs>
          <w:tab w:val="num" w:pos="1440"/>
        </w:tabs>
        <w:ind w:start="1440" w:hanging="720"/>
      </w:pPr>
      <w:rPr/>
    </w:lvl>
  </w:abstractNum>
  <w:abstractNum w:abstractNumId="5">
    <w:lvl w:ilvl="0">
      <w:start w:val="1"/>
      <w:numFmt w:val="lowerLetter"/>
      <w:lvlText w:val="%1)"/>
      <w:lvlJc w:val="start"/>
      <w:pPr>
        <w:tabs>
          <w:tab w:val="num" w:pos="1440"/>
        </w:tabs>
        <w:ind w:start="1440" w:hanging="720"/>
      </w:pPr>
      <w:rPr/>
    </w:lvl>
  </w:abstractNum>
  <w:abstractNum w:abstractNumId="6">
    <w:lvl w:ilvl="0">
      <w:start w:val="1"/>
      <w:numFmt w:val="lowerRoman"/>
      <w:lvlText w:val="%1)"/>
      <w:lvlJc w:val="end"/>
      <w:pPr>
        <w:tabs>
          <w:tab w:val="num" w:pos="1080"/>
        </w:tabs>
        <w:ind w:start="1080" w:hanging="360"/>
      </w:pPr>
      <w:rPr/>
    </w:lvl>
  </w:abstractNum>
  <w:abstractNum w:abstractNumId="7">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8">
    <w:lvl w:ilvl="0">
      <w:start w:val="1"/>
      <w:numFmt w:val="lowerLetter"/>
      <w:lvlText w:val="%1)"/>
      <w:lvlJc w:val="start"/>
      <w:pPr>
        <w:tabs>
          <w:tab w:val="num" w:pos="1440"/>
        </w:tabs>
        <w:ind w:start="1440" w:hanging="720"/>
      </w:pPr>
      <w:rPr/>
    </w:lvl>
  </w:abstractNum>
  <w:abstractNum w:abstractNumId="9">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0">
    <w:lvl w:ilvl="0">
      <w:start w:val="1"/>
      <w:numFmt w:val="bullet"/>
      <w:lvlText w:val=""/>
      <w:lvlJc w:val="start"/>
      <w:pPr>
        <w:tabs>
          <w:tab w:val="num" w:pos="360"/>
        </w:tabs>
        <w:ind w:start="360" w:hanging="360"/>
      </w:pPr>
      <w:rPr>
        <w:rFonts w:ascii="Symbol" w:hAnsi="Symbol" w:cs="Symbol" w:hint="default"/>
      </w:rPr>
    </w:lvl>
  </w:abstractNum>
  <w:abstractNum w:abstractNumId="11">
    <w:lvl w:ilvl="0">
      <w:start w:val="3"/>
      <w:numFmt w:val="lowerRoman"/>
      <w:lvlText w:val="%1)"/>
      <w:lvlJc w:val="start"/>
      <w:pPr>
        <w:tabs>
          <w:tab w:val="num" w:pos="2160"/>
        </w:tabs>
        <w:ind w:start="2160" w:hanging="7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1">
    <w:name w:val="WW8Num1z1"/>
    <w:qFormat/>
    <w:rPr>
      <w:rFonts w:ascii="Times New Roman Bold;Times New Roman" w:hAnsi="Times New Roman Bold;Times New Roman" w:cs="Times New Roman Bold;Times New Roman"/>
      <w:b/>
      <w:i w:val="false"/>
      <w:sz w:val="28"/>
    </w:rPr>
  </w:style>
  <w:style w:type="character" w:styleId="WW8Num1z2">
    <w:name w:val="WW8Num1z2"/>
    <w:qFormat/>
    <w:rPr>
      <w:rFonts w:ascii="Times New Roman" w:hAnsi="Times New Roman" w:cs="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rFonts w:ascii="Times New Roman" w:hAnsi="Times New Roman" w:cs="Times New Roman"/>
      <w:b w:val="false"/>
      <w:i w:val="false"/>
      <w:color w:val="000000"/>
      <w:sz w:val="22"/>
    </w:rPr>
  </w:style>
  <w:style w:type="character" w:styleId="WW8Num8z1">
    <w:name w:val="WW8Num8z1"/>
    <w:qFormat/>
    <w:rPr>
      <w:rFonts w:ascii="Times New Roman" w:hAnsi="Times New Roman" w:cs="Times New Roman"/>
      <w:b w:val="false"/>
      <w:i w:val="false"/>
      <w:sz w:val="22"/>
    </w:rPr>
  </w:style>
  <w:style w:type="character" w:styleId="WW8Num8z4">
    <w:name w:val="WW8Num8z4"/>
    <w:qFormat/>
    <w:rPr/>
  </w:style>
  <w:style w:type="character" w:styleId="WW8Num9z0">
    <w:name w:val="WW8Num9z0"/>
    <w:qFormat/>
    <w:rPr/>
  </w:style>
  <w:style w:type="character" w:styleId="WW8Num10z0">
    <w:name w:val="WW8Num10z0"/>
    <w:qFormat/>
    <w:rPr>
      <w:rFonts w:ascii="Times New Roman" w:hAnsi="Times New Roman" w:cs="Times New Roman"/>
      <w:b w:val="false"/>
      <w:i w:val="false"/>
      <w:color w:val="000000"/>
      <w:sz w:val="22"/>
    </w:rPr>
  </w:style>
  <w:style w:type="character" w:styleId="WW8Num10z1">
    <w:name w:val="WW8Num10z1"/>
    <w:qFormat/>
    <w:rPr>
      <w:rFonts w:ascii="Times New Roman" w:hAnsi="Times New Roman" w:cs="Times New Roman"/>
      <w:b w:val="false"/>
      <w:i w:val="false"/>
      <w:sz w:val="22"/>
    </w:rPr>
  </w:style>
  <w:style w:type="character" w:styleId="WW8Num10z4">
    <w:name w:val="WW8Num10z4"/>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10"/>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9"/>
      </w:numPr>
    </w:pPr>
    <w:rPr>
      <w:bCs/>
    </w:rPr>
  </w:style>
  <w:style w:type="paragraph" w:styleId="TableLevel3Numbered">
    <w:name w:val="Table Level 3 Numbered"/>
    <w:basedOn w:val="Normal"/>
    <w:qFormat/>
    <w:pPr>
      <w:numPr>
        <w:ilvl w:val="0"/>
        <w:numId w:val="9"/>
      </w:numPr>
    </w:pPr>
    <w:rPr/>
  </w:style>
  <w:style w:type="paragraph" w:styleId="TableLevel4Numbered">
    <w:name w:val="Table Level 4 Numbered"/>
    <w:basedOn w:val="Normal"/>
    <w:qFormat/>
    <w:pPr>
      <w:numPr>
        <w:ilvl w:val="0"/>
        <w:numId w:val="9"/>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7"/>
      </w:numPr>
      <w:spacing w:before="240" w:after="240"/>
    </w:pPr>
    <w:rPr/>
  </w:style>
  <w:style w:type="paragraph" w:styleId="BodyLevel2Numbered">
    <w:name w:val="Body Level 2 Numbered"/>
    <w:basedOn w:val="Normal"/>
    <w:qFormat/>
    <w:pPr>
      <w:numPr>
        <w:ilvl w:val="0"/>
        <w:numId w:val="7"/>
      </w:numPr>
      <w:spacing w:before="240" w:after="240"/>
    </w:pPr>
    <w:rPr/>
  </w:style>
  <w:style w:type="paragraph" w:styleId="BodyLevel3Numbered">
    <w:name w:val="Body Level 3 Numbered"/>
    <w:basedOn w:val="Normal"/>
    <w:qFormat/>
    <w:pPr>
      <w:numPr>
        <w:ilvl w:val="0"/>
        <w:numId w:val="7"/>
      </w:numPr>
      <w:spacing w:before="240" w:after="240"/>
    </w:pPr>
    <w:rPr/>
  </w:style>
  <w:style w:type="paragraph" w:styleId="BodyLevel4Numbered">
    <w:name w:val="Body Level 4 Numbered"/>
    <w:basedOn w:val="Normal"/>
    <w:qFormat/>
    <w:pPr>
      <w:numPr>
        <w:ilvl w:val="0"/>
        <w:numId w:val="7"/>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alloonText">
    <w:name w:val="Balloon Text"/>
    <w:basedOn w:val="Normal"/>
    <w:qFormat/>
    <w:pPr/>
    <w:rPr>
      <w:rFonts w:ascii="Tahoma" w:hAnsi="Tahoma" w:cs="Tahoma"/>
      <w:sz w:val="16"/>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wmf"/><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2006-12-09T15:42:00Z</dcterms:created>
  <dc:creator> </dc:creator>
  <dc:description/>
  <cp:keywords/>
  <dc:language>en-US</dc:language>
  <cp:lastModifiedBy>Stuart Johnson</cp:lastModifiedBy>
  <cp:lastPrinted>2005-07-04T16:19:00Z</cp:lastPrinted>
  <dcterms:modified xsi:type="dcterms:W3CDTF">2006-12-09T15:45:00Z</dcterms:modified>
  <cp:revision>4</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1229888625</vt:r8>
  </property>
  <property fmtid="{D5CDD505-2E9C-101B-9397-08002B2CF9AE}" pid="3" name="_AuthorEmail">
    <vt:lpwstr>Albert.Jans@mail.ing.nl</vt:lpwstr>
  </property>
  <property fmtid="{D5CDD505-2E9C-101B-9397-08002B2CF9AE}" pid="4" name="_AuthorEmailDisplayName">
    <vt:lpwstr>Jans, A.H.A. (Albert)</vt:lpwstr>
  </property>
  <property fmtid="{D5CDD505-2E9C-101B-9397-08002B2CF9AE}" pid="5" name="_EmailSubject">
    <vt:lpwstr>Exhibit 14 (Customer Satisfaction Surveys) AJ v1.71</vt:lpwstr>
  </property>
  <property fmtid="{D5CDD505-2E9C-101B-9397-08002B2CF9AE}" pid="6" name="_ReviewingToolsShownOnce">
    <vt:lpwstr/>
  </property>
</Properties>
</file>