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240"/>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t>EuroBank</w:t>
      </w:r>
    </w:p>
    <w:p>
      <w:pPr>
        <w:pStyle w:val="Title"/>
        <w:rPr>
          <w:lang w:val="en-GB"/>
        </w:rPr>
      </w:pPr>
      <w:r>
        <w:rPr>
          <w:lang w:val="en-GB"/>
        </w:rPr>
      </w:r>
    </w:p>
    <w:p>
      <w:pPr>
        <w:pStyle w:val="Title"/>
        <w:rPr>
          <w:lang w:val="en-GB"/>
        </w:rPr>
      </w:pPr>
      <w:r>
        <w:rPr>
          <w:lang w:val="en-GB"/>
        </w:rPr>
        <w:t>exhibit 15</w:t>
      </w:r>
    </w:p>
    <w:p>
      <w:pPr>
        <w:pStyle w:val="Title"/>
        <w:rPr>
          <w:lang w:val="en-GB"/>
        </w:rPr>
      </w:pPr>
      <w:r>
        <w:rPr>
          <w:lang w:val="en-GB"/>
        </w:rPr>
      </w:r>
    </w:p>
    <w:p>
      <w:pPr>
        <w:pStyle w:val="Title"/>
        <w:rPr>
          <w:lang w:val="en-GB"/>
        </w:rPr>
      </w:pPr>
      <w:r>
        <w:rPr>
          <w:lang w:val="en-GB"/>
        </w:rPr>
        <w:t>Business Continuity Plan &amp; Disaster Recovery Plan</w:t>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sectPr>
          <w:headerReference w:type="default" r:id="rId2"/>
          <w:footerReference w:type="default" r:id="rId3"/>
          <w:type w:val="nextPage"/>
          <w:pgSz w:w="11906" w:h="16838"/>
          <w:pgMar w:left="1729" w:right="1729" w:gutter="0" w:header="720" w:top="776" w:footer="720" w:bottom="1094"/>
          <w:pgNumType w:fmt="decimal"/>
          <w:formProt w:val="false"/>
          <w:textDirection w:val="lrTb"/>
          <w:docGrid w:type="default" w:linePitch="360" w:charSpace="0"/>
        </w:sectPr>
        <w:pStyle w:val="Normal"/>
        <w:rPr>
          <w:lang w:val="en-GB"/>
        </w:rPr>
      </w:pPr>
      <w:r>
        <w:rPr>
          <w:lang w:val="en-GB"/>
        </w:rPr>
      </w:r>
    </w:p>
    <w:p>
      <w:pPr>
        <w:pStyle w:val="Normal"/>
        <w:rPr>
          <w:lang w:val="en-GB"/>
        </w:rPr>
      </w:pPr>
      <w:r>
        <w:rPr>
          <w:lang w:val="en-GB"/>
        </w:rPr>
      </w:r>
    </w:p>
    <w:p>
      <w:pPr>
        <w:pStyle w:val="Title"/>
        <w:rPr/>
      </w:pPr>
      <w:r>
        <w:rPr/>
        <w:t>Table of Contents</w:t>
      </w:r>
    </w:p>
    <w:sdt>
      <w:sdtPr>
        <w:docPartObj>
          <w:docPartGallery w:val="Table of Contents"/>
          <w:docPartUnique w:val="true"/>
        </w:docPartObj>
      </w:sdtPr>
      <w:sdtContent>
        <w:p>
          <w:pPr>
            <w:pStyle w:val="TOC1"/>
            <w:tabs>
              <w:tab w:val="clear" w:pos="720"/>
              <w:tab w:val="left" w:pos="440" w:leader="none"/>
              <w:tab w:val="right" w:pos="8441" w:leader="dot"/>
            </w:tabs>
            <w:rPr>
              <w:b w:val="false"/>
              <w:lang w:val="en-US" w:eastAsia="en-US"/>
            </w:rPr>
          </w:pPr>
          <w:r>
            <w:fldChar w:fldCharType="begin"/>
          </w:r>
          <w:r>
            <w:rPr>
              <w:lang w:val="en-GB" w:eastAsia="en-US"/>
            </w:rPr>
            <w:instrText xml:space="preserve"> TOC \t "Heading,1,Heading 1 Numbered,1,Heading 2 Numbered,2" </w:instrText>
          </w:r>
          <w:r>
            <w:rPr>
              <w:lang w:val="en-GB" w:eastAsia="en-US"/>
            </w:rPr>
            <w:fldChar w:fldCharType="separate"/>
          </w:r>
          <w:r>
            <w:rPr>
              <w:lang w:val="en-GB" w:eastAsia="en-US"/>
            </w:rPr>
            <w:t>1.</w:t>
          </w:r>
          <w:r>
            <w:rPr>
              <w:b w:val="false"/>
              <w:lang w:val="en-US" w:eastAsia="en-US"/>
            </w:rPr>
            <w:tab/>
          </w:r>
          <w:r>
            <w:rPr>
              <w:lang w:val="en-GB" w:eastAsia="en-US"/>
            </w:rPr>
            <w:t>Introduction</w:t>
          </w:r>
          <w:r>
            <w:rPr>
              <w:lang w:val="en-US" w:eastAsia="en-US"/>
            </w:rPr>
            <w:tab/>
          </w:r>
          <w:hyperlink w:anchor="__RefHeading___Toc149195938">
            <w:r>
              <w:rPr>
                <w:rStyle w:val="IndexLink"/>
                <w:lang w:val="en-US" w:eastAsia="en-US"/>
              </w:rPr>
              <w:t>1</w:t>
            </w:r>
          </w:hyperlink>
        </w:p>
        <w:p>
          <w:pPr>
            <w:pStyle w:val="TOC1"/>
            <w:tabs>
              <w:tab w:val="clear" w:pos="720"/>
              <w:tab w:val="left" w:pos="440" w:leader="none"/>
              <w:tab w:val="right" w:pos="8441" w:leader="dot"/>
            </w:tabs>
            <w:rPr>
              <w:b w:val="false"/>
              <w:lang w:val="en-US" w:eastAsia="en-US"/>
            </w:rPr>
          </w:pPr>
          <w:r>
            <w:rPr>
              <w:bCs/>
              <w:lang w:val="en-GB" w:eastAsia="en-US"/>
            </w:rPr>
            <w:t>2.</w:t>
          </w:r>
          <w:r>
            <w:rPr>
              <w:b w:val="false"/>
              <w:lang w:val="en-US" w:eastAsia="en-US"/>
            </w:rPr>
            <w:tab/>
          </w:r>
          <w:r>
            <w:rPr>
              <w:bCs/>
              <w:lang w:val="en-GB" w:eastAsia="en-US"/>
            </w:rPr>
            <w:t>Business Continuity Planning</w:t>
          </w:r>
          <w:r>
            <w:rPr>
              <w:lang w:val="en-US" w:eastAsia="en-US"/>
            </w:rPr>
            <w:tab/>
          </w:r>
          <w:hyperlink w:anchor="__RefHeading___Toc149195939">
            <w:r>
              <w:rPr>
                <w:rStyle w:val="IndexLink"/>
                <w:lang w:val="en-US" w:eastAsia="en-US"/>
              </w:rPr>
              <w:t>1</w:t>
            </w:r>
          </w:hyperlink>
        </w:p>
        <w:p>
          <w:pPr>
            <w:pStyle w:val="TOC2"/>
            <w:tabs>
              <w:tab w:val="clear" w:pos="720"/>
              <w:tab w:val="left" w:pos="880" w:leader="none"/>
              <w:tab w:val="right" w:pos="8441" w:leader="dot"/>
            </w:tabs>
            <w:rPr>
              <w:b w:val="false"/>
              <w:sz w:val="24"/>
              <w:lang w:val="en-US" w:eastAsia="en-US"/>
            </w:rPr>
          </w:pPr>
          <w:r>
            <w:rPr>
              <w:bCs/>
              <w:lang w:val="en-GB" w:eastAsia="en-US"/>
            </w:rPr>
            <w:t>2.1</w:t>
          </w:r>
          <w:r>
            <w:rPr>
              <w:b w:val="false"/>
              <w:sz w:val="24"/>
              <w:lang w:val="en-US" w:eastAsia="en-US"/>
            </w:rPr>
            <w:tab/>
          </w:r>
          <w:r>
            <w:rPr>
              <w:bCs/>
              <w:lang w:val="en-GB" w:eastAsia="en-US"/>
            </w:rPr>
            <w:t>Approach</w:t>
          </w:r>
          <w:r>
            <w:rPr>
              <w:lang w:val="en-US" w:eastAsia="en-US"/>
            </w:rPr>
            <w:tab/>
          </w:r>
          <w:hyperlink w:anchor="__RefHeading___Toc149195940">
            <w:r>
              <w:rPr>
                <w:rStyle w:val="IndexLink"/>
                <w:lang w:val="en-US" w:eastAsia="en-US"/>
              </w:rPr>
              <w:t>1</w:t>
            </w:r>
          </w:hyperlink>
        </w:p>
        <w:p>
          <w:pPr>
            <w:pStyle w:val="TOC2"/>
            <w:tabs>
              <w:tab w:val="clear" w:pos="720"/>
              <w:tab w:val="left" w:pos="880" w:leader="none"/>
              <w:tab w:val="right" w:pos="8441" w:leader="dot"/>
            </w:tabs>
            <w:rPr>
              <w:b w:val="false"/>
              <w:sz w:val="24"/>
              <w:lang w:val="en-US" w:eastAsia="en-US"/>
            </w:rPr>
          </w:pPr>
          <w:r>
            <w:rPr>
              <w:bCs/>
              <w:lang w:val="en-GB" w:eastAsia="en-US"/>
            </w:rPr>
            <w:t>2.2</w:t>
          </w:r>
          <w:r>
            <w:rPr>
              <w:b w:val="false"/>
              <w:sz w:val="24"/>
              <w:lang w:val="en-US" w:eastAsia="en-US"/>
            </w:rPr>
            <w:tab/>
          </w:r>
          <w:r>
            <w:rPr>
              <w:bCs/>
              <w:lang w:val="en-GB" w:eastAsia="en-US"/>
            </w:rPr>
            <w:t>Business Continuity Management</w:t>
          </w:r>
          <w:r>
            <w:rPr>
              <w:lang w:val="en-US" w:eastAsia="en-US"/>
            </w:rPr>
            <w:tab/>
          </w:r>
          <w:hyperlink w:anchor="__RefHeading___Toc149195941">
            <w:r>
              <w:rPr>
                <w:rStyle w:val="IndexLink"/>
                <w:lang w:val="en-US" w:eastAsia="en-US"/>
              </w:rPr>
              <w:t>1</w:t>
            </w:r>
          </w:hyperlink>
        </w:p>
        <w:p>
          <w:pPr>
            <w:pStyle w:val="TOC2"/>
            <w:tabs>
              <w:tab w:val="clear" w:pos="720"/>
              <w:tab w:val="left" w:pos="880" w:leader="none"/>
              <w:tab w:val="right" w:pos="8441" w:leader="dot"/>
            </w:tabs>
            <w:rPr>
              <w:b w:val="false"/>
              <w:sz w:val="24"/>
              <w:lang w:val="en-US" w:eastAsia="en-US"/>
            </w:rPr>
          </w:pPr>
          <w:r>
            <w:rPr>
              <w:bCs/>
              <w:lang w:val="en-GB" w:eastAsia="en-US"/>
            </w:rPr>
            <w:t>2.3</w:t>
          </w:r>
          <w:r>
            <w:rPr>
              <w:b w:val="false"/>
              <w:sz w:val="24"/>
              <w:lang w:val="en-US" w:eastAsia="en-US"/>
            </w:rPr>
            <w:tab/>
          </w:r>
          <w:r>
            <w:rPr>
              <w:bCs/>
              <w:lang w:val="en-GB" w:eastAsia="en-US"/>
            </w:rPr>
            <w:t>Understand the Business</w:t>
          </w:r>
          <w:r>
            <w:rPr>
              <w:lang w:val="en-US" w:eastAsia="en-US"/>
            </w:rPr>
            <w:tab/>
          </w:r>
          <w:hyperlink w:anchor="__RefHeading___Toc149195942">
            <w:r>
              <w:rPr>
                <w:rStyle w:val="IndexLink"/>
                <w:lang w:val="en-US" w:eastAsia="en-US"/>
              </w:rPr>
              <w:t>2</w:t>
            </w:r>
          </w:hyperlink>
        </w:p>
        <w:p>
          <w:pPr>
            <w:pStyle w:val="TOC2"/>
            <w:tabs>
              <w:tab w:val="clear" w:pos="720"/>
              <w:tab w:val="left" w:pos="880" w:leader="none"/>
              <w:tab w:val="right" w:pos="8441" w:leader="dot"/>
            </w:tabs>
            <w:rPr>
              <w:b w:val="false"/>
              <w:sz w:val="24"/>
              <w:lang w:val="en-US" w:eastAsia="en-US"/>
            </w:rPr>
          </w:pPr>
          <w:r>
            <w:rPr>
              <w:bCs/>
              <w:lang w:val="en-GB" w:eastAsia="en-US"/>
            </w:rPr>
            <w:t>2.4</w:t>
          </w:r>
          <w:r>
            <w:rPr>
              <w:b w:val="false"/>
              <w:sz w:val="24"/>
              <w:lang w:val="en-US" w:eastAsia="en-US"/>
            </w:rPr>
            <w:tab/>
          </w:r>
          <w:r>
            <w:rPr>
              <w:bCs/>
              <w:lang w:val="en-GB" w:eastAsia="en-US"/>
            </w:rPr>
            <w:t>Develop the Strategy</w:t>
          </w:r>
          <w:r>
            <w:rPr>
              <w:lang w:val="en-US" w:eastAsia="en-US"/>
            </w:rPr>
            <w:tab/>
          </w:r>
          <w:hyperlink w:anchor="__RefHeading___Toc149195943">
            <w:r>
              <w:rPr>
                <w:rStyle w:val="IndexLink"/>
                <w:lang w:val="en-US" w:eastAsia="en-US"/>
              </w:rPr>
              <w:t>3</w:t>
            </w:r>
          </w:hyperlink>
        </w:p>
        <w:p>
          <w:pPr>
            <w:pStyle w:val="TOC2"/>
            <w:tabs>
              <w:tab w:val="clear" w:pos="720"/>
              <w:tab w:val="left" w:pos="880" w:leader="none"/>
              <w:tab w:val="right" w:pos="8441" w:leader="dot"/>
            </w:tabs>
            <w:rPr>
              <w:b w:val="false"/>
              <w:sz w:val="24"/>
              <w:lang w:val="en-US" w:eastAsia="en-US"/>
            </w:rPr>
          </w:pPr>
          <w:r>
            <w:rPr>
              <w:bCs/>
              <w:lang w:val="en-GB" w:eastAsia="en-US"/>
            </w:rPr>
            <w:t>2.5</w:t>
          </w:r>
          <w:r>
            <w:rPr>
              <w:b w:val="false"/>
              <w:sz w:val="24"/>
              <w:lang w:val="en-US" w:eastAsia="en-US"/>
            </w:rPr>
            <w:tab/>
          </w:r>
          <w:r>
            <w:rPr>
              <w:bCs/>
              <w:lang w:val="en-GB" w:eastAsia="en-US"/>
            </w:rPr>
            <w:t>Implement the Strategy</w:t>
          </w:r>
          <w:r>
            <w:rPr>
              <w:lang w:val="en-US" w:eastAsia="en-US"/>
            </w:rPr>
            <w:tab/>
          </w:r>
          <w:hyperlink w:anchor="__RefHeading___Toc149195944">
            <w:r>
              <w:rPr>
                <w:rStyle w:val="IndexLink"/>
                <w:lang w:val="en-US" w:eastAsia="en-US"/>
              </w:rPr>
              <w:t>4</w:t>
            </w:r>
          </w:hyperlink>
        </w:p>
        <w:p>
          <w:pPr>
            <w:pStyle w:val="TOC2"/>
            <w:tabs>
              <w:tab w:val="clear" w:pos="720"/>
              <w:tab w:val="left" w:pos="880" w:leader="none"/>
              <w:tab w:val="right" w:pos="8441" w:leader="dot"/>
            </w:tabs>
            <w:rPr>
              <w:b w:val="false"/>
              <w:sz w:val="24"/>
              <w:lang w:val="en-US" w:eastAsia="en-US"/>
            </w:rPr>
          </w:pPr>
          <w:r>
            <w:rPr>
              <w:bCs/>
              <w:lang w:val="en-GB" w:eastAsia="en-US"/>
            </w:rPr>
            <w:t>2.6</w:t>
          </w:r>
          <w:r>
            <w:rPr>
              <w:b w:val="false"/>
              <w:sz w:val="24"/>
              <w:lang w:val="en-US" w:eastAsia="en-US"/>
            </w:rPr>
            <w:tab/>
          </w:r>
          <w:r>
            <w:rPr>
              <w:bCs/>
              <w:lang w:val="en-GB" w:eastAsia="en-US"/>
            </w:rPr>
            <w:t>Embed BCM</w:t>
          </w:r>
          <w:r>
            <w:rPr>
              <w:lang w:val="en-US" w:eastAsia="en-US"/>
            </w:rPr>
            <w:tab/>
          </w:r>
          <w:hyperlink w:anchor="__RefHeading___Toc149195945">
            <w:r>
              <w:rPr>
                <w:rStyle w:val="IndexLink"/>
                <w:lang w:val="en-US" w:eastAsia="en-US"/>
              </w:rPr>
              <w:t>5</w:t>
            </w:r>
          </w:hyperlink>
        </w:p>
        <w:p>
          <w:pPr>
            <w:pStyle w:val="TOC2"/>
            <w:tabs>
              <w:tab w:val="clear" w:pos="720"/>
              <w:tab w:val="left" w:pos="880" w:leader="none"/>
              <w:tab w:val="right" w:pos="8441" w:leader="dot"/>
            </w:tabs>
            <w:rPr>
              <w:b w:val="false"/>
              <w:sz w:val="24"/>
              <w:lang w:val="en-US" w:eastAsia="en-US"/>
            </w:rPr>
          </w:pPr>
          <w:r>
            <w:rPr>
              <w:bCs/>
              <w:lang w:val="en-GB" w:eastAsia="en-US"/>
            </w:rPr>
            <w:t>2.7</w:t>
          </w:r>
          <w:r>
            <w:rPr>
              <w:b w:val="false"/>
              <w:sz w:val="24"/>
              <w:lang w:val="en-US" w:eastAsia="en-US"/>
            </w:rPr>
            <w:tab/>
          </w:r>
          <w:r>
            <w:rPr>
              <w:bCs/>
              <w:lang w:val="en-GB" w:eastAsia="en-US"/>
            </w:rPr>
            <w:t>Ongoing Assurance and Maintenance</w:t>
          </w:r>
          <w:r>
            <w:rPr>
              <w:lang w:val="en-US" w:eastAsia="en-US"/>
            </w:rPr>
            <w:tab/>
          </w:r>
          <w:hyperlink w:anchor="__RefHeading___Toc149195946">
            <w:r>
              <w:rPr>
                <w:rStyle w:val="IndexLink"/>
                <w:lang w:val="en-US" w:eastAsia="en-US"/>
              </w:rPr>
              <w:t>5</w:t>
            </w:r>
          </w:hyperlink>
        </w:p>
        <w:p>
          <w:pPr>
            <w:pStyle w:val="TOC1"/>
            <w:tabs>
              <w:tab w:val="clear" w:pos="720"/>
              <w:tab w:val="left" w:pos="440" w:leader="none"/>
              <w:tab w:val="right" w:pos="8441" w:leader="dot"/>
            </w:tabs>
            <w:rPr>
              <w:b w:val="false"/>
              <w:lang w:val="en-US" w:eastAsia="en-US"/>
            </w:rPr>
          </w:pPr>
          <w:r>
            <w:rPr>
              <w:bCs/>
              <w:lang w:val="en-GB" w:eastAsia="en-US"/>
            </w:rPr>
            <w:t>3.</w:t>
          </w:r>
          <w:r>
            <w:rPr>
              <w:b w:val="false"/>
              <w:lang w:val="en-US" w:eastAsia="en-US"/>
            </w:rPr>
            <w:tab/>
          </w:r>
          <w:r>
            <w:rPr>
              <w:bCs/>
              <w:lang w:val="en-GB" w:eastAsia="en-US"/>
            </w:rPr>
            <w:t>Administrative</w:t>
          </w:r>
          <w:r>
            <w:rPr>
              <w:lang w:val="en-US" w:eastAsia="en-US"/>
            </w:rPr>
            <w:tab/>
          </w:r>
          <w:hyperlink w:anchor="__RefHeading___Toc149195947">
            <w:r>
              <w:rPr>
                <w:rStyle w:val="IndexLink"/>
                <w:lang w:val="en-US" w:eastAsia="en-US"/>
              </w:rPr>
              <w:t>6</w:t>
            </w:r>
          </w:hyperlink>
        </w:p>
        <w:p>
          <w:pPr>
            <w:pStyle w:val="TOC2"/>
            <w:tabs>
              <w:tab w:val="clear" w:pos="720"/>
              <w:tab w:val="left" w:pos="880" w:leader="none"/>
              <w:tab w:val="right" w:pos="8441" w:leader="dot"/>
            </w:tabs>
            <w:rPr>
              <w:b w:val="false"/>
              <w:sz w:val="24"/>
              <w:lang w:val="en-US" w:eastAsia="en-US"/>
            </w:rPr>
          </w:pPr>
          <w:r>
            <w:rPr>
              <w:lang w:val="en-GB" w:eastAsia="en-US"/>
            </w:rPr>
            <w:t>3.1</w:t>
          </w:r>
          <w:r>
            <w:rPr>
              <w:b w:val="false"/>
              <w:sz w:val="24"/>
              <w:lang w:val="en-US" w:eastAsia="en-US"/>
            </w:rPr>
            <w:tab/>
          </w:r>
          <w:r>
            <w:rPr>
              <w:lang w:val="en-GB" w:eastAsia="en-US"/>
            </w:rPr>
            <w:t>Execution of Business Continuity Plans</w:t>
          </w:r>
          <w:r>
            <w:rPr>
              <w:lang w:val="en-US" w:eastAsia="en-US"/>
            </w:rPr>
            <w:tab/>
          </w:r>
          <w:hyperlink w:anchor="__RefHeading___Toc149195948">
            <w:r>
              <w:rPr>
                <w:rStyle w:val="IndexLink"/>
                <w:lang w:val="en-US" w:eastAsia="en-US"/>
              </w:rPr>
              <w:t>6</w:t>
            </w:r>
          </w:hyperlink>
        </w:p>
        <w:p>
          <w:pPr>
            <w:pStyle w:val="TOC2"/>
            <w:tabs>
              <w:tab w:val="clear" w:pos="720"/>
              <w:tab w:val="left" w:pos="880" w:leader="none"/>
              <w:tab w:val="right" w:pos="8441" w:leader="dot"/>
            </w:tabs>
            <w:rPr>
              <w:b w:val="false"/>
              <w:sz w:val="24"/>
              <w:lang w:val="en-US" w:eastAsia="en-US"/>
            </w:rPr>
          </w:pPr>
          <w:r>
            <w:rPr>
              <w:bCs/>
              <w:lang w:val="en-GB" w:eastAsia="en-US"/>
            </w:rPr>
            <w:t>3.2</w:t>
          </w:r>
          <w:r>
            <w:rPr>
              <w:b w:val="false"/>
              <w:sz w:val="24"/>
              <w:lang w:val="en-US" w:eastAsia="en-US"/>
            </w:rPr>
            <w:tab/>
          </w:r>
          <w:r>
            <w:rPr>
              <w:bCs/>
              <w:lang w:val="en-GB" w:eastAsia="en-US"/>
            </w:rPr>
            <w:t>Audits of Business Continuity Plans</w:t>
          </w:r>
          <w:r>
            <w:rPr>
              <w:lang w:val="en-US" w:eastAsia="en-US"/>
            </w:rPr>
            <w:tab/>
          </w:r>
          <w:hyperlink w:anchor="__RefHeading___Toc149195949">
            <w:r>
              <w:rPr>
                <w:rStyle w:val="IndexLink"/>
                <w:lang w:val="en-US" w:eastAsia="en-US"/>
              </w:rPr>
              <w:t>6</w:t>
            </w:r>
          </w:hyperlink>
        </w:p>
        <w:p>
          <w:pPr>
            <w:pStyle w:val="TOC2"/>
            <w:tabs>
              <w:tab w:val="clear" w:pos="720"/>
              <w:tab w:val="left" w:pos="880" w:leader="none"/>
              <w:tab w:val="right" w:pos="8441" w:leader="dot"/>
            </w:tabs>
            <w:rPr>
              <w:b w:val="false"/>
              <w:sz w:val="24"/>
              <w:lang w:val="en-US" w:eastAsia="en-US"/>
            </w:rPr>
          </w:pPr>
          <w:r>
            <w:rPr>
              <w:bCs/>
              <w:lang w:val="en-GB" w:eastAsia="en-US"/>
            </w:rPr>
            <w:t>3.3</w:t>
          </w:r>
          <w:r>
            <w:rPr>
              <w:b w:val="false"/>
              <w:sz w:val="24"/>
              <w:lang w:val="en-US" w:eastAsia="en-US"/>
            </w:rPr>
            <w:tab/>
          </w:r>
          <w:r>
            <w:rPr>
              <w:bCs/>
              <w:lang w:val="en-GB" w:eastAsia="en-US"/>
            </w:rPr>
            <w:t>Availability of Business Continuity Plans</w:t>
          </w:r>
          <w:r>
            <w:rPr>
              <w:lang w:val="en-US" w:eastAsia="en-US"/>
            </w:rPr>
            <w:tab/>
          </w:r>
          <w:hyperlink w:anchor="__RefHeading___Toc149195950">
            <w:r>
              <w:rPr>
                <w:rStyle w:val="IndexLink"/>
                <w:lang w:val="en-US" w:eastAsia="en-US"/>
              </w:rPr>
              <w:t>6</w:t>
            </w:r>
          </w:hyperlink>
        </w:p>
        <w:p>
          <w:pPr>
            <w:pStyle w:val="TOC1"/>
            <w:tabs>
              <w:tab w:val="clear" w:pos="720"/>
              <w:tab w:val="right" w:pos="8441" w:leader="dot"/>
            </w:tabs>
            <w:rPr>
              <w:lang w:val="en-US" w:eastAsia="en-US"/>
            </w:rPr>
          </w:pPr>
          <w:r>
            <w:rPr>
              <w:b w:val="false"/>
              <w:lang w:val="en-US" w:eastAsia="en-US"/>
            </w:rPr>
            <w:t>Example Contingency Plan</w:t>
            <w:tab/>
          </w:r>
          <w:hyperlink w:anchor="__RefHeading___Toc149195951">
            <w:r>
              <w:rPr>
                <w:rStyle w:val="IndexLink"/>
                <w:b w:val="false"/>
                <w:lang w:val="en-US" w:eastAsia="en-US"/>
              </w:rPr>
              <w:t>I</w:t>
            </w:r>
          </w:hyperlink>
          <w:r>
            <w:rPr>
              <w:rStyle w:val="IndexLink"/>
              <w:b w:val="false"/>
              <w:lang w:val="en-US" w:eastAsia="en-US"/>
            </w:rPr>
            <w:fldChar w:fldCharType="end"/>
          </w:r>
        </w:p>
      </w:sdtContent>
    </w:sdt>
    <w:p>
      <w:pPr>
        <w:pStyle w:val="Normal"/>
        <w:rPr>
          <w:b/>
          <w:caps/>
          <w:sz w:val="20"/>
          <w:szCs w:val="20"/>
          <w:lang w:val="en-GB" w:eastAsia="en-US"/>
        </w:rPr>
      </w:pPr>
      <w:r>
        <w:rPr>
          <w:b/>
          <w:caps/>
          <w:sz w:val="20"/>
          <w:szCs w:val="20"/>
          <w:lang w:val="en-GB" w:eastAsia="en-US"/>
        </w:rPr>
      </w:r>
    </w:p>
    <w:p>
      <w:pPr>
        <w:pStyle w:val="Normal"/>
        <w:rPr>
          <w:caps/>
          <w:sz w:val="20"/>
          <w:szCs w:val="20"/>
          <w:lang w:val="en-GB"/>
        </w:rPr>
      </w:pPr>
      <w:r>
        <w:rPr>
          <w:caps/>
          <w:sz w:val="20"/>
          <w:szCs w:val="20"/>
          <w:lang w:val="en-GB"/>
        </w:rPr>
      </w:r>
    </w:p>
    <w:p>
      <w:pPr>
        <w:pStyle w:val="Normal"/>
        <w:rPr>
          <w:caps/>
          <w:sz w:val="20"/>
          <w:szCs w:val="20"/>
          <w:lang w:val="en-GB"/>
        </w:rPr>
      </w:pPr>
      <w:r>
        <w:rPr>
          <w:caps/>
          <w:sz w:val="20"/>
          <w:szCs w:val="20"/>
          <w:lang w:val="en-GB"/>
        </w:rPr>
      </w:r>
    </w:p>
    <w:p>
      <w:pPr>
        <w:sectPr>
          <w:headerReference w:type="default" r:id="rId4"/>
          <w:headerReference w:type="first" r:id="rId5"/>
          <w:footerReference w:type="default" r:id="rId6"/>
          <w:footerReference w:type="first" r:id="rId7"/>
          <w:type w:val="nextPage"/>
          <w:pgSz w:w="11906" w:h="16838"/>
          <w:pgMar w:left="1729" w:right="1729" w:gutter="0" w:header="720" w:top="776" w:footer="720" w:bottom="1094"/>
          <w:pgNumType w:start="1" w:fmt="lowerRoman"/>
          <w:formProt w:val="false"/>
          <w:textDirection w:val="lrTb"/>
          <w:docGrid w:type="default" w:linePitch="360" w:charSpace="0"/>
        </w:sectPr>
        <w:pStyle w:val="Normal"/>
        <w:rPr>
          <w:caps/>
          <w:sz w:val="20"/>
          <w:szCs w:val="20"/>
          <w:lang w:val="en-GB"/>
        </w:rPr>
      </w:pPr>
      <w:r>
        <w:rPr>
          <w:caps/>
          <w:sz w:val="20"/>
          <w:szCs w:val="20"/>
          <w:lang w:val="en-GB"/>
        </w:rPr>
      </w:r>
    </w:p>
    <w:p>
      <w:pPr>
        <w:pStyle w:val="Normal"/>
        <w:spacing w:before="0" w:after="0"/>
        <w:rPr>
          <w:lang w:val="en-GB"/>
        </w:rPr>
      </w:pPr>
      <w:r>
        <w:rPr>
          <w:lang w:val="en-GB"/>
        </w:rPr>
      </w:r>
    </w:p>
    <w:p>
      <w:pPr>
        <w:pStyle w:val="Heading1Numbered"/>
        <w:numPr>
          <w:ilvl w:val="0"/>
          <w:numId w:val="2"/>
        </w:numPr>
        <w:ind w:hanging="0" w:start="0"/>
        <w:rPr>
          <w:sz w:val="22"/>
          <w:szCs w:val="22"/>
          <w:lang w:val="en-GB"/>
        </w:rPr>
      </w:pPr>
      <w:bookmarkStart w:id="0" w:name="__RefHeading___Toc149195938"/>
      <w:bookmarkEnd w:id="0"/>
      <w:r>
        <w:rPr>
          <w:sz w:val="22"/>
          <w:szCs w:val="22"/>
          <w:lang w:val="en-GB"/>
        </w:rPr>
        <w:t>Introduction</w:t>
      </w:r>
    </w:p>
    <w:p>
      <w:pPr>
        <w:pStyle w:val="Normal"/>
        <w:spacing w:before="0" w:after="0"/>
        <w:jc w:val="both"/>
        <w:rPr/>
      </w:pPr>
      <w:r>
        <w:rPr>
          <w:szCs w:val="22"/>
          <w:lang w:val="en-GB"/>
        </w:rPr>
        <w:t>The procedures set out in this Exhibit detail the Business Continuity (“</w:t>
      </w:r>
      <w:r>
        <w:rPr>
          <w:b/>
          <w:i/>
          <w:szCs w:val="22"/>
          <w:lang w:val="en-GB"/>
        </w:rPr>
        <w:t>BC</w:t>
      </w:r>
      <w:r>
        <w:rPr>
          <w:szCs w:val="22"/>
          <w:lang w:val="en-GB"/>
        </w:rPr>
        <w:t>”) and Disaster Recovery (“</w:t>
      </w:r>
      <w:r>
        <w:rPr>
          <w:b/>
          <w:i/>
          <w:szCs w:val="22"/>
          <w:lang w:val="en-GB"/>
        </w:rPr>
        <w:t>DR</w:t>
      </w:r>
      <w:r>
        <w:rPr>
          <w:szCs w:val="22"/>
          <w:lang w:val="en-GB"/>
        </w:rPr>
        <w:t xml:space="preserve">”) requirements for the Services.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 shall do the following:</w:t>
      </w:r>
    </w:p>
    <w:p>
      <w:pPr>
        <w:pStyle w:val="Normal"/>
        <w:spacing w:before="0" w:after="0"/>
        <w:jc w:val="both"/>
        <w:rPr>
          <w:szCs w:val="22"/>
          <w:lang w:val="en-GB"/>
        </w:rPr>
      </w:pPr>
      <w:r>
        <w:rPr>
          <w:szCs w:val="22"/>
          <w:lang w:val="en-GB"/>
        </w:rPr>
      </w:r>
    </w:p>
    <w:p>
      <w:pPr>
        <w:pStyle w:val="Normal"/>
        <w:spacing w:before="0" w:after="0"/>
        <w:ind w:hanging="720" w:start="720" w:end="0"/>
        <w:jc w:val="both"/>
        <w:rPr/>
      </w:pPr>
      <w:r>
        <w:rPr>
          <w:szCs w:val="22"/>
          <w:lang w:val="en-GB"/>
        </w:rPr>
        <w:t>(i)</w:t>
        <w:tab/>
        <w:t>conduct an investigation and assessment of EuroBank’s current business continuity and disaster recovery programmes (the As Is BC Plan) and adapt and implement the As Is BC Plan for the provision of the Services in accordance with the Transition Phase requirements and the Transition Plan (all as part of the One Time Charges) and</w:t>
      </w:r>
      <w:r>
        <w:rPr>
          <w:b/>
          <w:i/>
          <w:szCs w:val="22"/>
          <w:lang w:val="en-GB"/>
        </w:rPr>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(ii)</w:t>
        <w:tab/>
        <w:t>at EuroBank’s request (and subject to agreement of any Charges) investigate and recommend any additional business continuity and disaster recovery programmes and implement such programmes in accordance with the practices and procedures detailed in Sections 2 and 3 below.</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(iii)</w:t>
        <w:tab/>
        <w:t>provide the “as is” BCP and DRP until (i) and (ii) are successfully completed.</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Joint Security Steering Committee will be used for reviewing and formulating policy on all BC and DR matters.</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1" w:name="__RefHeading___Toc149195939"/>
      <w:bookmarkEnd w:id="1"/>
      <w:r>
        <w:rPr>
          <w:bCs/>
          <w:sz w:val="22"/>
          <w:lang w:val="en-GB"/>
        </w:rPr>
        <w:t>Business Continuity Planning</w:t>
      </w:r>
    </w:p>
    <w:p>
      <w:pPr>
        <w:pStyle w:val="Heading2Numbered"/>
        <w:numPr>
          <w:ilvl w:val="1"/>
          <w:numId w:val="2"/>
        </w:numPr>
        <w:ind w:hanging="0" w:start="0"/>
        <w:rPr>
          <w:bCs/>
          <w:sz w:val="22"/>
          <w:lang w:val="en-GB"/>
        </w:rPr>
      </w:pPr>
      <w:bookmarkStart w:id="2" w:name="__RefHeading___Toc149195940"/>
      <w:bookmarkEnd w:id="2"/>
      <w:r>
        <w:rPr>
          <w:bCs/>
          <w:sz w:val="22"/>
          <w:lang w:val="en-GB"/>
        </w:rPr>
        <w:t>Approach</w:t>
      </w:r>
    </w:p>
    <w:p>
      <w:pPr>
        <w:pStyle w:val="Normal"/>
        <w:spacing w:before="0" w:after="0"/>
        <w:jc w:val="both"/>
        <w:rPr>
          <w:szCs w:val="22"/>
          <w:lang w:val="en-GB"/>
        </w:rPr>
      </w:pPr>
      <w:r>
        <w:rPr>
          <w:szCs w:val="22"/>
          <w:lang w:val="en-GB"/>
        </w:rPr>
        <w:t>At EuroBank’s request pursuant to Section 1 above, the PST Supplier shall, in conjunction with EuroBank, the 2IM and the Other PST Suppliers, co-operate to determine and document any business continuity and disaster recovery requirements in addition to the As Is BC Plan for the Services that they provide.  Any modified or enhanced business continuity and disaster recovery program agreed in accordance with this Exhibit shall be referred to as the BC Plan.  Outlined below in Figure 1, PST Supplier shall adopt a standardized approach to BC Planning that allows for rapid restoration of Services while safeguarding the reputation of EuroBank.  2IM provides the interface between PST Suppliers and EuroBank on BC Planning issues:</w:t>
      </w:r>
      <w:r>
        <w:rPr>
          <w:b/>
          <w:i/>
          <w:szCs w:val="22"/>
          <w:lang w:val="en-GB"/>
        </w:rPr>
      </w:r>
      <w:r>
        <w:rPr>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ab/>
      </w:r>
      <w:r>
        <w:rPr>
          <w:szCs w:val="22"/>
        </w:rPr>
        <w:drawing>
          <wp:inline distT="0" distB="0" distL="0" distR="0">
            <wp:extent cx="4801870" cy="1162685"/>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8"/>
                    <a:srcRect l="-6" t="-23" r="-6" b="-23"/>
                    <a:stretch>
                      <a:fillRect/>
                    </a:stretch>
                  </pic:blipFill>
                  <pic:spPr bwMode="auto">
                    <a:xfrm>
                      <a:off x="0" y="0"/>
                      <a:ext cx="4801870" cy="1162685"/>
                    </a:xfrm>
                    <a:prstGeom prst="rect">
                      <a:avLst/>
                    </a:prstGeom>
                    <a:noFill/>
                  </pic:spPr>
                </pic:pic>
              </a:graphicData>
            </a:graphic>
          </wp:inline>
        </w:drawing>
      </w:r>
    </w:p>
    <w:p>
      <w:pPr>
        <w:pStyle w:val="Normal"/>
        <w:spacing w:before="0" w:after="0"/>
        <w:ind w:start="2160" w:end="0"/>
        <w:jc w:val="both"/>
        <w:rPr>
          <w:szCs w:val="22"/>
          <w:lang w:val="en-GB"/>
        </w:rPr>
      </w:pPr>
      <w:r>
        <w:rPr>
          <w:b/>
          <w:szCs w:val="22"/>
          <w:lang w:val="en-GB"/>
        </w:rPr>
        <w:t>Figure 1 – Business Continuity Approach</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3" w:name="__RefHeading___Toc149195941"/>
      <w:bookmarkEnd w:id="3"/>
      <w:r>
        <w:rPr>
          <w:bCs/>
          <w:sz w:val="22"/>
          <w:lang w:val="en-GB"/>
        </w:rPr>
        <w:t>Business Continuity Management</w:t>
      </w:r>
    </w:p>
    <w:p>
      <w:pPr>
        <w:pStyle w:val="Normal"/>
        <w:spacing w:before="0" w:after="0"/>
        <w:jc w:val="both"/>
        <w:rPr/>
      </w:pPr>
      <w:r>
        <w:rPr>
          <w:szCs w:val="22"/>
          <w:lang w:val="en-GB"/>
        </w:rPr>
        <w:t>The first step in the BC approach is to initiate Business Continuity Management (“</w:t>
      </w:r>
      <w:r>
        <w:rPr>
          <w:b/>
          <w:i/>
          <w:szCs w:val="22"/>
          <w:lang w:val="en-GB"/>
        </w:rPr>
        <w:t>BCM</w:t>
      </w:r>
      <w:r>
        <w:rPr>
          <w:szCs w:val="22"/>
          <w:lang w:val="en-GB"/>
        </w:rPr>
        <w:t>”). The PST Supplier shall continue to view BC Management as central to a number of planning and recovery activities covering buildings, IT systems, people, etc.  Figure 2 below demonstrates this importance and emphasizes the BC Management role throughout the Business Continuity process.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ab/>
      </w:r>
      <w:r>
        <w:rPr>
          <w:szCs w:val="22"/>
        </w:rPr>
        <w:drawing>
          <wp:inline distT="0" distB="0" distL="0" distR="0">
            <wp:extent cx="4407535" cy="1800225"/>
            <wp:effectExtent l="0" t="0" r="0" b="0"/>
            <wp:docPr id="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title=""/>
                    <pic:cNvPicPr>
                      <a:picLocks noChangeAspect="1" noChangeArrowheads="1"/>
                    </pic:cNvPicPr>
                  </pic:nvPicPr>
                  <pic:blipFill>
                    <a:blip r:embed="rId9"/>
                    <a:srcRect l="-5" t="-11" r="-5" b="-11"/>
                    <a:stretch>
                      <a:fillRect/>
                    </a:stretch>
                  </pic:blipFill>
                  <pic:spPr bwMode="auto">
                    <a:xfrm>
                      <a:off x="0" y="0"/>
                      <a:ext cx="4407535" cy="1800225"/>
                    </a:xfrm>
                    <a:prstGeom prst="rect">
                      <a:avLst/>
                    </a:prstGeom>
                    <a:noFill/>
                  </pic:spPr>
                </pic:pic>
              </a:graphicData>
            </a:graphic>
          </wp:inline>
        </w:drawing>
      </w:r>
    </w:p>
    <w:p>
      <w:pPr>
        <w:pStyle w:val="Normal"/>
        <w:spacing w:before="0" w:after="0"/>
        <w:ind w:start="1440" w:end="0"/>
        <w:jc w:val="both"/>
        <w:rPr>
          <w:b/>
          <w:szCs w:val="22"/>
          <w:lang w:val="en-GB"/>
        </w:rPr>
      </w:pPr>
      <w:r>
        <w:rPr>
          <w:b/>
          <w:szCs w:val="22"/>
          <w:lang w:val="en-GB"/>
        </w:rPr>
        <w:t>Figure 2 – Business Continuity Management Framework</w:t>
      </w:r>
    </w:p>
    <w:p>
      <w:pPr>
        <w:pStyle w:val="Normal"/>
        <w:spacing w:before="0" w:after="0"/>
        <w:jc w:val="both"/>
        <w:rPr>
          <w:b/>
          <w:szCs w:val="22"/>
          <w:lang w:val="en-GB"/>
        </w:rPr>
      </w:pPr>
      <w:r>
        <w:rPr>
          <w:b/>
          <w:szCs w:val="22"/>
          <w:lang w:val="en-GB"/>
        </w:rPr>
      </w:r>
    </w:p>
    <w:p>
      <w:pPr>
        <w:pStyle w:val="Normal"/>
        <w:spacing w:before="0" w:after="0"/>
        <w:jc w:val="both"/>
        <w:rPr/>
      </w:pPr>
      <w:r>
        <w:rPr>
          <w:szCs w:val="22"/>
          <w:lang w:val="en-GB"/>
        </w:rPr>
        <w:t>The business accountability and ownership between EuroBank and the PST Suppliers for Business Continuity is documented and agreed. This includes: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w:t>
      </w:r>
      <w:r>
        <w:rPr>
          <w:szCs w:val="22"/>
          <w:lang w:val="en-GB"/>
        </w:rPr>
        <w:tab/>
        <w:t>Scope</w:t>
      </w:r>
    </w:p>
    <w:p>
      <w:pPr>
        <w:pStyle w:val="Normal"/>
        <w:spacing w:before="0" w:after="0"/>
        <w:jc w:val="both"/>
        <w:rPr>
          <w:szCs w:val="22"/>
          <w:lang w:val="en-GB"/>
        </w:rPr>
      </w:pPr>
      <w:r>
        <w:rPr>
          <w:szCs w:val="22"/>
          <w:lang w:val="en-GB"/>
        </w:rPr>
        <w:t>•</w:t>
      </w:r>
      <w:r>
        <w:rPr>
          <w:szCs w:val="22"/>
          <w:lang w:val="en-GB"/>
        </w:rPr>
        <w:tab/>
        <w:t>Board Commitment</w:t>
      </w:r>
    </w:p>
    <w:p>
      <w:pPr>
        <w:pStyle w:val="Normal"/>
        <w:spacing w:before="0" w:after="0"/>
        <w:jc w:val="both"/>
        <w:rPr>
          <w:szCs w:val="22"/>
          <w:lang w:val="en-GB"/>
        </w:rPr>
      </w:pPr>
      <w:r>
        <w:rPr>
          <w:szCs w:val="22"/>
          <w:lang w:val="en-GB"/>
        </w:rPr>
        <w:t>•</w:t>
      </w:r>
      <w:r>
        <w:rPr>
          <w:szCs w:val="22"/>
          <w:lang w:val="en-GB"/>
        </w:rPr>
        <w:tab/>
        <w:t>Impact Metrics</w:t>
      </w:r>
    </w:p>
    <w:p>
      <w:pPr>
        <w:pStyle w:val="Normal"/>
        <w:spacing w:before="0" w:after="0"/>
        <w:jc w:val="both"/>
        <w:rPr>
          <w:szCs w:val="22"/>
          <w:lang w:val="en-GB"/>
        </w:rPr>
      </w:pPr>
      <w:r>
        <w:rPr>
          <w:szCs w:val="22"/>
          <w:lang w:val="en-GB"/>
        </w:rPr>
        <w:t>•</w:t>
      </w:r>
      <w:r>
        <w:rPr>
          <w:szCs w:val="22"/>
          <w:lang w:val="en-GB"/>
        </w:rPr>
        <w:tab/>
        <w:t>BCM Drivers</w:t>
      </w:r>
    </w:p>
    <w:p>
      <w:pPr>
        <w:pStyle w:val="Normal"/>
        <w:spacing w:before="0" w:after="0"/>
        <w:jc w:val="both"/>
        <w:rPr>
          <w:szCs w:val="22"/>
          <w:lang w:val="en-GB"/>
        </w:rPr>
      </w:pPr>
      <w:r>
        <w:rPr>
          <w:szCs w:val="22"/>
          <w:lang w:val="en-GB"/>
        </w:rPr>
        <w:t>•</w:t>
      </w:r>
      <w:r>
        <w:rPr>
          <w:szCs w:val="22"/>
          <w:lang w:val="en-GB"/>
        </w:rPr>
        <w:tab/>
        <w:t>BCM Standard/Policy</w:t>
      </w:r>
    </w:p>
    <w:p>
      <w:pPr>
        <w:pStyle w:val="Normal"/>
        <w:spacing w:before="0" w:after="0"/>
        <w:jc w:val="both"/>
        <w:rPr>
          <w:szCs w:val="22"/>
          <w:lang w:val="en-GB"/>
        </w:rPr>
      </w:pPr>
      <w:r>
        <w:rPr>
          <w:szCs w:val="22"/>
          <w:lang w:val="en-GB"/>
        </w:rPr>
        <w:t>•</w:t>
      </w:r>
      <w:r>
        <w:rPr>
          <w:szCs w:val="22"/>
          <w:lang w:val="en-GB"/>
        </w:rPr>
        <w:tab/>
        <w:t xml:space="preserve">Constraints </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Each PST Supplier appoints a senior member of their EuroBank service management team to be a Business Continuity Manager.  This BC Manager is aware of all EuroBank policies and standards related to Business Continuity and specifically, they are responsible for the contents and quality of their own plan.  They also distribute copies of the Business Continuity and Disaster Recovery plans to the required individuals and a copy of the BC Plan is stored securely at the agreed central repository. The 2IM monitors the PST Supplier BC Managers’ compliance with EuroBank requirements as well as their disaster recovery preparedness. Furthermore, the 2IM consolidates the Neptune BC Plans into a global plan covering all of the Neptune services and integrates this with INGs global BC Plan.</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4" w:name="__RefHeading___Toc149195942"/>
      <w:bookmarkEnd w:id="4"/>
      <w:r>
        <w:rPr>
          <w:bCs/>
          <w:sz w:val="22"/>
          <w:lang w:val="en-GB"/>
        </w:rPr>
        <w:t>Understand the Business</w:t>
      </w:r>
    </w:p>
    <w:p>
      <w:pPr>
        <w:pStyle w:val="Normal"/>
        <w:spacing w:before="0" w:after="0"/>
        <w:jc w:val="both"/>
        <w:rPr/>
      </w:pPr>
      <w:r>
        <w:rPr>
          <w:szCs w:val="22"/>
          <w:lang w:val="en-GB"/>
        </w:rPr>
        <w:t xml:space="preserve">The objective of this stage is to understand the risks faced by critical assets (e.g. buildings, equipment, IT systems), the likelihood of occurrence and the potential impact on critical business processes and to determine how well the organisation can survive a disaster. This shall be documented by the EuroBank Senior Managers within the Executive or Management Centres and provided to the PST Suppliers for analysis.  When PST Suppliers control the critical assets, they complete the analysis and 2IM coordinates between both EuroBank and PST Suppliers so all EuroBank business requirements are understood and met.  </w:t>
      </w:r>
    </w:p>
    <w:p>
      <w:pPr>
        <w:pStyle w:val="Normal"/>
        <w:spacing w:before="0" w:after="0"/>
        <w:jc w:val="both"/>
        <w:rPr>
          <w:szCs w:val="22"/>
          <w:lang w:val="en-GB"/>
        </w:rPr>
      </w:pPr>
      <w:r>
        <w:rPr>
          <w:szCs w:val="22"/>
          <w:lang w:val="en-GB"/>
        </w:rPr>
      </w:r>
    </w:p>
    <w:p>
      <w:pPr>
        <w:pStyle w:val="Normal"/>
        <w:spacing w:before="0" w:after="0"/>
        <w:ind w:start="720" w:end="0"/>
        <w:jc w:val="both"/>
        <w:rPr/>
      </w:pPr>
      <w:r>
        <w:rPr>
          <w:szCs w:val="22"/>
          <w:u w:val="single"/>
          <w:lang w:val="en-GB"/>
        </w:rPr>
        <w:t>Business Impact Analysis (“</w:t>
      </w:r>
      <w:r>
        <w:rPr>
          <w:b/>
          <w:i/>
          <w:szCs w:val="22"/>
          <w:u w:val="single"/>
          <w:lang w:val="en-GB"/>
        </w:rPr>
        <w:t>BIA</w:t>
      </w:r>
      <w:r>
        <w:rPr>
          <w:szCs w:val="22"/>
          <w:u w:val="single"/>
          <w:lang w:val="en-GB"/>
        </w:rPr>
        <w:t>”)</w:t>
      </w:r>
    </w:p>
    <w:p>
      <w:pPr>
        <w:pStyle w:val="Normal"/>
        <w:spacing w:before="0" w:after="0"/>
        <w:ind w:start="720" w:end="0"/>
        <w:jc w:val="both"/>
        <w:rPr>
          <w:szCs w:val="22"/>
          <w:u w:val="single"/>
          <w:lang w:val="en-GB"/>
        </w:rPr>
      </w:pPr>
      <w:r>
        <w:rPr>
          <w:szCs w:val="22"/>
          <w:u w:val="single"/>
          <w:lang w:val="en-GB"/>
        </w:rPr>
      </w:r>
    </w:p>
    <w:p>
      <w:pPr>
        <w:pStyle w:val="Normal"/>
        <w:spacing w:before="0" w:after="0"/>
        <w:ind w:start="720" w:end="0"/>
        <w:jc w:val="both"/>
        <w:rPr>
          <w:szCs w:val="22"/>
          <w:lang w:val="en-GB"/>
        </w:rPr>
      </w:pPr>
      <w:r>
        <w:rPr>
          <w:szCs w:val="22"/>
          <w:lang w:val="en-GB"/>
        </w:rPr>
        <w:t>Identify critical business processes and impact of non-availability</w:t>
      </w:r>
    </w:p>
    <w:p>
      <w:pPr>
        <w:pStyle w:val="Normal"/>
        <w:spacing w:before="0" w:after="0"/>
        <w:ind w:start="720" w:end="0"/>
        <w:jc w:val="both"/>
        <w:rPr>
          <w:szCs w:val="22"/>
          <w:lang w:val="en-GB"/>
        </w:rPr>
      </w:pPr>
      <w:r>
        <w:rPr>
          <w:szCs w:val="22"/>
          <w:lang w:val="en-GB"/>
        </w:rPr>
      </w:r>
    </w:p>
    <w:p>
      <w:pPr>
        <w:pStyle w:val="Normal"/>
        <w:spacing w:before="0" w:after="0"/>
        <w:ind w:start="720" w:end="0"/>
        <w:jc w:val="both"/>
        <w:rPr/>
      </w:pPr>
      <w:r>
        <w:rPr>
          <w:szCs w:val="22"/>
          <w:u w:val="single"/>
          <w:lang w:val="en-GB"/>
        </w:rPr>
        <w:t>Risk Assessment (“</w:t>
      </w:r>
      <w:r>
        <w:rPr>
          <w:b/>
          <w:i/>
          <w:szCs w:val="22"/>
          <w:u w:val="single"/>
          <w:lang w:val="en-GB"/>
        </w:rPr>
        <w:t>RA</w:t>
      </w:r>
      <w:r>
        <w:rPr>
          <w:szCs w:val="22"/>
          <w:u w:val="single"/>
          <w:lang w:val="en-GB"/>
        </w:rPr>
        <w:t>”)</w:t>
      </w:r>
    </w:p>
    <w:p>
      <w:pPr>
        <w:pStyle w:val="Normal"/>
        <w:spacing w:before="0" w:after="0"/>
        <w:ind w:start="720" w:end="0"/>
        <w:jc w:val="both"/>
        <w:rPr>
          <w:szCs w:val="22"/>
          <w:u w:val="single"/>
          <w:lang w:val="en-GB"/>
        </w:rPr>
      </w:pPr>
      <w:r>
        <w:rPr>
          <w:szCs w:val="22"/>
          <w:u w:val="single"/>
          <w:lang w:val="en-GB"/>
        </w:rPr>
      </w:r>
    </w:p>
    <w:p>
      <w:pPr>
        <w:pStyle w:val="Normal"/>
        <w:spacing w:before="0" w:after="0"/>
        <w:ind w:start="720" w:end="0"/>
        <w:jc w:val="both"/>
        <w:rPr>
          <w:szCs w:val="22"/>
          <w:lang w:val="en-GB"/>
        </w:rPr>
      </w:pPr>
      <w:r>
        <w:rPr>
          <w:szCs w:val="22"/>
          <w:lang w:val="en-GB"/>
        </w:rPr>
        <w:t>Identify likely threats to the business unit, environment and assets that support these processes.</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The existing business impact and risk assessments is reviewed to understand which critical business processes are dependent on the business processes supported by the PST Suppliers and gaps identified, documented and reviewed with EuroBank through the 2IM. Any new Services or changes to existing Services are processed in the same way.</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5" w:name="__RefHeading___Toc149195943"/>
      <w:r>
        <w:rPr>
          <w:bCs/>
          <w:sz w:val="22"/>
          <w:lang w:val="en-GB"/>
        </w:rPr>
        <w:t>Develop the Strategy</w:t>
      </w:r>
      <w:bookmarkEnd w:id="5"/>
      <w:r>
        <w:rPr>
          <w:bCs/>
          <w:sz w:val="22"/>
          <w:lang w:val="en-GB"/>
        </w:rPr>
        <w:t xml:space="preserve"> </w:t>
      </w:r>
    </w:p>
    <w:p>
      <w:pPr>
        <w:pStyle w:val="Normal"/>
        <w:spacing w:before="0" w:after="0"/>
        <w:jc w:val="both"/>
        <w:rPr/>
      </w:pPr>
      <w:r>
        <w:rPr>
          <w:szCs w:val="22"/>
          <w:lang w:val="en-GB"/>
        </w:rPr>
        <w:t>The objective of the “Develop the Strategy” stage is to identify strategy options for addressing the risks identified in the BIA/RA, and select the options most appropriate to the business.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Based on the business processes supported by the PST Suppliers, EuroBank classifies processes in one of three categories and the corresponding business strategy is implemented:</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r>
      <w:r>
        <w:rPr>
          <w:b/>
          <w:szCs w:val="22"/>
          <w:lang w:val="en-GB"/>
        </w:rPr>
        <w:t>Time critical</w:t>
      </w:r>
      <w:r>
        <w:rPr>
          <w:szCs w:val="22"/>
          <w:lang w:val="en-GB"/>
        </w:rPr>
        <w:t xml:space="preserve">: </w:t>
      </w:r>
      <w:r>
        <w:rPr>
          <w:i/>
          <w:szCs w:val="22"/>
          <w:lang w:val="en-GB"/>
        </w:rPr>
        <w:t>processes to be resumed within 4 hours</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pPr>
      <w:r>
        <w:rPr>
          <w:szCs w:val="22"/>
          <w:lang w:val="en-GB"/>
        </w:rPr>
        <w:t>o</w:t>
        <w:tab/>
        <w:t>Business as necessary: in order to resume all time-critical activities at "normal" level within four hours, a Disaster Recovery site solution or an arrangement with another EuroBank business unit is necessary.</w:t>
      </w:r>
      <w:r>
        <w:rPr>
          <w:szCs w:val="22"/>
          <w:u w:val="single"/>
          <w:lang w:val="en-GB"/>
        </w:rPr>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r>
      <w:r>
        <w:rPr>
          <w:b/>
          <w:szCs w:val="22"/>
          <w:lang w:val="en-GB"/>
        </w:rPr>
        <w:t>Critical</w:t>
      </w:r>
      <w:r>
        <w:rPr>
          <w:szCs w:val="22"/>
          <w:lang w:val="en-GB"/>
        </w:rPr>
        <w:t xml:space="preserve">: </w:t>
      </w:r>
      <w:r>
        <w:rPr>
          <w:i/>
          <w:szCs w:val="22"/>
          <w:lang w:val="en-GB"/>
        </w:rPr>
        <w:t>processes to be resumed within 2 days</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pPr>
      <w:r>
        <w:rPr>
          <w:szCs w:val="22"/>
          <w:lang w:val="en-GB"/>
        </w:rPr>
        <w:t>o</w:t>
        <w:tab/>
      </w:r>
      <w:r>
        <w:rPr>
          <w:szCs w:val="22"/>
          <w:u w:val="single"/>
          <w:lang w:val="en-GB"/>
        </w:rPr>
        <w:t>Business to survive</w:t>
      </w:r>
      <w:r>
        <w:rPr>
          <w:szCs w:val="22"/>
          <w:lang w:val="en-GB"/>
        </w:rPr>
        <w:t>: use of appropriate means to resume all critical activities within two days after the business interruption.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r>
      <w:r>
        <w:rPr>
          <w:b/>
          <w:szCs w:val="22"/>
          <w:lang w:val="en-GB"/>
        </w:rPr>
        <w:t>Non-critical</w:t>
      </w:r>
      <w:r>
        <w:rPr>
          <w:szCs w:val="22"/>
          <w:lang w:val="en-GB"/>
        </w:rPr>
        <w:t xml:space="preserve">: </w:t>
      </w:r>
      <w:r>
        <w:rPr>
          <w:i/>
          <w:szCs w:val="22"/>
          <w:lang w:val="en-GB"/>
        </w:rPr>
        <w:t>processes that can be suspended for more than 2 days</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pPr>
      <w:r>
        <w:rPr>
          <w:szCs w:val="22"/>
          <w:lang w:val="en-GB"/>
        </w:rPr>
        <w:t>o</w:t>
        <w:tab/>
        <w:t>Orderly exit: temporary cessation of business or relocation of activities to another EuroBank business unit. This can be considered for low volume and/or non-critical activities.</w:t>
      </w:r>
      <w:r>
        <w:rPr>
          <w:szCs w:val="22"/>
          <w:u w:val="single"/>
          <w:lang w:val="en-GB"/>
        </w:rPr>
      </w:r>
      <w:r>
        <w:rPr>
          <w:szCs w:val="22"/>
          <w:lang w:val="en-GB"/>
        </w:rPr>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For each of the critical (Time Critical and Critical) processes above the following activities need to be undertaken:</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tab/>
        <w:t>Develop options for protecting critical processes and assets ensuring that these are compliant with the EuroBank information security Policies and that a cost effective solution is in place based on the output of the Business Impact and Risk Assessments.</w:t>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 xml:space="preserve">Undertake cost-effective combination of risk reduction projects, recovery arrangements and recovery plans for business processes and supporting resources.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t xml:space="preserve">Each PST Supplier completes BC Plans for each of its Services along with the associated Disaster Recovery Plans.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 xml:space="preserve">Contracts associated with BC Plans requiring contractual arrangements with backup site vendors, contractors, consultants, hardware and software suppliers, utility suppliers or any other parties are in place when the plan is published.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In general, a BC Plan should contain the following base information, although the contents can be modified as appropriate to meet the EuroBank standards:</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A description of the key business process and the baseline assumptions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The prioritised list of risks to the key business process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Resilience; any in built redundancy in the process or elements of the process which allows repair or restoration to be completed through normal business as usual repair processes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A list of elements which the key business process is dependent upon, including:</w:t>
      </w:r>
    </w:p>
    <w:p>
      <w:pPr>
        <w:pStyle w:val="Normal"/>
        <w:spacing w:before="0" w:after="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o</w:t>
        <w:tab/>
        <w:t>Critical information/data, and methods of backup and/or archiving</w:t>
      </w:r>
    </w:p>
    <w:p>
      <w:pPr>
        <w:pStyle w:val="Normal"/>
        <w:spacing w:before="0" w:after="0"/>
        <w:ind w:hanging="720" w:start="1440" w:end="0"/>
        <w:jc w:val="both"/>
        <w:rPr>
          <w:szCs w:val="22"/>
          <w:lang w:val="en-GB"/>
        </w:rPr>
      </w:pPr>
      <w:r>
        <w:rPr>
          <w:szCs w:val="22"/>
          <w:lang w:val="en-GB"/>
        </w:rPr>
        <w:t>o</w:t>
        <w:tab/>
        <w:t>Systems and details of fallback or paper back up options</w:t>
      </w:r>
    </w:p>
    <w:p>
      <w:pPr>
        <w:pStyle w:val="Normal"/>
        <w:spacing w:before="0" w:after="0"/>
        <w:ind w:hanging="720" w:start="1440" w:end="0"/>
        <w:jc w:val="both"/>
        <w:rPr>
          <w:szCs w:val="22"/>
          <w:lang w:val="en-GB"/>
        </w:rPr>
      </w:pPr>
      <w:r>
        <w:rPr>
          <w:szCs w:val="22"/>
          <w:lang w:val="en-GB"/>
        </w:rPr>
        <w:t>o</w:t>
        <w:tab/>
        <w:t>Network(s)</w:t>
      </w:r>
    </w:p>
    <w:p>
      <w:pPr>
        <w:pStyle w:val="Normal"/>
        <w:spacing w:before="0" w:after="0"/>
        <w:ind w:hanging="720" w:start="1440" w:end="0"/>
        <w:jc w:val="both"/>
        <w:rPr>
          <w:szCs w:val="22"/>
          <w:lang w:val="en-GB"/>
        </w:rPr>
      </w:pPr>
      <w:r>
        <w:rPr>
          <w:szCs w:val="22"/>
          <w:lang w:val="en-GB"/>
        </w:rPr>
        <w:t>o</w:t>
        <w:tab/>
        <w:t xml:space="preserve">Geographical distribution </w:t>
      </w:r>
    </w:p>
    <w:p>
      <w:pPr>
        <w:pStyle w:val="Normal"/>
        <w:spacing w:before="0" w:after="0"/>
        <w:ind w:hanging="720" w:start="1440" w:end="0"/>
        <w:jc w:val="both"/>
        <w:rPr>
          <w:szCs w:val="22"/>
          <w:lang w:val="en-GB"/>
        </w:rPr>
      </w:pPr>
      <w:r>
        <w:rPr>
          <w:szCs w:val="22"/>
          <w:lang w:val="en-GB"/>
        </w:rPr>
        <w:t>o</w:t>
        <w:tab/>
        <w:t>Services/products</w:t>
      </w:r>
    </w:p>
    <w:p>
      <w:pPr>
        <w:pStyle w:val="Normal"/>
        <w:spacing w:before="0" w:after="0"/>
        <w:ind w:hanging="720" w:start="1440" w:end="0"/>
        <w:jc w:val="both"/>
        <w:rPr>
          <w:szCs w:val="22"/>
          <w:lang w:val="en-GB"/>
        </w:rPr>
      </w:pPr>
      <w:r>
        <w:rPr>
          <w:szCs w:val="22"/>
          <w:lang w:val="en-GB"/>
        </w:rPr>
        <w:t>o</w:t>
        <w:tab/>
        <w:t>Customers</w:t>
      </w:r>
    </w:p>
    <w:p>
      <w:pPr>
        <w:pStyle w:val="Normal"/>
        <w:spacing w:before="0" w:after="0"/>
        <w:ind w:hanging="720" w:start="1440" w:end="0"/>
        <w:jc w:val="both"/>
        <w:rPr>
          <w:szCs w:val="22"/>
          <w:lang w:val="en-GB"/>
        </w:rPr>
      </w:pPr>
      <w:r>
        <w:rPr>
          <w:szCs w:val="22"/>
          <w:lang w:val="en-GB"/>
        </w:rPr>
        <w:t>o</w:t>
        <w:tab/>
        <w:t>Suppliers, contracts</w:t>
      </w:r>
    </w:p>
    <w:p>
      <w:pPr>
        <w:pStyle w:val="Normal"/>
        <w:spacing w:before="0" w:after="0"/>
        <w:ind w:hanging="720" w:start="1440" w:end="0"/>
        <w:jc w:val="both"/>
        <w:rPr>
          <w:szCs w:val="22"/>
          <w:lang w:val="en-GB"/>
        </w:rPr>
      </w:pPr>
      <w:r>
        <w:rPr>
          <w:szCs w:val="22"/>
          <w:lang w:val="en-GB"/>
        </w:rPr>
        <w:t>o</w:t>
        <w:tab/>
        <w:t>Accommodation</w:t>
      </w:r>
    </w:p>
    <w:p>
      <w:pPr>
        <w:pStyle w:val="Normal"/>
        <w:spacing w:before="0" w:after="0"/>
        <w:ind w:hanging="720" w:start="1440" w:end="0"/>
        <w:jc w:val="both"/>
        <w:rPr>
          <w:szCs w:val="22"/>
          <w:lang w:val="en-GB"/>
        </w:rPr>
      </w:pPr>
      <w:r>
        <w:rPr>
          <w:szCs w:val="22"/>
          <w:lang w:val="en-GB"/>
        </w:rPr>
        <w:t>o</w:t>
        <w:tab/>
        <w:t>Transport</w:t>
      </w:r>
    </w:p>
    <w:p>
      <w:pPr>
        <w:pStyle w:val="Normal"/>
        <w:spacing w:before="0" w:after="0"/>
        <w:ind w:hanging="720" w:start="1440" w:end="0"/>
        <w:jc w:val="both"/>
        <w:rPr>
          <w:szCs w:val="22"/>
          <w:lang w:val="en-GB"/>
        </w:rPr>
      </w:pPr>
      <w:r>
        <w:rPr>
          <w:szCs w:val="22"/>
          <w:lang w:val="en-GB"/>
        </w:rPr>
        <w:t>o</w:t>
        <w:tab/>
        <w:t>Power</w:t>
      </w:r>
    </w:p>
    <w:p>
      <w:pPr>
        <w:pStyle w:val="Normal"/>
        <w:spacing w:before="0" w:after="0"/>
        <w:ind w:hanging="720" w:start="1440" w:end="0"/>
        <w:jc w:val="both"/>
        <w:rPr>
          <w:szCs w:val="22"/>
          <w:lang w:val="en-GB"/>
        </w:rPr>
      </w:pPr>
      <w:r>
        <w:rPr>
          <w:szCs w:val="22"/>
          <w:lang w:val="en-GB"/>
        </w:rPr>
        <w:t>o</w:t>
        <w:tab/>
        <w:t>Security</w:t>
      </w:r>
    </w:p>
    <w:p>
      <w:pPr>
        <w:pStyle w:val="Normal"/>
        <w:spacing w:before="0" w:after="0"/>
        <w:ind w:hanging="720" w:start="1440" w:end="0"/>
        <w:jc w:val="both"/>
        <w:rPr>
          <w:szCs w:val="22"/>
          <w:lang w:val="en-GB"/>
        </w:rPr>
      </w:pPr>
      <w:r>
        <w:rPr>
          <w:szCs w:val="22"/>
          <w:lang w:val="en-GB"/>
        </w:rPr>
        <w:t>o</w:t>
        <w:tab/>
        <w:t>People, possible shortages due to severe weather, transport difficulties, fuel shortage, Pandemic flu, dysfunctional behaviour; contractors</w:t>
      </w:r>
    </w:p>
    <w:p>
      <w:pPr>
        <w:pStyle w:val="Normal"/>
        <w:spacing w:before="0" w:after="0"/>
        <w:ind w:hanging="720" w:start="1440" w:end="0"/>
        <w:jc w:val="both"/>
        <w:rPr>
          <w:szCs w:val="22"/>
          <w:lang w:val="en-GB"/>
        </w:rPr>
      </w:pPr>
      <w:r>
        <w:rPr>
          <w:szCs w:val="22"/>
          <w:lang w:val="en-GB"/>
        </w:rPr>
        <w:t>o</w:t>
        <w:tab/>
        <w:t>Volumes/demand</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For each individual/combination of failure scenarios, a description of proposed contingency/fallback arrangements or restoration options for all the process elements above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For electronic systems with manual backup, explanation of where any special equipment /paper work/ forms, etc are located and quantity available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Gaps; information on what won't be done as a result of fallback process, i.e. gap between this and the normal process - this might be expressed in terms of the volume of traffic which could be processed versus the normal volumes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Inclusion of, or reference to, action task lists, procedures, etc.</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Escalation routes/contact points/alerting arrangements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Procedure for invoking plan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Communications plan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Test plans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Costs involved in invoking the plan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Approval at appropriate level within business area</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example contingency plan attached to this Exhibit will be used as the basis of the BC Plan, unless the parties agree otherwise.</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6" w:name="__RefHeading___Toc149195944"/>
      <w:bookmarkEnd w:id="6"/>
      <w:r>
        <w:rPr>
          <w:bCs/>
          <w:sz w:val="22"/>
          <w:lang w:val="en-GB"/>
        </w:rPr>
        <w:t>Implement the Strategy</w:t>
      </w:r>
    </w:p>
    <w:p>
      <w:pPr>
        <w:pStyle w:val="Normal"/>
        <w:spacing w:before="0" w:after="0"/>
        <w:jc w:val="both"/>
        <w:rPr>
          <w:szCs w:val="22"/>
          <w:lang w:val="en-GB"/>
        </w:rPr>
      </w:pPr>
      <w:r>
        <w:rPr>
          <w:szCs w:val="22"/>
          <w:lang w:val="en-GB"/>
        </w:rPr>
        <w:t>It is essential that the chosen approaches are triggered effectively and are regularly tested:</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Based on the gap analysis, risk reduction projects and recovery arrangements are defined and implemented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t xml:space="preserve">Response procedures are developed based on the relevant Policies.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tab/>
        <w:t xml:space="preserve">The recovery procedures for assets are tested and include processes notifying EuroBank Corporate Audit Services if any of the security controls have to be suppressed, not executed or lowered via the insertion of an exceptional procedure into the appropriate chapter of the BC Plan. </w:t>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The BC Plan also describes the external obligations and contracts with the PST Suppliers providing details of the how these work within the end-to-end recovery process and the associated testing requirements.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Education around the plans, policies and responsibilities is undertaken, with one copy of the plan stored where all those who may need it are aware of the location and a second copy stored in an alternative safe location outside of the normal premises.</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7" w:name="__RefHeading___Toc149195945"/>
      <w:bookmarkEnd w:id="7"/>
      <w:r>
        <w:rPr>
          <w:bCs/>
          <w:sz w:val="22"/>
          <w:lang w:val="en-GB"/>
        </w:rPr>
        <w:t>Embed BCM</w:t>
      </w:r>
    </w:p>
    <w:p>
      <w:pPr>
        <w:pStyle w:val="Normal"/>
        <w:spacing w:before="0" w:after="0"/>
        <w:jc w:val="both"/>
        <w:rPr/>
      </w:pPr>
      <w:r>
        <w:rPr>
          <w:szCs w:val="22"/>
          <w:lang w:val="en-GB"/>
        </w:rPr>
        <w:t>Once the plans have been approved and implemented it is important that they remain up-to-date and relevant to EuroBank’s business and to achieve this:</w:t>
      </w:r>
    </w:p>
    <w:p>
      <w:pPr>
        <w:pStyle w:val="Normal"/>
        <w:spacing w:before="0" w:after="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t>Business Continuity Plans are published and distributed so that they are readily available in the event of an incident requiring execution.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 xml:space="preserve">A schedule for the regular testing, maintenance, audit and assurance of Business Continuity Plans is defined.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t>Change Management procedures are put in place to update the BC and DR plans whenever there is a significant change to a system or a new system is introduced. The plans also need to be updated if the criticality of a Service changes.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Ongoing training is provided to keep all responsible parties aware of the plans and any changes to the plans or processes.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tab/>
        <w:t>Each BC Plan has details of the reporting/alerting process and the EuroBank personnel from the business unit, EC/MC or CMO Group.</w:t>
      </w:r>
      <w:r>
        <w:rPr>
          <w:szCs w:val="22"/>
          <w:lang w:val="en-GB"/>
        </w:rPr>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8" w:name="__RefHeading___Toc149195946"/>
      <w:bookmarkEnd w:id="8"/>
      <w:r>
        <w:rPr>
          <w:bCs/>
          <w:sz w:val="22"/>
          <w:lang w:val="en-GB"/>
        </w:rPr>
        <w:t>Ongoing Assurance and Maintenance</w:t>
      </w:r>
    </w:p>
    <w:p>
      <w:pPr>
        <w:pStyle w:val="Normal"/>
        <w:spacing w:before="0" w:after="0"/>
        <w:jc w:val="both"/>
        <w:rPr/>
      </w:pPr>
      <w:r>
        <w:rPr>
          <w:szCs w:val="22"/>
          <w:lang w:val="en-GB"/>
        </w:rPr>
        <w:t>Ongoing execution of embedded BCM is accomplished by:</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Clear responsibilities are established to test and update the BC Plans at appropriate intervals, which are at least on an annual basis and following any major change or new system implementation so that continuous improvement of contents can be achieved. If no Disaster Recovery Site has been implemented then the annual exercise is a simple desktop walkthrough.  In the event of no significant change to the plan, it is reviewed quarterly.</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Twice a year reviewing and if necessary updating the contact information in the plans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 xml:space="preserve">Reviewing the IT Disaster Recover Plan and the Disaster Recovery Site solutions quarterly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tab/>
        <w:t>The results of the each test are documented and reviewed to identify any changes required to the plans or associated procedures, or where improvements may be made to the effectiveness of the processes.  2IM coordinates between EuroBank and PST Suppliers on all tests and report test results.</w:t>
      </w:r>
      <w:r>
        <w:rPr>
          <w:szCs w:val="22"/>
          <w:lang w:val="en-GB"/>
        </w:rPr>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r>
        <w:rPr>
          <w:bCs/>
          <w:sz w:val="22"/>
          <w:lang w:val="en-GB"/>
        </w:rPr>
        <w:t>Execution &amp; Administration</w:t>
      </w:r>
    </w:p>
    <w:p>
      <w:pPr>
        <w:pStyle w:val="Heading2Numbered"/>
        <w:numPr>
          <w:ilvl w:val="1"/>
          <w:numId w:val="2"/>
        </w:numPr>
        <w:ind w:hanging="0" w:start="0"/>
        <w:rPr>
          <w:sz w:val="22"/>
          <w:szCs w:val="22"/>
          <w:lang w:val="en-GB"/>
        </w:rPr>
      </w:pPr>
      <w:bookmarkStart w:id="9" w:name="__RefHeading___Toc149195948"/>
      <w:bookmarkEnd w:id="9"/>
      <w:r>
        <w:rPr>
          <w:sz w:val="22"/>
          <w:szCs w:val="22"/>
          <w:lang w:val="en-GB"/>
        </w:rPr>
        <w:t>Execution of Business Continuity Plans</w:t>
      </w:r>
    </w:p>
    <w:p>
      <w:pPr>
        <w:pStyle w:val="Normal"/>
        <w:spacing w:before="0" w:after="0"/>
        <w:jc w:val="both"/>
        <w:rPr>
          <w:szCs w:val="22"/>
          <w:lang w:val="en-GB"/>
        </w:rPr>
      </w:pPr>
      <w:r>
        <w:rPr>
          <w:szCs w:val="22"/>
          <w:lang w:val="en-GB"/>
        </w:rPr>
        <w:t>The PST Supplier’s procedures shall lay out clear lines of communication for incident reporting, and clear responsibilities involving any circumstances for the invocation of BC Plans.  Such procedures have an associated procedure for alerting the appropriate EuroBank personnel. All invocation and alerting procedures are monitored by the 2IM and in compliance with existing EuroBank policies.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In the event of a BC or DR incident that affects EuroBank beyond the scope of the SWS Function, and to the extent that it is not already documented in an existing plan, the management teams of EuroBank and the 2IM shall collaborate together in good faith and in a timely manner to agree the responsibilities of each party.</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10" w:name="__RefHeading___Toc149195949"/>
      <w:bookmarkEnd w:id="10"/>
      <w:r>
        <w:rPr>
          <w:bCs/>
          <w:sz w:val="22"/>
          <w:lang w:val="en-GB"/>
        </w:rPr>
        <w:t>Audits of Business Continuity Plans</w:t>
      </w:r>
    </w:p>
    <w:p>
      <w:pPr>
        <w:pStyle w:val="Normal"/>
        <w:spacing w:before="0" w:after="0"/>
        <w:jc w:val="both"/>
        <w:rPr>
          <w:szCs w:val="22"/>
          <w:lang w:val="en-GB"/>
        </w:rPr>
      </w:pPr>
      <w:r>
        <w:rPr>
          <w:szCs w:val="22"/>
          <w:lang w:val="en-GB"/>
        </w:rPr>
        <w:t>The 2IM monitors BC Plan compliance with the relevant Policies and verifies the accuracy and completeness of the BC Plan. Results of exercising BC Plans are also reviewed for completeness. EuroBank internal audit is invited to observe tests of the plans where appropriate.</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11" w:name="__RefHeading___Toc149195950"/>
      <w:bookmarkEnd w:id="11"/>
      <w:r>
        <w:rPr>
          <w:bCs/>
          <w:sz w:val="22"/>
          <w:lang w:val="en-GB"/>
        </w:rPr>
        <w:t>Availability of Business Continuity Plans</w:t>
      </w:r>
    </w:p>
    <w:p>
      <w:pPr>
        <w:pStyle w:val="Normal"/>
        <w:spacing w:before="0" w:after="0"/>
        <w:jc w:val="both"/>
        <w:rPr>
          <w:szCs w:val="22"/>
          <w:lang w:val="en-GB"/>
        </w:rPr>
      </w:pPr>
      <w:r>
        <w:rPr>
          <w:szCs w:val="22"/>
          <w:lang w:val="en-GB"/>
        </w:rPr>
        <w:t>PST Supplier BC Plans are published and distributed in a way that makes them readily available in the event of a major incident.  At least one (printed) copy of the complete BC Plan is available in off-site storage.</w:t>
      </w:r>
    </w:p>
    <w:p>
      <w:pPr>
        <w:pStyle w:val="Normal"/>
        <w:spacing w:before="0" w:after="0"/>
        <w:jc w:val="both"/>
        <w:rPr>
          <w:szCs w:val="22"/>
          <w:lang w:val="en-GB"/>
        </w:rPr>
      </w:pPr>
      <w:r>
        <w:rPr>
          <w:szCs w:val="22"/>
          <w:lang w:val="en-GB"/>
        </w:rPr>
      </w:r>
    </w:p>
    <w:p>
      <w:pPr>
        <w:sectPr>
          <w:headerReference w:type="default" r:id="rId10"/>
          <w:headerReference w:type="first" r:id="rId11"/>
          <w:footerReference w:type="default" r:id="rId12"/>
          <w:footerReference w:type="first" r:id="rId13"/>
          <w:type w:val="nextPage"/>
          <w:pgSz w:w="11906" w:h="16838"/>
          <w:pgMar w:left="1729" w:right="1729" w:gutter="0" w:header="720" w:top="776" w:footer="720" w:bottom="1094"/>
          <w:pgNumType w:start="1" w:fmt="decimal"/>
          <w:formProt w:val="false"/>
          <w:textDirection w:val="lrTb"/>
          <w:docGrid w:type="default" w:linePitch="360" w:charSpace="0"/>
        </w:sectPr>
        <w:pStyle w:val="Normal"/>
        <w:spacing w:before="0" w:after="0"/>
        <w:jc w:val="both"/>
        <w:rPr>
          <w:szCs w:val="22"/>
          <w:lang w:val="en-GB"/>
        </w:rPr>
      </w:pPr>
      <w:r>
        <w:rPr>
          <w:szCs w:val="22"/>
          <w:lang w:val="en-GB"/>
        </w:rPr>
      </w:r>
    </w:p>
    <w:p>
      <w:pPr>
        <w:pStyle w:val="Normal"/>
        <w:spacing w:before="0" w:after="0"/>
        <w:rPr>
          <w:szCs w:val="22"/>
          <w:lang w:val="en-GB"/>
        </w:rPr>
      </w:pPr>
      <w:r>
        <w:rPr>
          <w:szCs w:val="22"/>
          <w:lang w:val="en-GB"/>
        </w:rPr>
      </w:r>
    </w:p>
    <w:p>
      <w:pPr>
        <w:pStyle w:val="Normal"/>
        <w:spacing w:before="0" w:after="0"/>
        <w:rPr>
          <w:lang w:val="en-GB"/>
        </w:rPr>
      </w:pPr>
      <w:r>
        <w:rPr>
          <w:lang w:val="en-GB"/>
        </w:rPr>
      </w:r>
    </w:p>
    <w:p>
      <w:pPr>
        <w:pStyle w:val="Normal"/>
        <w:ind w:start="397" w:end="0"/>
        <w:jc w:val="center"/>
        <w:rPr>
          <w:b/>
          <w:sz w:val="32"/>
          <w:szCs w:val="32"/>
          <w:lang w:val="en-GB" w:eastAsia="nl-NL"/>
        </w:rPr>
      </w:pPr>
      <w:r>
        <w:rPr>
          <w:b/>
          <w:sz w:val="32"/>
          <w:szCs w:val="32"/>
          <w:lang w:val="en-GB" w:eastAsia="nl-NL"/>
        </w:rPr>
      </w:r>
    </w:p>
    <w:p>
      <w:pPr>
        <w:pStyle w:val="Normal"/>
        <w:ind w:start="397" w:end="0"/>
        <w:jc w:val="center"/>
        <w:rPr>
          <w:b/>
          <w:sz w:val="32"/>
          <w:szCs w:val="32"/>
          <w:lang w:eastAsia="nl-NL"/>
        </w:rPr>
      </w:pPr>
      <w:r>
        <w:rPr>
          <w:b/>
          <w:sz w:val="32"/>
          <w:szCs w:val="32"/>
          <w:lang w:eastAsia="nl-NL"/>
        </w:rPr>
      </w:r>
    </w:p>
    <w:p>
      <w:pPr>
        <w:pStyle w:val="Normal"/>
        <w:ind w:start="397" w:end="0"/>
        <w:jc w:val="center"/>
        <w:rPr>
          <w:b/>
          <w:sz w:val="32"/>
          <w:szCs w:val="32"/>
          <w:lang w:eastAsia="nl-NL"/>
        </w:rPr>
      </w:pPr>
      <w:r>
        <w:rPr>
          <w:b/>
          <w:sz w:val="32"/>
          <w:szCs w:val="32"/>
          <w:lang w:eastAsia="nl-NL"/>
        </w:rPr>
      </w:r>
    </w:p>
    <w:p>
      <w:pPr>
        <w:pStyle w:val="Normal"/>
        <w:ind w:start="397" w:end="0"/>
        <w:jc w:val="center"/>
        <w:rPr>
          <w:b/>
          <w:sz w:val="32"/>
          <w:szCs w:val="32"/>
          <w:lang w:eastAsia="nl-NL"/>
        </w:rPr>
      </w:pPr>
      <w:r>
        <w:rPr>
          <w:b/>
          <w:sz w:val="32"/>
          <w:szCs w:val="32"/>
          <w:lang w:eastAsia="nl-NL"/>
        </w:rPr>
      </w:r>
    </w:p>
    <w:p>
      <w:pPr>
        <w:pStyle w:val="Normal"/>
        <w:ind w:start="397" w:end="0"/>
        <w:jc w:val="center"/>
        <w:rPr>
          <w:b/>
          <w:sz w:val="32"/>
          <w:szCs w:val="32"/>
          <w:lang w:eastAsia="nl-NL"/>
        </w:rPr>
      </w:pPr>
      <w:r>
        <w:rPr>
          <w:b/>
          <w:sz w:val="32"/>
          <w:szCs w:val="32"/>
          <w:lang w:eastAsia="nl-NL"/>
        </w:rPr>
      </w:r>
    </w:p>
    <w:p>
      <w:pPr>
        <w:pStyle w:val="Normal"/>
        <w:ind w:start="397" w:end="0"/>
        <w:jc w:val="center"/>
        <w:rPr>
          <w:b/>
          <w:sz w:val="32"/>
          <w:szCs w:val="32"/>
          <w:lang w:eastAsia="nl-NL"/>
        </w:rPr>
      </w:pPr>
      <w:r>
        <w:rPr>
          <w:b/>
          <w:sz w:val="32"/>
          <w:szCs w:val="32"/>
          <w:lang w:eastAsia="nl-NL"/>
        </w:rPr>
      </w:r>
    </w:p>
    <w:p>
      <w:pPr>
        <w:pStyle w:val="Normal"/>
        <w:ind w:start="397" w:end="0"/>
        <w:jc w:val="center"/>
        <w:rPr>
          <w:b/>
          <w:sz w:val="32"/>
          <w:szCs w:val="32"/>
          <w:lang w:eastAsia="nl-NL"/>
        </w:rPr>
      </w:pPr>
      <w:r>
        <w:rPr>
          <w:b/>
          <w:sz w:val="32"/>
          <w:szCs w:val="32"/>
          <w:lang w:eastAsia="nl-NL"/>
        </w:rPr>
      </w:r>
    </w:p>
    <w:p>
      <w:pPr>
        <w:pStyle w:val="Normal"/>
        <w:ind w:start="397" w:end="0"/>
        <w:jc w:val="center"/>
        <w:rPr>
          <w:b/>
          <w:sz w:val="32"/>
          <w:szCs w:val="32"/>
          <w:lang w:eastAsia="nl-NL"/>
        </w:rPr>
      </w:pPr>
      <w:r>
        <w:rPr>
          <w:b/>
          <w:sz w:val="32"/>
          <w:szCs w:val="32"/>
          <w:lang w:eastAsia="nl-NL"/>
        </w:rPr>
      </w:r>
    </w:p>
    <w:p>
      <w:pPr>
        <w:pStyle w:val="Normal"/>
        <w:ind w:start="397" w:end="0"/>
        <w:jc w:val="center"/>
        <w:rPr>
          <w:b/>
          <w:sz w:val="32"/>
          <w:szCs w:val="32"/>
          <w:lang w:eastAsia="nl-NL"/>
        </w:rPr>
      </w:pPr>
      <w:r>
        <w:rPr>
          <w:b/>
          <w:sz w:val="32"/>
          <w:szCs w:val="32"/>
          <w:lang w:eastAsia="nl-NL"/>
        </w:rPr>
      </w:r>
    </w:p>
    <w:p>
      <w:pPr>
        <w:pStyle w:val="Normal"/>
        <w:ind w:start="397" w:end="0"/>
        <w:jc w:val="center"/>
        <w:rPr>
          <w:b/>
          <w:sz w:val="32"/>
          <w:szCs w:val="32"/>
          <w:lang w:eastAsia="nl-NL"/>
        </w:rPr>
      </w:pPr>
      <w:r>
        <w:rPr>
          <w:b/>
          <w:sz w:val="32"/>
          <w:szCs w:val="32"/>
          <w:lang w:eastAsia="nl-NL"/>
        </w:rPr>
      </w:r>
    </w:p>
    <w:p>
      <w:pPr>
        <w:pStyle w:val="Normal"/>
        <w:ind w:start="397" w:end="0"/>
        <w:jc w:val="center"/>
        <w:rPr>
          <w:b/>
          <w:sz w:val="48"/>
          <w:szCs w:val="48"/>
          <w:lang w:eastAsia="nl-NL"/>
        </w:rPr>
      </w:pPr>
      <w:r>
        <w:rPr>
          <w:b/>
          <w:sz w:val="48"/>
          <w:szCs w:val="48"/>
          <w:lang w:eastAsia="nl-NL"/>
        </w:rPr>
      </w:r>
    </w:p>
    <w:p>
      <w:pPr>
        <w:pStyle w:val="Heading"/>
        <w:rPr/>
      </w:pPr>
      <w:bookmarkStart w:id="12" w:name="__RefHeading___Toc149195951"/>
      <w:r>
        <w:rPr>
          <w:lang w:eastAsia="nl-NL"/>
        </w:rPr>
        <w:t>Example Contingency Plan</w:t>
      </w:r>
      <w:bookmarkEnd w:id="12"/>
      <w:r>
        <w:rPr/>
        <w:br w:type="textWrapping" w:clear="all"/>
      </w:r>
    </w:p>
    <w:p>
      <w:pPr>
        <w:pStyle w:val="Normal"/>
        <w:ind w:start="397" w:end="0"/>
        <w:rPr>
          <w:szCs w:val="22"/>
        </w:rPr>
      </w:pPr>
      <w:r>
        <w:rPr>
          <w:szCs w:val="22"/>
        </w:rPr>
        <w:br w:type="textWrapping" w:clear="all"/>
      </w:r>
      <w:r>
        <w:br w:type="page"/>
      </w:r>
    </w:p>
    <w:p>
      <w:pPr>
        <w:pStyle w:val="Normal"/>
        <w:ind w:start="397" w:end="0"/>
        <w:rPr>
          <w:szCs w:val="22"/>
        </w:rPr>
      </w:pPr>
      <w:r>
        <w:rPr>
          <w:szCs w:val="22"/>
        </w:rPr>
      </w:r>
    </w:p>
    <w:p>
      <w:pPr>
        <w:pStyle w:val="Normal"/>
        <w:ind w:start="397" w:end="0"/>
        <w:rPr>
          <w:szCs w:val="22"/>
        </w:rPr>
      </w:pPr>
      <w:r>
        <w:rPr>
          <w:b/>
          <w:szCs w:val="22"/>
        </w:rPr>
        <w:t>CONTENTS</w:t>
      </w:r>
    </w:p>
    <w:p>
      <w:pPr>
        <w:pStyle w:val="TOC1"/>
        <w:tabs>
          <w:tab w:val="clear" w:pos="720"/>
          <w:tab w:val="right" w:pos="9434" w:leader="dot"/>
        </w:tabs>
        <w:rPr>
          <w:b w:val="false"/>
          <w:sz w:val="22"/>
          <w:szCs w:val="22"/>
        </w:rPr>
      </w:pPr>
      <w:r>
        <w:rPr>
          <w:b w:val="false"/>
          <w:sz w:val="22"/>
          <w:szCs w:val="22"/>
        </w:rPr>
      </w:r>
    </w:p>
    <w:sdt>
      <w:sdtPr>
        <w:docPartObj>
          <w:docPartGallery w:val="Table of Contents"/>
          <w:docPartUnique w:val="true"/>
        </w:docPartObj>
      </w:sdtPr>
      <w:sdtContent>
        <w:p>
          <w:pPr>
            <w:pStyle w:val="TOC1"/>
            <w:tabs>
              <w:tab w:val="clear" w:pos="720"/>
              <w:tab w:val="right" w:pos="9434" w:leader="dot"/>
            </w:tabs>
            <w:rPr>
              <w:b w:val="false"/>
              <w:caps/>
              <w:lang w:val="en-US" w:eastAsia="en-US"/>
            </w:rPr>
          </w:pPr>
          <w:r>
            <w:fldChar w:fldCharType="begin"/>
          </w:r>
          <w:r>
            <w:rPr>
              <w:rStyle w:val="IndexLink"/>
              <w:lang w:val="en-US" w:eastAsia="en-US"/>
            </w:rPr>
            <w:instrText xml:space="preserve"> TOC \o "1-2" \h \z </w:instrText>
          </w:r>
          <w:r>
            <w:rPr>
              <w:rStyle w:val="IndexLink"/>
              <w:lang w:val="en-US" w:eastAsia="en-US"/>
            </w:rPr>
            <w:fldChar w:fldCharType="separate"/>
          </w:r>
          <w:hyperlink w:anchor="__RefHeading___Toc113280958">
            <w:r>
              <w:rPr>
                <w:rStyle w:val="IndexLink"/>
                <w:lang w:val="en-US" w:eastAsia="en-US"/>
              </w:rPr>
              <w:t>Introduction</w:t>
              <w:tab/>
              <w:t>I</w:t>
            </w:r>
          </w:hyperlink>
        </w:p>
        <w:p>
          <w:pPr>
            <w:pStyle w:val="TOC2"/>
            <w:tabs>
              <w:tab w:val="clear" w:pos="720"/>
              <w:tab w:val="right" w:pos="9434" w:leader="dot"/>
            </w:tabs>
            <w:rPr>
              <w:smallCaps/>
              <w:sz w:val="24"/>
              <w:lang w:val="en-US" w:eastAsia="en-US"/>
            </w:rPr>
          </w:pPr>
          <w:hyperlink w:anchor="__RefHeading___Toc113280959">
            <w:r>
              <w:rPr>
                <w:rStyle w:val="IndexLink"/>
                <w:lang w:val="en-US" w:eastAsia="en-US"/>
              </w:rPr>
              <w:t>Point of Contact</w:t>
              <w:tab/>
              <w:t>I</w:t>
            </w:r>
          </w:hyperlink>
        </w:p>
        <w:p>
          <w:pPr>
            <w:pStyle w:val="TOC1"/>
            <w:tabs>
              <w:tab w:val="clear" w:pos="720"/>
              <w:tab w:val="right" w:pos="9434" w:leader="dot"/>
            </w:tabs>
            <w:rPr>
              <w:b w:val="false"/>
              <w:caps/>
              <w:lang w:val="en-US" w:eastAsia="en-US"/>
            </w:rPr>
          </w:pPr>
          <w:hyperlink w:anchor="__RefHeading___Toc113280960">
            <w:r>
              <w:rPr>
                <w:rStyle w:val="IndexLink"/>
                <w:lang w:val="en-US" w:eastAsia="en-US"/>
              </w:rPr>
              <w:t>Incident Definition</w:t>
              <w:tab/>
              <w:t>II</w:t>
            </w:r>
          </w:hyperlink>
        </w:p>
        <w:p>
          <w:pPr>
            <w:pStyle w:val="TOC1"/>
            <w:tabs>
              <w:tab w:val="clear" w:pos="720"/>
              <w:tab w:val="right" w:pos="9434" w:leader="dot"/>
            </w:tabs>
            <w:rPr>
              <w:b w:val="false"/>
              <w:caps/>
              <w:lang w:val="en-US" w:eastAsia="en-US"/>
            </w:rPr>
          </w:pPr>
          <w:hyperlink w:anchor="__RefHeading___Toc113280961">
            <w:r>
              <w:rPr>
                <w:rStyle w:val="IndexLink"/>
                <w:lang w:val="en-US" w:eastAsia="en-US"/>
              </w:rPr>
              <w:t>Recovery Plan Overview</w:t>
              <w:tab/>
              <w:t>III</w:t>
            </w:r>
          </w:hyperlink>
        </w:p>
        <w:p>
          <w:pPr>
            <w:pStyle w:val="TOC1"/>
            <w:tabs>
              <w:tab w:val="clear" w:pos="720"/>
              <w:tab w:val="right" w:pos="9434" w:leader="dot"/>
            </w:tabs>
            <w:rPr>
              <w:b w:val="false"/>
              <w:caps/>
              <w:lang w:val="en-US" w:eastAsia="en-US"/>
            </w:rPr>
          </w:pPr>
          <w:hyperlink w:anchor="__RefHeading___Toc113280962">
            <w:r>
              <w:rPr>
                <w:rStyle w:val="IndexLink"/>
                <w:lang w:val="en-US" w:eastAsia="en-US"/>
              </w:rPr>
              <w:t>Contingency Plan Processes</w:t>
              <w:tab/>
              <w:t>IV</w:t>
            </w:r>
          </w:hyperlink>
        </w:p>
        <w:p>
          <w:pPr>
            <w:pStyle w:val="TOC2"/>
            <w:tabs>
              <w:tab w:val="clear" w:pos="720"/>
              <w:tab w:val="right" w:pos="9434" w:leader="dot"/>
            </w:tabs>
            <w:rPr>
              <w:smallCaps/>
              <w:sz w:val="24"/>
              <w:lang w:val="en-US" w:eastAsia="en-US"/>
            </w:rPr>
          </w:pPr>
          <w:hyperlink w:anchor="__RefHeading___Toc113280963">
            <w:r>
              <w:rPr>
                <w:rStyle w:val="IndexLink"/>
                <w:lang w:val="en-US" w:eastAsia="en-US"/>
              </w:rPr>
              <w:t>Invocation</w:t>
              <w:tab/>
              <w:t>IV</w:t>
            </w:r>
          </w:hyperlink>
        </w:p>
        <w:p>
          <w:pPr>
            <w:pStyle w:val="TOC2"/>
            <w:tabs>
              <w:tab w:val="clear" w:pos="720"/>
              <w:tab w:val="right" w:pos="9434" w:leader="dot"/>
            </w:tabs>
            <w:rPr>
              <w:smallCaps/>
              <w:sz w:val="24"/>
              <w:lang w:val="en-US" w:eastAsia="en-US"/>
            </w:rPr>
          </w:pPr>
          <w:hyperlink w:anchor="__RefHeading___Toc113280964">
            <w:r>
              <w:rPr>
                <w:rStyle w:val="IndexLink"/>
                <w:lang w:val="en-US" w:eastAsia="en-US"/>
              </w:rPr>
              <w:t>Site 1 Alternate Site Process</w:t>
              <w:tab/>
              <w:t>IV</w:t>
            </w:r>
          </w:hyperlink>
        </w:p>
        <w:p>
          <w:pPr>
            <w:pStyle w:val="TOC2"/>
            <w:tabs>
              <w:tab w:val="clear" w:pos="720"/>
              <w:tab w:val="right" w:pos="9434" w:leader="dot"/>
            </w:tabs>
            <w:rPr>
              <w:smallCaps/>
              <w:sz w:val="24"/>
              <w:lang w:val="en-US" w:eastAsia="en-US"/>
            </w:rPr>
          </w:pPr>
          <w:hyperlink w:anchor="__RefHeading___Toc113280965">
            <w:r>
              <w:rPr>
                <w:rStyle w:val="IndexLink"/>
                <w:lang w:val="en-US" w:eastAsia="en-US"/>
              </w:rPr>
              <w:t>Site 2 Process</w:t>
              <w:tab/>
              <w:t>V</w:t>
            </w:r>
          </w:hyperlink>
        </w:p>
        <w:p>
          <w:pPr>
            <w:pStyle w:val="TOC2"/>
            <w:tabs>
              <w:tab w:val="clear" w:pos="720"/>
              <w:tab w:val="right" w:pos="9434" w:leader="dot"/>
            </w:tabs>
            <w:rPr>
              <w:smallCaps/>
              <w:sz w:val="24"/>
              <w:lang w:val="en-US" w:eastAsia="en-US"/>
            </w:rPr>
          </w:pPr>
          <w:hyperlink w:anchor="__RefHeading___Toc113280966">
            <w:r>
              <w:rPr>
                <w:rStyle w:val="IndexLink"/>
                <w:lang w:val="en-US" w:eastAsia="en-US"/>
              </w:rPr>
              <w:t>Incident Close Down</w:t>
              <w:tab/>
              <w:t>VI</w:t>
            </w:r>
          </w:hyperlink>
        </w:p>
        <w:p>
          <w:pPr>
            <w:pStyle w:val="TOC1"/>
            <w:tabs>
              <w:tab w:val="clear" w:pos="720"/>
              <w:tab w:val="right" w:pos="9434" w:leader="dot"/>
            </w:tabs>
            <w:rPr>
              <w:b w:val="false"/>
              <w:caps/>
              <w:lang w:val="en-US" w:eastAsia="en-US"/>
            </w:rPr>
          </w:pPr>
          <w:hyperlink w:anchor="__RefHeading___Toc113280967">
            <w:r>
              <w:rPr>
                <w:rStyle w:val="IndexLink"/>
                <w:lang w:val="en-US" w:eastAsia="en-US"/>
              </w:rPr>
              <w:t>Plan Testing</w:t>
              <w:tab/>
              <w:t>VII</w:t>
            </w:r>
          </w:hyperlink>
        </w:p>
        <w:p>
          <w:pPr>
            <w:pStyle w:val="TOC1"/>
            <w:tabs>
              <w:tab w:val="clear" w:pos="720"/>
              <w:tab w:val="left" w:pos="1680" w:leader="none"/>
              <w:tab w:val="right" w:pos="9434" w:leader="dot"/>
            </w:tabs>
            <w:rPr>
              <w:b w:val="false"/>
              <w:caps/>
              <w:lang w:val="en-US" w:eastAsia="en-US"/>
            </w:rPr>
          </w:pPr>
          <w:hyperlink w:anchor="__RefHeading___Toc113280968">
            <w:r>
              <w:rPr>
                <w:rStyle w:val="IndexLink"/>
                <w:lang w:val="en-US" w:eastAsia="en-US"/>
              </w:rPr>
              <w:t xml:space="preserve">Appendix 1 </w:t>
            </w:r>
            <w:r>
              <w:rPr>
                <w:rStyle w:val="IndexLink"/>
                <w:b w:val="false"/>
                <w:caps/>
                <w:lang w:val="en-US" w:eastAsia="en-US"/>
              </w:rPr>
              <w:tab/>
            </w:r>
            <w:r>
              <w:rPr>
                <w:rStyle w:val="IndexLink"/>
                <w:lang w:val="en-US" w:eastAsia="en-US"/>
              </w:rPr>
              <w:t>Emergency Recovery Team</w:t>
              <w:tab/>
              <w:t>VIII</w:t>
            </w:r>
          </w:hyperlink>
        </w:p>
        <w:p>
          <w:pPr>
            <w:pStyle w:val="TOC1"/>
            <w:tabs>
              <w:tab w:val="clear" w:pos="720"/>
              <w:tab w:val="left" w:pos="1680" w:leader="none"/>
              <w:tab w:val="right" w:pos="9434" w:leader="dot"/>
            </w:tabs>
            <w:rPr>
              <w:b w:val="false"/>
              <w:caps/>
              <w:lang w:val="en-US" w:eastAsia="en-US"/>
            </w:rPr>
          </w:pPr>
          <w:hyperlink w:anchor="__RefHeading___Toc113280969">
            <w:r>
              <w:rPr>
                <w:rStyle w:val="IndexLink"/>
                <w:lang w:val="en-US" w:eastAsia="en-US"/>
              </w:rPr>
              <w:t xml:space="preserve">Appendix 2 </w:t>
            </w:r>
            <w:r>
              <w:rPr>
                <w:rStyle w:val="IndexLink"/>
                <w:b w:val="false"/>
                <w:caps/>
                <w:lang w:val="en-US" w:eastAsia="en-US"/>
              </w:rPr>
              <w:tab/>
            </w:r>
            <w:r>
              <w:rPr>
                <w:rStyle w:val="IndexLink"/>
                <w:lang w:val="en-US" w:eastAsia="en-US"/>
              </w:rPr>
              <w:t>Progress Activity Log</w:t>
              <w:tab/>
              <w:t>IX</w:t>
            </w:r>
          </w:hyperlink>
        </w:p>
        <w:p>
          <w:pPr>
            <w:pStyle w:val="TOC1"/>
            <w:tabs>
              <w:tab w:val="clear" w:pos="720"/>
              <w:tab w:val="left" w:pos="1680" w:leader="none"/>
              <w:tab w:val="right" w:pos="9434" w:leader="dot"/>
            </w:tabs>
            <w:rPr>
              <w:b w:val="false"/>
              <w:caps/>
              <w:lang w:val="en-US" w:eastAsia="en-US"/>
            </w:rPr>
          </w:pPr>
          <w:hyperlink w:anchor="__RefHeading___Toc113280970">
            <w:r>
              <w:rPr>
                <w:rStyle w:val="IndexLink"/>
                <w:lang w:val="en-US" w:eastAsia="en-US"/>
              </w:rPr>
              <w:t xml:space="preserve">Appendix 3 </w:t>
            </w:r>
            <w:r>
              <w:rPr>
                <w:rStyle w:val="IndexLink"/>
                <w:b w:val="false"/>
                <w:caps/>
                <w:lang w:val="en-US" w:eastAsia="en-US"/>
              </w:rPr>
              <w:tab/>
            </w:r>
            <w:r>
              <w:rPr>
                <w:rStyle w:val="IndexLink"/>
                <w:lang w:val="en-US" w:eastAsia="en-US"/>
              </w:rPr>
              <w:t>Essential Recovery Items</w:t>
              <w:tab/>
              <w:t>X</w:t>
            </w:r>
          </w:hyperlink>
        </w:p>
        <w:p>
          <w:pPr>
            <w:pStyle w:val="TOC1"/>
            <w:tabs>
              <w:tab w:val="clear" w:pos="720"/>
              <w:tab w:val="left" w:pos="1680" w:leader="none"/>
              <w:tab w:val="right" w:pos="9434" w:leader="dot"/>
            </w:tabs>
            <w:rPr>
              <w:b w:val="false"/>
              <w:caps/>
              <w:lang w:val="en-US" w:eastAsia="en-US"/>
            </w:rPr>
          </w:pPr>
          <w:hyperlink w:anchor="__RefHeading___Toc113280971">
            <w:r>
              <w:rPr>
                <w:rStyle w:val="IndexLink"/>
                <w:lang w:val="en-US" w:eastAsia="en-US"/>
              </w:rPr>
              <w:t xml:space="preserve">Appendix 4 </w:t>
            </w:r>
            <w:r>
              <w:rPr>
                <w:rStyle w:val="IndexLink"/>
                <w:b w:val="false"/>
                <w:caps/>
                <w:lang w:val="en-US" w:eastAsia="en-US"/>
              </w:rPr>
              <w:tab/>
            </w:r>
            <w:r>
              <w:rPr>
                <w:rStyle w:val="IndexLink"/>
                <w:lang w:val="en-US" w:eastAsia="en-US"/>
              </w:rPr>
              <w:t>Contact Details</w:t>
              <w:tab/>
              <w:t>XI</w:t>
            </w:r>
          </w:hyperlink>
        </w:p>
        <w:p>
          <w:pPr>
            <w:pStyle w:val="TOC1"/>
            <w:tabs>
              <w:tab w:val="clear" w:pos="720"/>
              <w:tab w:val="left" w:pos="1680" w:leader="none"/>
              <w:tab w:val="right" w:pos="9434" w:leader="dot"/>
            </w:tabs>
            <w:rPr>
              <w:b w:val="false"/>
              <w:caps/>
              <w:lang w:val="en-US" w:eastAsia="en-US"/>
            </w:rPr>
          </w:pPr>
          <w:hyperlink w:anchor="__RefHeading___Toc113280972">
            <w:r>
              <w:rPr>
                <w:rStyle w:val="IndexLink"/>
                <w:lang w:val="en-US" w:eastAsia="en-US"/>
              </w:rPr>
              <w:t xml:space="preserve">Appendix 5 </w:t>
            </w:r>
            <w:r>
              <w:rPr>
                <w:rStyle w:val="IndexLink"/>
                <w:b w:val="false"/>
                <w:caps/>
                <w:lang w:val="en-US" w:eastAsia="en-US"/>
              </w:rPr>
              <w:tab/>
            </w:r>
            <w:r>
              <w:rPr>
                <w:rStyle w:val="IndexLink"/>
                <w:lang w:val="en-US" w:eastAsia="en-US"/>
              </w:rPr>
              <w:t>Key Supplier Details</w:t>
              <w:tab/>
              <w:t>XII</w:t>
            </w:r>
          </w:hyperlink>
        </w:p>
        <w:p>
          <w:pPr>
            <w:pStyle w:val="TOC1"/>
            <w:tabs>
              <w:tab w:val="clear" w:pos="720"/>
              <w:tab w:val="left" w:pos="1680" w:leader="none"/>
              <w:tab w:val="right" w:pos="9434" w:leader="dot"/>
            </w:tabs>
            <w:rPr>
              <w:b w:val="false"/>
              <w:caps/>
              <w:lang w:val="en-US" w:eastAsia="en-US"/>
            </w:rPr>
          </w:pPr>
          <w:hyperlink w:anchor="__RefHeading___Toc113280973">
            <w:r>
              <w:rPr>
                <w:rStyle w:val="IndexLink"/>
                <w:lang w:val="en-US" w:eastAsia="en-US"/>
              </w:rPr>
              <w:t xml:space="preserve">Appendix 6 </w:t>
            </w:r>
            <w:r>
              <w:rPr>
                <w:rStyle w:val="IndexLink"/>
                <w:b w:val="false"/>
                <w:caps/>
                <w:lang w:val="en-US" w:eastAsia="en-US"/>
              </w:rPr>
              <w:tab/>
            </w:r>
            <w:r>
              <w:rPr>
                <w:rStyle w:val="IndexLink"/>
                <w:lang w:val="en-US" w:eastAsia="en-US"/>
              </w:rPr>
              <w:t>Alternate Host Site Details</w:t>
              <w:tab/>
              <w:t>XIII</w:t>
            </w:r>
          </w:hyperlink>
          <w:r>
            <w:rPr>
              <w:rStyle w:val="IndexLink"/>
              <w:lang w:val="en-US" w:eastAsia="en-US"/>
            </w:rPr>
            <w:fldChar w:fldCharType="end"/>
          </w:r>
        </w:p>
      </w:sdtContent>
    </w:sdt>
    <w:p>
      <w:pPr>
        <w:pStyle w:val="TOC1"/>
        <w:ind w:start="397" w:end="0"/>
        <w:rPr>
          <w:b w:val="false"/>
          <w:caps/>
          <w:sz w:val="22"/>
          <w:szCs w:val="22"/>
          <w:lang w:val="en-US" w:eastAsia="en-US"/>
        </w:rPr>
      </w:pPr>
      <w:r>
        <w:rPr>
          <w:b w:val="false"/>
          <w:caps/>
          <w:sz w:val="22"/>
          <w:szCs w:val="22"/>
          <w:lang w:val="en-US" w:eastAsia="en-US"/>
        </w:rPr>
      </w:r>
    </w:p>
    <w:p>
      <w:pPr>
        <w:pStyle w:val="Para"/>
        <w:ind w:start="720" w:end="0"/>
        <w:rPr>
          <w:rFonts w:ascii="Times New Roman" w:hAnsi="Times New Roman" w:cs="Times New Roman"/>
          <w:b/>
          <w:bCs/>
          <w:sz w:val="22"/>
          <w:szCs w:val="22"/>
        </w:rPr>
      </w:pPr>
      <w:r>
        <w:rPr>
          <w:rFonts w:cs="Times New Roman" w:ascii="Times New Roman" w:hAnsi="Times New Roman"/>
          <w:b/>
          <w:bCs/>
          <w:sz w:val="22"/>
          <w:szCs w:val="22"/>
        </w:rPr>
        <w:t>Document Control</w:t>
      </w:r>
    </w:p>
    <w:tbl>
      <w:tblPr>
        <w:tblW w:w="7387" w:type="dxa"/>
        <w:jc w:val="start"/>
        <w:tblInd w:w="720" w:type="dxa"/>
        <w:tblLayout w:type="fixed"/>
        <w:tblCellMar>
          <w:top w:w="0" w:type="dxa"/>
          <w:start w:w="108" w:type="dxa"/>
          <w:bottom w:w="0" w:type="dxa"/>
          <w:end w:w="108" w:type="dxa"/>
        </w:tblCellMar>
      </w:tblPr>
      <w:tblGrid>
        <w:gridCol w:w="1080"/>
        <w:gridCol w:w="5220"/>
        <w:gridCol w:w="1087"/>
      </w:tblGrid>
      <w:tr>
        <w:trPr/>
        <w:tc>
          <w:tcPr>
            <w:tcW w:w="1080" w:type="dxa"/>
            <w:tcBorders>
              <w:top w:val="single" w:sz="4" w:space="0" w:color="000000"/>
              <w:start w:val="single" w:sz="4" w:space="0" w:color="000000"/>
              <w:bottom w:val="single" w:sz="4" w:space="0" w:color="000000"/>
              <w:end w:val="single" w:sz="4" w:space="0" w:color="000000"/>
            </w:tcBorders>
          </w:tcPr>
          <w:p>
            <w:pPr>
              <w:pStyle w:val="Para"/>
              <w:spacing w:before="120" w:after="120"/>
              <w:ind w:start="0" w:end="0"/>
              <w:rPr>
                <w:rFonts w:ascii="Times New Roman" w:hAnsi="Times New Roman" w:cs="Times New Roman"/>
                <w:b/>
                <w:bCs/>
                <w:sz w:val="22"/>
                <w:szCs w:val="22"/>
              </w:rPr>
            </w:pPr>
            <w:r>
              <w:rPr>
                <w:rFonts w:cs="Times New Roman" w:ascii="Times New Roman" w:hAnsi="Times New Roman"/>
                <w:b/>
                <w:bCs/>
                <w:sz w:val="22"/>
                <w:szCs w:val="22"/>
              </w:rPr>
              <w:t>Date</w:t>
            </w:r>
          </w:p>
        </w:tc>
        <w:tc>
          <w:tcPr>
            <w:tcW w:w="5220" w:type="dxa"/>
            <w:tcBorders>
              <w:top w:val="single" w:sz="4" w:space="0" w:color="000000"/>
              <w:start w:val="single" w:sz="4" w:space="0" w:color="000000"/>
              <w:bottom w:val="single" w:sz="4" w:space="0" w:color="000000"/>
              <w:end w:val="single" w:sz="4" w:space="0" w:color="000000"/>
            </w:tcBorders>
          </w:tcPr>
          <w:p>
            <w:pPr>
              <w:pStyle w:val="Para"/>
              <w:spacing w:before="120" w:after="120"/>
              <w:ind w:start="0" w:end="0"/>
              <w:rPr>
                <w:rFonts w:ascii="Times New Roman" w:hAnsi="Times New Roman" w:cs="Times New Roman"/>
                <w:b/>
                <w:bCs/>
                <w:sz w:val="22"/>
                <w:szCs w:val="22"/>
              </w:rPr>
            </w:pPr>
            <w:r>
              <w:rPr>
                <w:rFonts w:cs="Times New Roman" w:ascii="Times New Roman" w:hAnsi="Times New Roman"/>
                <w:b/>
                <w:bCs/>
                <w:sz w:val="22"/>
                <w:szCs w:val="22"/>
              </w:rPr>
              <w:t>Description</w:t>
            </w:r>
          </w:p>
        </w:tc>
        <w:tc>
          <w:tcPr>
            <w:tcW w:w="1087" w:type="dxa"/>
            <w:tcBorders>
              <w:top w:val="single" w:sz="4" w:space="0" w:color="000000"/>
              <w:start w:val="single" w:sz="4" w:space="0" w:color="000000"/>
              <w:bottom w:val="single" w:sz="4" w:space="0" w:color="000000"/>
              <w:end w:val="single" w:sz="4" w:space="0" w:color="000000"/>
            </w:tcBorders>
          </w:tcPr>
          <w:p>
            <w:pPr>
              <w:pStyle w:val="Para"/>
              <w:spacing w:before="120" w:after="120"/>
              <w:ind w:start="0" w:end="0"/>
              <w:rPr>
                <w:rFonts w:ascii="Times New Roman" w:hAnsi="Times New Roman" w:cs="Times New Roman"/>
                <w:b/>
                <w:bCs/>
                <w:sz w:val="22"/>
                <w:szCs w:val="22"/>
              </w:rPr>
            </w:pPr>
            <w:r>
              <w:rPr>
                <w:rFonts w:cs="Times New Roman" w:ascii="Times New Roman" w:hAnsi="Times New Roman"/>
                <w:b/>
                <w:bCs/>
                <w:sz w:val="22"/>
                <w:szCs w:val="22"/>
              </w:rPr>
              <w:t>Initials</w:t>
            </w:r>
          </w:p>
        </w:tc>
      </w:tr>
      <w:tr>
        <w:trPr/>
        <w:tc>
          <w:tcPr>
            <w:tcW w:w="1080" w:type="dxa"/>
            <w:tcBorders>
              <w:top w:val="single" w:sz="4" w:space="0" w:color="000000"/>
              <w:start w:val="single" w:sz="4" w:space="0" w:color="000000"/>
              <w:bottom w:val="single" w:sz="4" w:space="0" w:color="000000"/>
              <w:end w:val="single" w:sz="4" w:space="0" w:color="000000"/>
            </w:tcBorders>
          </w:tcPr>
          <w:p>
            <w:pPr>
              <w:pStyle w:val="Para"/>
              <w:snapToGrid w:val="false"/>
              <w:spacing w:before="120" w:after="120"/>
              <w:ind w:start="0" w:end="0"/>
              <w:rPr>
                <w:rFonts w:ascii="Times New Roman" w:hAnsi="Times New Roman" w:cs="Times New Roman"/>
                <w:b/>
                <w:bCs/>
                <w:sz w:val="22"/>
                <w:szCs w:val="22"/>
              </w:rPr>
            </w:pPr>
            <w:r>
              <w:rPr>
                <w:rFonts w:cs="Times New Roman" w:ascii="Times New Roman" w:hAnsi="Times New Roman"/>
                <w:b/>
                <w:bCs/>
                <w:sz w:val="22"/>
                <w:szCs w:val="22"/>
              </w:rPr>
            </w:r>
          </w:p>
        </w:tc>
        <w:tc>
          <w:tcPr>
            <w:tcW w:w="5220" w:type="dxa"/>
            <w:tcBorders>
              <w:top w:val="single" w:sz="4" w:space="0" w:color="000000"/>
              <w:start w:val="single" w:sz="4" w:space="0" w:color="000000"/>
              <w:bottom w:val="single" w:sz="4" w:space="0" w:color="000000"/>
              <w:end w:val="single" w:sz="4" w:space="0" w:color="000000"/>
            </w:tcBorders>
          </w:tcPr>
          <w:p>
            <w:pPr>
              <w:pStyle w:val="Para"/>
              <w:snapToGrid w:val="false"/>
              <w:spacing w:before="120" w:after="120"/>
              <w:ind w:start="0" w:end="0"/>
              <w:rPr>
                <w:rFonts w:ascii="Times New Roman" w:hAnsi="Times New Roman" w:cs="Times New Roman"/>
                <w:sz w:val="22"/>
                <w:szCs w:val="22"/>
              </w:rPr>
            </w:pPr>
            <w:r>
              <w:rPr>
                <w:rFonts w:cs="Times New Roman" w:ascii="Times New Roman" w:hAnsi="Times New Roman"/>
                <w:sz w:val="22"/>
                <w:szCs w:val="22"/>
              </w:rPr>
            </w:r>
          </w:p>
        </w:tc>
        <w:tc>
          <w:tcPr>
            <w:tcW w:w="1087" w:type="dxa"/>
            <w:tcBorders>
              <w:top w:val="single" w:sz="4" w:space="0" w:color="000000"/>
              <w:start w:val="single" w:sz="4" w:space="0" w:color="000000"/>
              <w:bottom w:val="single" w:sz="4" w:space="0" w:color="000000"/>
              <w:end w:val="single" w:sz="4" w:space="0" w:color="000000"/>
            </w:tcBorders>
          </w:tcPr>
          <w:p>
            <w:pPr>
              <w:pStyle w:val="Para"/>
              <w:snapToGrid w:val="false"/>
              <w:spacing w:before="120" w:after="120"/>
              <w:ind w:start="0" w:end="0"/>
              <w:rPr>
                <w:rFonts w:ascii="Times New Roman" w:hAnsi="Times New Roman" w:cs="Times New Roman"/>
                <w:sz w:val="22"/>
                <w:szCs w:val="22"/>
              </w:rPr>
            </w:pPr>
            <w:r>
              <w:rPr>
                <w:rFonts w:cs="Times New Roman" w:ascii="Times New Roman" w:hAnsi="Times New Roman"/>
                <w:sz w:val="22"/>
                <w:szCs w:val="22"/>
              </w:rPr>
            </w:r>
          </w:p>
        </w:tc>
      </w:tr>
      <w:tr>
        <w:trPr/>
        <w:tc>
          <w:tcPr>
            <w:tcW w:w="1080" w:type="dxa"/>
            <w:tcBorders>
              <w:top w:val="single" w:sz="4" w:space="0" w:color="000000"/>
              <w:start w:val="single" w:sz="4" w:space="0" w:color="000000"/>
              <w:bottom w:val="single" w:sz="4" w:space="0" w:color="000000"/>
              <w:end w:val="single" w:sz="4" w:space="0" w:color="000000"/>
            </w:tcBorders>
          </w:tcPr>
          <w:p>
            <w:pPr>
              <w:pStyle w:val="Para"/>
              <w:snapToGrid w:val="false"/>
              <w:spacing w:before="120" w:after="120"/>
              <w:ind w:start="0" w:end="0"/>
              <w:rPr>
                <w:rFonts w:ascii="Times New Roman" w:hAnsi="Times New Roman" w:cs="Times New Roman"/>
                <w:sz w:val="22"/>
                <w:szCs w:val="22"/>
              </w:rPr>
            </w:pPr>
            <w:r>
              <w:rPr>
                <w:rFonts w:cs="Times New Roman" w:ascii="Times New Roman" w:hAnsi="Times New Roman"/>
                <w:sz w:val="22"/>
                <w:szCs w:val="22"/>
              </w:rPr>
            </w:r>
          </w:p>
        </w:tc>
        <w:tc>
          <w:tcPr>
            <w:tcW w:w="5220" w:type="dxa"/>
            <w:tcBorders>
              <w:top w:val="single" w:sz="4" w:space="0" w:color="000000"/>
              <w:start w:val="single" w:sz="4" w:space="0" w:color="000000"/>
              <w:bottom w:val="single" w:sz="4" w:space="0" w:color="000000"/>
              <w:end w:val="single" w:sz="4" w:space="0" w:color="000000"/>
            </w:tcBorders>
          </w:tcPr>
          <w:p>
            <w:pPr>
              <w:pStyle w:val="Para"/>
              <w:snapToGrid w:val="false"/>
              <w:spacing w:before="120" w:after="120"/>
              <w:ind w:start="0" w:end="0"/>
              <w:rPr>
                <w:rFonts w:ascii="Times New Roman" w:hAnsi="Times New Roman" w:cs="Times New Roman"/>
                <w:sz w:val="22"/>
                <w:szCs w:val="22"/>
              </w:rPr>
            </w:pPr>
            <w:r>
              <w:rPr>
                <w:rFonts w:cs="Times New Roman" w:ascii="Times New Roman" w:hAnsi="Times New Roman"/>
                <w:sz w:val="22"/>
                <w:szCs w:val="22"/>
              </w:rPr>
            </w:r>
          </w:p>
        </w:tc>
        <w:tc>
          <w:tcPr>
            <w:tcW w:w="1087" w:type="dxa"/>
            <w:tcBorders>
              <w:top w:val="single" w:sz="4" w:space="0" w:color="000000"/>
              <w:start w:val="single" w:sz="4" w:space="0" w:color="000000"/>
              <w:bottom w:val="single" w:sz="4" w:space="0" w:color="000000"/>
              <w:end w:val="single" w:sz="4" w:space="0" w:color="000000"/>
            </w:tcBorders>
          </w:tcPr>
          <w:p>
            <w:pPr>
              <w:pStyle w:val="Para"/>
              <w:snapToGrid w:val="false"/>
              <w:spacing w:before="120" w:after="120"/>
              <w:ind w:start="0" w:end="0"/>
              <w:rPr>
                <w:rFonts w:ascii="Times New Roman" w:hAnsi="Times New Roman" w:cs="Times New Roman"/>
                <w:sz w:val="22"/>
                <w:szCs w:val="22"/>
              </w:rPr>
            </w:pPr>
            <w:r>
              <w:rPr>
                <w:rFonts w:cs="Times New Roman" w:ascii="Times New Roman" w:hAnsi="Times New Roman"/>
                <w:sz w:val="22"/>
                <w:szCs w:val="22"/>
              </w:rPr>
            </w:r>
          </w:p>
        </w:tc>
      </w:tr>
      <w:tr>
        <w:trPr/>
        <w:tc>
          <w:tcPr>
            <w:tcW w:w="1080" w:type="dxa"/>
            <w:tcBorders>
              <w:top w:val="single" w:sz="4" w:space="0" w:color="000000"/>
              <w:start w:val="single" w:sz="4" w:space="0" w:color="000000"/>
              <w:bottom w:val="single" w:sz="4" w:space="0" w:color="000000"/>
              <w:end w:val="single" w:sz="4" w:space="0" w:color="000000"/>
            </w:tcBorders>
          </w:tcPr>
          <w:p>
            <w:pPr>
              <w:pStyle w:val="Para"/>
              <w:snapToGrid w:val="false"/>
              <w:spacing w:before="120" w:after="120"/>
              <w:ind w:start="0" w:end="0"/>
              <w:rPr>
                <w:rFonts w:ascii="Times New Roman" w:hAnsi="Times New Roman" w:cs="Times New Roman"/>
                <w:sz w:val="22"/>
                <w:szCs w:val="22"/>
              </w:rPr>
            </w:pPr>
            <w:r>
              <w:rPr>
                <w:rFonts w:cs="Times New Roman" w:ascii="Times New Roman" w:hAnsi="Times New Roman"/>
                <w:sz w:val="22"/>
                <w:szCs w:val="22"/>
              </w:rPr>
            </w:r>
          </w:p>
        </w:tc>
        <w:tc>
          <w:tcPr>
            <w:tcW w:w="5220" w:type="dxa"/>
            <w:tcBorders>
              <w:top w:val="single" w:sz="4" w:space="0" w:color="000000"/>
              <w:start w:val="single" w:sz="4" w:space="0" w:color="000000"/>
              <w:bottom w:val="single" w:sz="4" w:space="0" w:color="000000"/>
              <w:end w:val="single" w:sz="4" w:space="0" w:color="000000"/>
            </w:tcBorders>
          </w:tcPr>
          <w:p>
            <w:pPr>
              <w:pStyle w:val="Para"/>
              <w:snapToGrid w:val="false"/>
              <w:spacing w:before="120" w:after="120"/>
              <w:ind w:start="0" w:end="0"/>
              <w:rPr>
                <w:rFonts w:ascii="Times New Roman" w:hAnsi="Times New Roman" w:cs="Times New Roman"/>
                <w:sz w:val="22"/>
                <w:szCs w:val="22"/>
              </w:rPr>
            </w:pPr>
            <w:r>
              <w:rPr>
                <w:rFonts w:cs="Times New Roman" w:ascii="Times New Roman" w:hAnsi="Times New Roman"/>
                <w:sz w:val="22"/>
                <w:szCs w:val="22"/>
              </w:rPr>
            </w:r>
          </w:p>
        </w:tc>
        <w:tc>
          <w:tcPr>
            <w:tcW w:w="1087" w:type="dxa"/>
            <w:tcBorders>
              <w:top w:val="single" w:sz="4" w:space="0" w:color="000000"/>
              <w:start w:val="single" w:sz="4" w:space="0" w:color="000000"/>
              <w:bottom w:val="single" w:sz="4" w:space="0" w:color="000000"/>
              <w:end w:val="single" w:sz="4" w:space="0" w:color="000000"/>
            </w:tcBorders>
          </w:tcPr>
          <w:p>
            <w:pPr>
              <w:pStyle w:val="Para"/>
              <w:snapToGrid w:val="false"/>
              <w:spacing w:before="120" w:after="120"/>
              <w:ind w:start="0" w:end="0"/>
              <w:rPr>
                <w:rFonts w:ascii="Times New Roman" w:hAnsi="Times New Roman" w:cs="Times New Roman"/>
                <w:sz w:val="22"/>
                <w:szCs w:val="22"/>
              </w:rPr>
            </w:pPr>
            <w:r>
              <w:rPr>
                <w:rFonts w:cs="Times New Roman" w:ascii="Times New Roman" w:hAnsi="Times New Roman"/>
                <w:sz w:val="22"/>
                <w:szCs w:val="22"/>
              </w:rPr>
            </w:r>
          </w:p>
        </w:tc>
      </w:tr>
      <w:tr>
        <w:trPr/>
        <w:tc>
          <w:tcPr>
            <w:tcW w:w="1080" w:type="dxa"/>
            <w:tcBorders>
              <w:top w:val="single" w:sz="4" w:space="0" w:color="000000"/>
              <w:start w:val="single" w:sz="4" w:space="0" w:color="000000"/>
              <w:bottom w:val="single" w:sz="4" w:space="0" w:color="000000"/>
              <w:end w:val="single" w:sz="4" w:space="0" w:color="000000"/>
            </w:tcBorders>
          </w:tcPr>
          <w:p>
            <w:pPr>
              <w:pStyle w:val="Para"/>
              <w:snapToGrid w:val="false"/>
              <w:spacing w:before="120" w:after="120"/>
              <w:ind w:start="0" w:end="0"/>
              <w:rPr>
                <w:rFonts w:ascii="Times New Roman" w:hAnsi="Times New Roman" w:cs="Times New Roman"/>
                <w:sz w:val="22"/>
                <w:szCs w:val="22"/>
              </w:rPr>
            </w:pPr>
            <w:r>
              <w:rPr>
                <w:rFonts w:cs="Times New Roman" w:ascii="Times New Roman" w:hAnsi="Times New Roman"/>
                <w:sz w:val="22"/>
                <w:szCs w:val="22"/>
              </w:rPr>
            </w:r>
          </w:p>
        </w:tc>
        <w:tc>
          <w:tcPr>
            <w:tcW w:w="5220" w:type="dxa"/>
            <w:tcBorders>
              <w:top w:val="single" w:sz="4" w:space="0" w:color="000000"/>
              <w:start w:val="single" w:sz="4" w:space="0" w:color="000000"/>
              <w:bottom w:val="single" w:sz="4" w:space="0" w:color="000000"/>
              <w:end w:val="single" w:sz="4" w:space="0" w:color="000000"/>
            </w:tcBorders>
          </w:tcPr>
          <w:p>
            <w:pPr>
              <w:pStyle w:val="Para"/>
              <w:snapToGrid w:val="false"/>
              <w:spacing w:before="120" w:after="120"/>
              <w:ind w:start="0" w:end="0"/>
              <w:rPr>
                <w:rFonts w:ascii="Times New Roman" w:hAnsi="Times New Roman" w:cs="Times New Roman"/>
                <w:sz w:val="22"/>
                <w:szCs w:val="22"/>
              </w:rPr>
            </w:pPr>
            <w:r>
              <w:rPr>
                <w:rFonts w:cs="Times New Roman" w:ascii="Times New Roman" w:hAnsi="Times New Roman"/>
                <w:sz w:val="22"/>
                <w:szCs w:val="22"/>
              </w:rPr>
            </w:r>
          </w:p>
        </w:tc>
        <w:tc>
          <w:tcPr>
            <w:tcW w:w="1087" w:type="dxa"/>
            <w:tcBorders>
              <w:top w:val="single" w:sz="4" w:space="0" w:color="000000"/>
              <w:start w:val="single" w:sz="4" w:space="0" w:color="000000"/>
              <w:bottom w:val="single" w:sz="4" w:space="0" w:color="000000"/>
              <w:end w:val="single" w:sz="4" w:space="0" w:color="000000"/>
            </w:tcBorders>
          </w:tcPr>
          <w:p>
            <w:pPr>
              <w:pStyle w:val="Para"/>
              <w:snapToGrid w:val="false"/>
              <w:spacing w:before="120" w:after="120"/>
              <w:ind w:start="0" w:end="0"/>
              <w:rPr>
                <w:rFonts w:ascii="Times New Roman" w:hAnsi="Times New Roman" w:cs="Times New Roman"/>
                <w:sz w:val="22"/>
                <w:szCs w:val="22"/>
              </w:rPr>
            </w:pPr>
            <w:r>
              <w:rPr>
                <w:rFonts w:cs="Times New Roman" w:ascii="Times New Roman" w:hAnsi="Times New Roman"/>
                <w:sz w:val="22"/>
                <w:szCs w:val="22"/>
              </w:rPr>
            </w:r>
          </w:p>
        </w:tc>
      </w:tr>
      <w:tr>
        <w:trPr/>
        <w:tc>
          <w:tcPr>
            <w:tcW w:w="1080" w:type="dxa"/>
            <w:tcBorders>
              <w:top w:val="single" w:sz="4" w:space="0" w:color="000000"/>
              <w:start w:val="single" w:sz="4" w:space="0" w:color="000000"/>
              <w:bottom w:val="single" w:sz="4" w:space="0" w:color="000000"/>
              <w:end w:val="single" w:sz="4" w:space="0" w:color="000000"/>
            </w:tcBorders>
          </w:tcPr>
          <w:p>
            <w:pPr>
              <w:pStyle w:val="Para"/>
              <w:snapToGrid w:val="false"/>
              <w:spacing w:before="120" w:after="120"/>
              <w:ind w:start="0" w:end="0"/>
              <w:rPr>
                <w:rFonts w:ascii="Times New Roman" w:hAnsi="Times New Roman" w:cs="Times New Roman"/>
                <w:sz w:val="22"/>
                <w:szCs w:val="22"/>
              </w:rPr>
            </w:pPr>
            <w:r>
              <w:rPr>
                <w:rFonts w:cs="Times New Roman" w:ascii="Times New Roman" w:hAnsi="Times New Roman"/>
                <w:sz w:val="22"/>
                <w:szCs w:val="22"/>
              </w:rPr>
            </w:r>
          </w:p>
        </w:tc>
        <w:tc>
          <w:tcPr>
            <w:tcW w:w="5220" w:type="dxa"/>
            <w:tcBorders>
              <w:top w:val="single" w:sz="4" w:space="0" w:color="000000"/>
              <w:start w:val="single" w:sz="4" w:space="0" w:color="000000"/>
              <w:bottom w:val="single" w:sz="4" w:space="0" w:color="000000"/>
              <w:end w:val="single" w:sz="4" w:space="0" w:color="000000"/>
            </w:tcBorders>
          </w:tcPr>
          <w:p>
            <w:pPr>
              <w:pStyle w:val="Para"/>
              <w:snapToGrid w:val="false"/>
              <w:spacing w:before="120" w:after="120"/>
              <w:ind w:start="0" w:end="0"/>
              <w:rPr>
                <w:rFonts w:ascii="Times New Roman" w:hAnsi="Times New Roman" w:cs="Times New Roman"/>
                <w:sz w:val="22"/>
                <w:szCs w:val="22"/>
              </w:rPr>
            </w:pPr>
            <w:r>
              <w:rPr>
                <w:rFonts w:cs="Times New Roman" w:ascii="Times New Roman" w:hAnsi="Times New Roman"/>
                <w:sz w:val="22"/>
                <w:szCs w:val="22"/>
              </w:rPr>
            </w:r>
          </w:p>
        </w:tc>
        <w:tc>
          <w:tcPr>
            <w:tcW w:w="1087" w:type="dxa"/>
            <w:tcBorders>
              <w:top w:val="single" w:sz="4" w:space="0" w:color="000000"/>
              <w:start w:val="single" w:sz="4" w:space="0" w:color="000000"/>
              <w:bottom w:val="single" w:sz="4" w:space="0" w:color="000000"/>
              <w:end w:val="single" w:sz="4" w:space="0" w:color="000000"/>
            </w:tcBorders>
          </w:tcPr>
          <w:p>
            <w:pPr>
              <w:pStyle w:val="Para"/>
              <w:snapToGrid w:val="false"/>
              <w:spacing w:before="120" w:after="120"/>
              <w:ind w:start="0" w:end="0"/>
              <w:rPr>
                <w:rFonts w:ascii="Times New Roman" w:hAnsi="Times New Roman" w:cs="Times New Roman"/>
                <w:sz w:val="22"/>
                <w:szCs w:val="22"/>
              </w:rPr>
            </w:pPr>
            <w:r>
              <w:rPr>
                <w:rFonts w:cs="Times New Roman" w:ascii="Times New Roman" w:hAnsi="Times New Roman"/>
                <w:sz w:val="22"/>
                <w:szCs w:val="22"/>
              </w:rPr>
            </w:r>
          </w:p>
        </w:tc>
      </w:tr>
      <w:tr>
        <w:trPr/>
        <w:tc>
          <w:tcPr>
            <w:tcW w:w="1080" w:type="dxa"/>
            <w:tcBorders>
              <w:top w:val="single" w:sz="4" w:space="0" w:color="000000"/>
              <w:start w:val="single" w:sz="4" w:space="0" w:color="000000"/>
              <w:bottom w:val="single" w:sz="4" w:space="0" w:color="000000"/>
              <w:end w:val="single" w:sz="4" w:space="0" w:color="000000"/>
            </w:tcBorders>
          </w:tcPr>
          <w:p>
            <w:pPr>
              <w:pStyle w:val="Para"/>
              <w:snapToGrid w:val="false"/>
              <w:spacing w:before="120" w:after="120"/>
              <w:ind w:start="0" w:end="0"/>
              <w:rPr>
                <w:rFonts w:ascii="Times New Roman" w:hAnsi="Times New Roman" w:cs="Times New Roman"/>
                <w:sz w:val="22"/>
                <w:szCs w:val="22"/>
              </w:rPr>
            </w:pPr>
            <w:r>
              <w:rPr>
                <w:rFonts w:cs="Times New Roman" w:ascii="Times New Roman" w:hAnsi="Times New Roman"/>
                <w:sz w:val="22"/>
                <w:szCs w:val="22"/>
              </w:rPr>
            </w:r>
          </w:p>
        </w:tc>
        <w:tc>
          <w:tcPr>
            <w:tcW w:w="5220" w:type="dxa"/>
            <w:tcBorders>
              <w:top w:val="single" w:sz="4" w:space="0" w:color="000000"/>
              <w:start w:val="single" w:sz="4" w:space="0" w:color="000000"/>
              <w:bottom w:val="single" w:sz="4" w:space="0" w:color="000000"/>
              <w:end w:val="single" w:sz="4" w:space="0" w:color="000000"/>
            </w:tcBorders>
          </w:tcPr>
          <w:p>
            <w:pPr>
              <w:pStyle w:val="Para"/>
              <w:snapToGrid w:val="false"/>
              <w:spacing w:before="120" w:after="120"/>
              <w:ind w:start="0" w:end="0"/>
              <w:rPr>
                <w:rFonts w:ascii="Times New Roman" w:hAnsi="Times New Roman" w:cs="Times New Roman"/>
                <w:sz w:val="22"/>
                <w:szCs w:val="22"/>
              </w:rPr>
            </w:pPr>
            <w:r>
              <w:rPr>
                <w:rFonts w:cs="Times New Roman" w:ascii="Times New Roman" w:hAnsi="Times New Roman"/>
                <w:sz w:val="22"/>
                <w:szCs w:val="22"/>
              </w:rPr>
            </w:r>
          </w:p>
        </w:tc>
        <w:tc>
          <w:tcPr>
            <w:tcW w:w="1087" w:type="dxa"/>
            <w:tcBorders>
              <w:top w:val="single" w:sz="4" w:space="0" w:color="000000"/>
              <w:start w:val="single" w:sz="4" w:space="0" w:color="000000"/>
              <w:bottom w:val="single" w:sz="4" w:space="0" w:color="000000"/>
              <w:end w:val="single" w:sz="4" w:space="0" w:color="000000"/>
            </w:tcBorders>
          </w:tcPr>
          <w:p>
            <w:pPr>
              <w:pStyle w:val="Para"/>
              <w:snapToGrid w:val="false"/>
              <w:spacing w:before="120" w:after="120"/>
              <w:ind w:start="0" w:end="0"/>
              <w:rPr>
                <w:rFonts w:ascii="Times New Roman" w:hAnsi="Times New Roman" w:cs="Times New Roman"/>
                <w:sz w:val="22"/>
                <w:szCs w:val="22"/>
              </w:rPr>
            </w:pPr>
            <w:r>
              <w:rPr>
                <w:rFonts w:cs="Times New Roman" w:ascii="Times New Roman" w:hAnsi="Times New Roman"/>
                <w:sz w:val="22"/>
                <w:szCs w:val="22"/>
              </w:rPr>
            </w:r>
          </w:p>
        </w:tc>
      </w:tr>
      <w:tr>
        <w:trPr/>
        <w:tc>
          <w:tcPr>
            <w:tcW w:w="1080" w:type="dxa"/>
            <w:tcBorders>
              <w:top w:val="single" w:sz="4" w:space="0" w:color="000000"/>
              <w:start w:val="single" w:sz="4" w:space="0" w:color="000000"/>
              <w:bottom w:val="single" w:sz="4" w:space="0" w:color="000000"/>
              <w:end w:val="single" w:sz="4" w:space="0" w:color="000000"/>
            </w:tcBorders>
          </w:tcPr>
          <w:p>
            <w:pPr>
              <w:pStyle w:val="Para"/>
              <w:snapToGrid w:val="false"/>
              <w:spacing w:before="120" w:after="120"/>
              <w:ind w:start="0" w:end="0"/>
              <w:rPr>
                <w:rFonts w:ascii="Times New Roman" w:hAnsi="Times New Roman" w:cs="Times New Roman"/>
                <w:sz w:val="22"/>
                <w:szCs w:val="22"/>
              </w:rPr>
            </w:pPr>
            <w:r>
              <w:rPr>
                <w:rFonts w:cs="Times New Roman" w:ascii="Times New Roman" w:hAnsi="Times New Roman"/>
                <w:sz w:val="22"/>
                <w:szCs w:val="22"/>
              </w:rPr>
            </w:r>
          </w:p>
        </w:tc>
        <w:tc>
          <w:tcPr>
            <w:tcW w:w="5220" w:type="dxa"/>
            <w:tcBorders>
              <w:top w:val="single" w:sz="4" w:space="0" w:color="000000"/>
              <w:start w:val="single" w:sz="4" w:space="0" w:color="000000"/>
              <w:bottom w:val="single" w:sz="4" w:space="0" w:color="000000"/>
              <w:end w:val="single" w:sz="4" w:space="0" w:color="000000"/>
            </w:tcBorders>
          </w:tcPr>
          <w:p>
            <w:pPr>
              <w:pStyle w:val="Para"/>
              <w:snapToGrid w:val="false"/>
              <w:spacing w:before="120" w:after="120"/>
              <w:ind w:start="0" w:end="0"/>
              <w:rPr>
                <w:rFonts w:ascii="Times New Roman" w:hAnsi="Times New Roman" w:cs="Times New Roman"/>
                <w:sz w:val="22"/>
                <w:szCs w:val="22"/>
              </w:rPr>
            </w:pPr>
            <w:r>
              <w:rPr>
                <w:rFonts w:cs="Times New Roman" w:ascii="Times New Roman" w:hAnsi="Times New Roman"/>
                <w:sz w:val="22"/>
                <w:szCs w:val="22"/>
              </w:rPr>
            </w:r>
          </w:p>
        </w:tc>
        <w:tc>
          <w:tcPr>
            <w:tcW w:w="1087" w:type="dxa"/>
            <w:tcBorders>
              <w:top w:val="single" w:sz="4" w:space="0" w:color="000000"/>
              <w:start w:val="single" w:sz="4" w:space="0" w:color="000000"/>
              <w:bottom w:val="single" w:sz="4" w:space="0" w:color="000000"/>
              <w:end w:val="single" w:sz="4" w:space="0" w:color="000000"/>
            </w:tcBorders>
          </w:tcPr>
          <w:p>
            <w:pPr>
              <w:pStyle w:val="Para"/>
              <w:snapToGrid w:val="false"/>
              <w:spacing w:before="120" w:after="120"/>
              <w:ind w:start="0" w:end="0"/>
              <w:rPr>
                <w:rFonts w:ascii="Times New Roman" w:hAnsi="Times New Roman" w:cs="Times New Roman"/>
                <w:sz w:val="22"/>
                <w:szCs w:val="22"/>
              </w:rPr>
            </w:pPr>
            <w:r>
              <w:rPr>
                <w:rFonts w:cs="Times New Roman" w:ascii="Times New Roman" w:hAnsi="Times New Roman"/>
                <w:sz w:val="22"/>
                <w:szCs w:val="22"/>
              </w:rPr>
            </w:r>
          </w:p>
        </w:tc>
      </w:tr>
    </w:tbl>
    <w:p>
      <w:pPr>
        <w:sectPr>
          <w:headerReference w:type="default" r:id="rId14"/>
          <w:headerReference w:type="first" r:id="rId15"/>
          <w:footerReference w:type="default" r:id="rId16"/>
          <w:footerReference w:type="first" r:id="rId17"/>
          <w:type w:val="nextPage"/>
          <w:pgSz w:w="11906" w:h="16838"/>
          <w:pgMar w:left="1022" w:right="1440" w:gutter="0" w:header="562" w:top="1440" w:footer="1382" w:bottom="1440"/>
          <w:pgNumType w:start="1" w:fmt="upperRoman"/>
          <w:formProt w:val="false"/>
          <w:textDirection w:val="lrTb"/>
          <w:docGrid w:type="default" w:linePitch="360" w:charSpace="0"/>
        </w:sectPr>
        <w:pStyle w:val="Para"/>
        <w:ind w:start="0" w:end="0"/>
        <w:rPr>
          <w:rFonts w:ascii="Times New Roman" w:hAnsi="Times New Roman" w:cs="Times New Roman"/>
          <w:sz w:val="22"/>
          <w:szCs w:val="22"/>
        </w:rPr>
      </w:pPr>
      <w:r>
        <w:rPr>
          <w:rFonts w:cs="Times New Roman" w:ascii="Times New Roman" w:hAnsi="Times New Roman"/>
          <w:sz w:val="22"/>
          <w:szCs w:val="22"/>
        </w:rPr>
      </w:r>
      <w:r>
        <w:br w:type="page"/>
      </w:r>
    </w:p>
    <w:p>
      <w:pPr>
        <w:pStyle w:val="Heading1"/>
        <w:tabs>
          <w:tab w:val="left" w:pos="360" w:leader="none"/>
          <w:tab w:val="left" w:pos="2268" w:leader="none"/>
          <w:tab w:val="left" w:pos="2700" w:leader="none"/>
        </w:tabs>
        <w:ind w:hanging="432" w:start="432" w:end="0"/>
        <w:rPr>
          <w:rFonts w:ascii="Times New Roman" w:hAnsi="Times New Roman" w:cs="Times New Roman"/>
          <w:sz w:val="22"/>
          <w:szCs w:val="22"/>
        </w:rPr>
      </w:pPr>
      <w:bookmarkStart w:id="13" w:name="__RefHeading___Toc113280958"/>
      <w:bookmarkEnd w:id="13"/>
      <w:r>
        <w:rPr>
          <w:rFonts w:cs="Times New Roman" w:ascii="Times New Roman" w:hAnsi="Times New Roman"/>
          <w:sz w:val="22"/>
          <w:szCs w:val="22"/>
        </w:rPr>
        <w:t>Introduction</w:t>
      </w:r>
    </w:p>
    <w:p>
      <w:pPr>
        <w:pStyle w:val="Para"/>
        <w:ind w:start="0" w:end="0"/>
        <w:rPr>
          <w:rFonts w:ascii="Times New Roman" w:hAnsi="Times New Roman" w:cs="Times New Roman"/>
          <w:sz w:val="22"/>
          <w:szCs w:val="22"/>
        </w:rPr>
      </w:pPr>
      <w:r>
        <w:rPr>
          <w:rFonts w:cs="Times New Roman" w:ascii="Times New Roman" w:hAnsi="Times New Roman"/>
          <w:sz w:val="22"/>
          <w:szCs w:val="22"/>
        </w:rPr>
        <w:t>This document provides a contingency plan for the recovery of Voucher processing services at Site 1 following a major incident that renders the premises unavailable.</w:t>
      </w:r>
    </w:p>
    <w:p>
      <w:pPr>
        <w:pStyle w:val="Para"/>
        <w:ind w:start="0" w:end="0"/>
        <w:rPr>
          <w:rFonts w:ascii="Times New Roman" w:hAnsi="Times New Roman" w:cs="Times New Roman"/>
          <w:sz w:val="22"/>
          <w:szCs w:val="22"/>
        </w:rPr>
      </w:pPr>
      <w:r>
        <w:rPr>
          <w:rFonts w:cs="Times New Roman" w:ascii="Times New Roman" w:hAnsi="Times New Roman"/>
          <w:sz w:val="22"/>
          <w:szCs w:val="22"/>
        </w:rPr>
      </w:r>
    </w:p>
    <w:p>
      <w:pPr>
        <w:pStyle w:val="Para"/>
        <w:ind w:start="0" w:end="0"/>
        <w:rPr>
          <w:rFonts w:ascii="Times New Roman" w:hAnsi="Times New Roman" w:cs="Times New Roman"/>
          <w:sz w:val="22"/>
          <w:szCs w:val="22"/>
        </w:rPr>
      </w:pPr>
      <w:r>
        <w:rPr>
          <w:rFonts w:cs="Times New Roman" w:ascii="Times New Roman" w:hAnsi="Times New Roman"/>
          <w:sz w:val="22"/>
          <w:szCs w:val="22"/>
        </w:rPr>
        <w:t>This document forms a part of the UK Business Continuity Plan and should be used in conjunction with the UK BCP.</w:t>
      </w:r>
    </w:p>
    <w:p>
      <w:pPr>
        <w:pStyle w:val="Para"/>
        <w:ind w:start="0" w:end="0"/>
        <w:rPr>
          <w:rFonts w:ascii="Times New Roman" w:hAnsi="Times New Roman" w:cs="Times New Roman"/>
          <w:sz w:val="22"/>
          <w:szCs w:val="22"/>
        </w:rPr>
      </w:pPr>
      <w:r>
        <w:rPr>
          <w:rFonts w:cs="Times New Roman" w:ascii="Times New Roman" w:hAnsi="Times New Roman"/>
          <w:sz w:val="22"/>
          <w:szCs w:val="22"/>
        </w:rPr>
      </w:r>
    </w:p>
    <w:p>
      <w:pPr>
        <w:pStyle w:val="Heading2"/>
        <w:numPr>
          <w:ilvl w:val="0"/>
          <w:numId w:val="0"/>
        </w:numPr>
        <w:tabs>
          <w:tab w:val="left" w:pos="360" w:leader="none"/>
          <w:tab w:val="left" w:pos="2844" w:leader="none"/>
        </w:tabs>
        <w:spacing w:before="240" w:after="120"/>
        <w:ind w:hanging="576" w:start="576" w:end="0"/>
        <w:rPr>
          <w:rFonts w:ascii="Times New Roman" w:hAnsi="Times New Roman" w:cs="Times New Roman"/>
          <w:sz w:val="22"/>
          <w:szCs w:val="22"/>
        </w:rPr>
      </w:pPr>
      <w:bookmarkStart w:id="14" w:name="__RefHeading___Toc113280959"/>
      <w:bookmarkEnd w:id="14"/>
      <w:r>
        <w:rPr>
          <w:rFonts w:cs="Times New Roman" w:ascii="Times New Roman" w:hAnsi="Times New Roman"/>
          <w:sz w:val="22"/>
          <w:szCs w:val="22"/>
        </w:rPr>
        <w:t>Point of Contact</w:t>
      </w:r>
    </w:p>
    <w:p>
      <w:pPr>
        <w:pStyle w:val="Para"/>
        <w:ind w:start="0" w:end="0"/>
        <w:rPr>
          <w:rFonts w:ascii="Times New Roman" w:hAnsi="Times New Roman" w:cs="Times New Roman"/>
          <w:sz w:val="22"/>
          <w:szCs w:val="22"/>
        </w:rPr>
      </w:pPr>
      <w:r>
        <w:rPr>
          <w:rFonts w:cs="Times New Roman" w:ascii="Times New Roman" w:hAnsi="Times New Roman"/>
          <w:sz w:val="22"/>
          <w:szCs w:val="22"/>
        </w:rPr>
        <w:t>Please address any questions arising from this document to:</w:t>
      </w:r>
    </w:p>
    <w:p>
      <w:pPr>
        <w:pStyle w:val="Para"/>
        <w:ind w:start="0" w:end="0"/>
        <w:rPr>
          <w:rFonts w:ascii="Times New Roman" w:hAnsi="Times New Roman" w:cs="Times New Roman"/>
          <w:b/>
          <w:bCs/>
          <w:sz w:val="22"/>
          <w:szCs w:val="22"/>
        </w:rPr>
      </w:pPr>
      <w:r>
        <w:rPr>
          <w:rFonts w:cs="Times New Roman" w:ascii="Times New Roman" w:hAnsi="Times New Roman"/>
          <w:b/>
          <w:bCs/>
          <w:sz w:val="22"/>
          <w:szCs w:val="22"/>
        </w:rPr>
        <w:t>xxxxxxxxx</w:t>
      </w:r>
    </w:p>
    <w:p>
      <w:pPr>
        <w:pStyle w:val="Para"/>
        <w:ind w:start="0" w:end="0"/>
        <w:rPr/>
      </w:pPr>
      <w:r>
        <w:rPr/>
        <w:t>Head of Operations</w:t>
      </w:r>
    </w:p>
    <w:tbl>
      <w:tblPr>
        <w:tblW w:w="6840" w:type="dxa"/>
        <w:jc w:val="start"/>
        <w:tblInd w:w="0" w:type="dxa"/>
        <w:tblLayout w:type="fixed"/>
        <w:tblCellMar>
          <w:top w:w="0" w:type="dxa"/>
          <w:start w:w="108" w:type="dxa"/>
          <w:bottom w:w="0" w:type="dxa"/>
          <w:end w:w="108" w:type="dxa"/>
        </w:tblCellMar>
      </w:tblPr>
      <w:tblGrid>
        <w:gridCol w:w="3060"/>
        <w:gridCol w:w="3780"/>
      </w:tblGrid>
      <w:tr>
        <w:trPr>
          <w:trHeight w:val="340" w:hRule="atLeast"/>
        </w:trPr>
        <w:tc>
          <w:tcPr>
            <w:tcW w:w="3060" w:type="dxa"/>
            <w:tcBorders/>
          </w:tcPr>
          <w:p>
            <w:pPr>
              <w:pStyle w:val="Normal"/>
              <w:spacing w:before="120" w:after="120"/>
              <w:rPr>
                <w:szCs w:val="22"/>
              </w:rPr>
            </w:pPr>
            <w:r>
              <w:rPr>
                <w:szCs w:val="22"/>
              </w:rPr>
              <w:t>xxxxxxxxxxxx</w:t>
            </w:r>
          </w:p>
        </w:tc>
        <w:tc>
          <w:tcPr>
            <w:tcW w:w="3780" w:type="dxa"/>
            <w:tcBorders/>
          </w:tcPr>
          <w:p>
            <w:pPr>
              <w:pStyle w:val="Normal"/>
              <w:spacing w:before="120" w:after="120"/>
              <w:rPr>
                <w:szCs w:val="22"/>
              </w:rPr>
            </w:pPr>
            <w:r>
              <w:rPr>
                <w:szCs w:val="22"/>
              </w:rPr>
              <w:t>xxxxxxxxxxxxxxxxxxxxxxxx</w:t>
            </w:r>
          </w:p>
        </w:tc>
      </w:tr>
      <w:tr>
        <w:trPr>
          <w:trHeight w:val="340" w:hRule="atLeast"/>
        </w:trPr>
        <w:tc>
          <w:tcPr>
            <w:tcW w:w="3060" w:type="dxa"/>
            <w:tcBorders/>
          </w:tcPr>
          <w:p>
            <w:pPr>
              <w:pStyle w:val="Normal"/>
              <w:spacing w:before="120" w:after="120"/>
              <w:rPr>
                <w:szCs w:val="22"/>
              </w:rPr>
            </w:pPr>
            <w:r>
              <w:rPr>
                <w:szCs w:val="22"/>
              </w:rPr>
              <w:t>xxxxxxxxxxxx</w:t>
            </w:r>
          </w:p>
        </w:tc>
        <w:tc>
          <w:tcPr>
            <w:tcW w:w="3780" w:type="dxa"/>
            <w:tcBorders/>
          </w:tcPr>
          <w:p>
            <w:pPr>
              <w:pStyle w:val="Normal"/>
              <w:spacing w:before="120" w:after="120"/>
              <w:rPr>
                <w:szCs w:val="22"/>
              </w:rPr>
            </w:pPr>
            <w:r>
              <w:rPr>
                <w:szCs w:val="22"/>
              </w:rPr>
              <w:t>xxxxxxxxxxxxxxxxxxxxxxxx</w:t>
            </w:r>
          </w:p>
        </w:tc>
      </w:tr>
      <w:tr>
        <w:trPr>
          <w:trHeight w:val="340" w:hRule="atLeast"/>
        </w:trPr>
        <w:tc>
          <w:tcPr>
            <w:tcW w:w="3060" w:type="dxa"/>
            <w:tcBorders/>
          </w:tcPr>
          <w:p>
            <w:pPr>
              <w:pStyle w:val="Normal"/>
              <w:spacing w:before="120" w:after="120"/>
              <w:rPr>
                <w:szCs w:val="22"/>
              </w:rPr>
            </w:pPr>
            <w:r>
              <w:rPr>
                <w:szCs w:val="22"/>
              </w:rPr>
              <w:t>xxxxxxxxxxxx</w:t>
            </w:r>
          </w:p>
        </w:tc>
        <w:tc>
          <w:tcPr>
            <w:tcW w:w="3780" w:type="dxa"/>
            <w:tcBorders/>
          </w:tcPr>
          <w:p>
            <w:pPr>
              <w:pStyle w:val="Normal"/>
              <w:spacing w:before="120" w:after="120"/>
              <w:rPr>
                <w:szCs w:val="22"/>
              </w:rPr>
            </w:pPr>
            <w:r>
              <w:rPr>
                <w:szCs w:val="22"/>
              </w:rPr>
              <w:t>xxxxxxxxxxxxxxxxxxxxxxxx</w:t>
            </w:r>
          </w:p>
        </w:tc>
      </w:tr>
      <w:tr>
        <w:trPr>
          <w:trHeight w:val="340" w:hRule="atLeast"/>
        </w:trPr>
        <w:tc>
          <w:tcPr>
            <w:tcW w:w="3060" w:type="dxa"/>
            <w:tcBorders/>
          </w:tcPr>
          <w:p>
            <w:pPr>
              <w:pStyle w:val="Normal"/>
              <w:spacing w:before="120" w:after="120"/>
              <w:rPr>
                <w:szCs w:val="22"/>
              </w:rPr>
            </w:pPr>
            <w:r>
              <w:rPr>
                <w:szCs w:val="22"/>
              </w:rPr>
              <w:t>xxxxxxxxxxxx</w:t>
            </w:r>
          </w:p>
        </w:tc>
        <w:tc>
          <w:tcPr>
            <w:tcW w:w="3780" w:type="dxa"/>
            <w:tcBorders/>
          </w:tcPr>
          <w:p>
            <w:pPr>
              <w:pStyle w:val="Normal"/>
              <w:spacing w:before="120" w:after="120"/>
              <w:rPr>
                <w:szCs w:val="22"/>
              </w:rPr>
            </w:pPr>
            <w:r>
              <w:rPr>
                <w:szCs w:val="22"/>
              </w:rPr>
              <w:t>xxxxxxxxxxxxxxxxxxxxxxxx</w:t>
            </w:r>
          </w:p>
        </w:tc>
      </w:tr>
      <w:tr>
        <w:trPr>
          <w:trHeight w:val="340" w:hRule="atLeast"/>
        </w:trPr>
        <w:tc>
          <w:tcPr>
            <w:tcW w:w="3060" w:type="dxa"/>
            <w:tcBorders/>
          </w:tcPr>
          <w:p>
            <w:pPr>
              <w:pStyle w:val="Normal"/>
              <w:spacing w:before="120" w:after="120"/>
              <w:rPr>
                <w:szCs w:val="22"/>
              </w:rPr>
            </w:pPr>
            <w:r>
              <w:rPr>
                <w:szCs w:val="22"/>
              </w:rPr>
              <w:t>xxxxxxxxxxxx</w:t>
            </w:r>
          </w:p>
        </w:tc>
        <w:tc>
          <w:tcPr>
            <w:tcW w:w="3780" w:type="dxa"/>
            <w:tcBorders/>
          </w:tcPr>
          <w:p>
            <w:pPr>
              <w:pStyle w:val="Normal"/>
              <w:spacing w:before="120" w:after="120"/>
              <w:rPr>
                <w:szCs w:val="22"/>
              </w:rPr>
            </w:pPr>
            <w:r>
              <w:rPr>
                <w:szCs w:val="22"/>
              </w:rPr>
              <w:t>xxxxxxxxxxxxxxxxxxxxxxxx</w:t>
            </w:r>
          </w:p>
        </w:tc>
      </w:tr>
    </w:tbl>
    <w:p>
      <w:pPr>
        <w:pStyle w:val="Normal"/>
        <w:rPr>
          <w:szCs w:val="22"/>
        </w:rPr>
      </w:pPr>
      <w:r>
        <w:rPr>
          <w:szCs w:val="22"/>
        </w:rPr>
      </w:r>
      <w:r>
        <w:br w:type="page"/>
      </w:r>
    </w:p>
    <w:p>
      <w:pPr>
        <w:pStyle w:val="Heading1"/>
        <w:tabs>
          <w:tab w:val="left" w:pos="360" w:leader="none"/>
          <w:tab w:val="left" w:pos="2268" w:leader="none"/>
          <w:tab w:val="left" w:pos="2700" w:leader="none"/>
        </w:tabs>
        <w:ind w:hanging="432" w:start="432" w:end="0"/>
        <w:rPr>
          <w:rFonts w:ascii="Times New Roman" w:hAnsi="Times New Roman" w:cs="Times New Roman"/>
          <w:sz w:val="22"/>
          <w:szCs w:val="22"/>
        </w:rPr>
      </w:pPr>
      <w:bookmarkStart w:id="15" w:name="__RefHeading___Toc113280960"/>
      <w:bookmarkEnd w:id="15"/>
      <w:r>
        <w:rPr>
          <w:rFonts w:cs="Times New Roman" w:ascii="Times New Roman" w:hAnsi="Times New Roman"/>
          <w:sz w:val="22"/>
          <w:szCs w:val="22"/>
        </w:rPr>
        <w:t>Incident Definition</w:t>
      </w:r>
    </w:p>
    <w:p>
      <w:pPr>
        <w:pStyle w:val="Para"/>
        <w:ind w:start="0" w:end="0"/>
        <w:rPr>
          <w:rFonts w:ascii="Times New Roman" w:hAnsi="Times New Roman" w:cs="Times New Roman"/>
          <w:sz w:val="22"/>
          <w:szCs w:val="22"/>
        </w:rPr>
      </w:pPr>
      <w:r>
        <w:rPr>
          <w:rFonts w:cs="Times New Roman" w:ascii="Times New Roman" w:hAnsi="Times New Roman"/>
          <w:sz w:val="22"/>
          <w:szCs w:val="22"/>
        </w:rPr>
        <w:t>This recovery plan caters for the unlikely event of the loss of the Site 1 Voucher Processing facilities for whatever reason; fire, flood, bomb alert, gas leak, other local area events forcing evacuation.</w:t>
      </w:r>
    </w:p>
    <w:p>
      <w:pPr>
        <w:pStyle w:val="Para"/>
        <w:ind w:start="0" w:end="0"/>
        <w:rPr>
          <w:rFonts w:ascii="Times New Roman" w:hAnsi="Times New Roman" w:cs="Times New Roman"/>
          <w:sz w:val="22"/>
          <w:szCs w:val="22"/>
        </w:rPr>
      </w:pPr>
      <w:r>
        <w:rPr>
          <w:rFonts w:cs="Times New Roman" w:ascii="Times New Roman" w:hAnsi="Times New Roman"/>
          <w:sz w:val="22"/>
          <w:szCs w:val="22"/>
        </w:rPr>
      </w:r>
    </w:p>
    <w:p>
      <w:pPr>
        <w:pStyle w:val="Para"/>
        <w:ind w:start="0" w:end="0"/>
        <w:rPr>
          <w:rFonts w:ascii="Times New Roman" w:hAnsi="Times New Roman" w:cs="Times New Roman"/>
          <w:sz w:val="22"/>
          <w:szCs w:val="22"/>
        </w:rPr>
      </w:pPr>
      <w:r>
        <w:rPr>
          <w:rFonts w:cs="Times New Roman" w:ascii="Times New Roman" w:hAnsi="Times New Roman"/>
          <w:sz w:val="22"/>
          <w:szCs w:val="22"/>
        </w:rPr>
        <w:t>For the purposes of this plan, it is assumed that:</w:t>
      </w:r>
    </w:p>
    <w:p>
      <w:pPr>
        <w:pStyle w:val="Para"/>
        <w:ind w:start="0" w:end="0"/>
        <w:rPr>
          <w:rFonts w:ascii="Times New Roman" w:hAnsi="Times New Roman" w:cs="Times New Roman"/>
          <w:sz w:val="22"/>
          <w:szCs w:val="22"/>
        </w:rPr>
      </w:pPr>
      <w:r>
        <w:rPr>
          <w:rFonts w:cs="Times New Roman" w:ascii="Times New Roman" w:hAnsi="Times New Roman"/>
          <w:sz w:val="22"/>
          <w:szCs w:val="22"/>
        </w:rPr>
      </w:r>
    </w:p>
    <w:p>
      <w:pPr>
        <w:pStyle w:val="ParaBullet"/>
        <w:numPr>
          <w:ilvl w:val="0"/>
          <w:numId w:val="3"/>
        </w:numPr>
        <w:ind w:hanging="567" w:start="1314" w:end="0"/>
        <w:rPr>
          <w:rFonts w:ascii="Times New Roman" w:hAnsi="Times New Roman" w:cs="Times New Roman"/>
          <w:sz w:val="22"/>
          <w:szCs w:val="22"/>
        </w:rPr>
      </w:pPr>
      <w:r>
        <w:rPr>
          <w:rFonts w:cs="Times New Roman" w:ascii="Times New Roman" w:hAnsi="Times New Roman"/>
          <w:sz w:val="22"/>
          <w:szCs w:val="22"/>
        </w:rPr>
        <w:t>The site itself is not available or accessible for whatever reason for a projected period in excess of 8 hours</w:t>
      </w:r>
    </w:p>
    <w:p>
      <w:pPr>
        <w:pStyle w:val="ParaBullet"/>
        <w:numPr>
          <w:ilvl w:val="0"/>
          <w:numId w:val="3"/>
        </w:numPr>
        <w:ind w:hanging="567" w:start="1314" w:end="0"/>
        <w:rPr>
          <w:rFonts w:ascii="Times New Roman" w:hAnsi="Times New Roman" w:cs="Times New Roman"/>
          <w:sz w:val="22"/>
          <w:szCs w:val="22"/>
        </w:rPr>
      </w:pPr>
      <w:r>
        <w:rPr>
          <w:rFonts w:cs="Times New Roman" w:ascii="Times New Roman" w:hAnsi="Times New Roman"/>
          <w:sz w:val="22"/>
          <w:szCs w:val="22"/>
        </w:rPr>
        <w:t>The processing equipment (scanners and key stations) is not available</w:t>
      </w:r>
    </w:p>
    <w:p>
      <w:pPr>
        <w:pStyle w:val="ParaBullet"/>
        <w:numPr>
          <w:ilvl w:val="0"/>
          <w:numId w:val="3"/>
        </w:numPr>
        <w:ind w:hanging="567" w:start="1314" w:end="0"/>
        <w:rPr>
          <w:rFonts w:ascii="Times New Roman" w:hAnsi="Times New Roman" w:cs="Times New Roman"/>
          <w:sz w:val="22"/>
          <w:szCs w:val="22"/>
        </w:rPr>
      </w:pPr>
      <w:r>
        <w:rPr>
          <w:rFonts w:cs="Times New Roman" w:ascii="Times New Roman" w:hAnsi="Times New Roman"/>
          <w:sz w:val="22"/>
          <w:szCs w:val="22"/>
        </w:rPr>
        <w:t>The members of staff are available.</w:t>
      </w:r>
    </w:p>
    <w:p>
      <w:pPr>
        <w:pStyle w:val="Para"/>
        <w:ind w:start="0" w:end="0"/>
        <w:rPr>
          <w:rFonts w:ascii="Times New Roman" w:hAnsi="Times New Roman" w:cs="Times New Roman"/>
          <w:sz w:val="22"/>
          <w:szCs w:val="22"/>
        </w:rPr>
      </w:pPr>
      <w:r>
        <w:rPr>
          <w:rFonts w:cs="Times New Roman" w:ascii="Times New Roman" w:hAnsi="Times New Roman"/>
          <w:sz w:val="22"/>
          <w:szCs w:val="22"/>
        </w:rPr>
      </w:r>
    </w:p>
    <w:p>
      <w:pPr>
        <w:pStyle w:val="Para"/>
        <w:ind w:start="0" w:end="0"/>
        <w:rPr>
          <w:rFonts w:ascii="Times New Roman" w:hAnsi="Times New Roman" w:cs="Times New Roman"/>
          <w:sz w:val="22"/>
          <w:szCs w:val="22"/>
        </w:rPr>
      </w:pPr>
      <w:r>
        <w:rPr>
          <w:rFonts w:cs="Times New Roman" w:ascii="Times New Roman" w:hAnsi="Times New Roman"/>
          <w:sz w:val="22"/>
          <w:szCs w:val="22"/>
        </w:rPr>
        <w:t>This plan assumes total non-availability of the Site 1 facilities. However parts of this plan may be used for other, lesser, eventualities such as prolonged equipment or network failure.</w:t>
      </w:r>
    </w:p>
    <w:p>
      <w:pPr>
        <w:pStyle w:val="Para"/>
        <w:ind w:start="0" w:end="0"/>
        <w:rPr>
          <w:rFonts w:ascii="Times New Roman" w:hAnsi="Times New Roman" w:cs="Times New Roman"/>
          <w:sz w:val="22"/>
          <w:szCs w:val="22"/>
        </w:rPr>
      </w:pPr>
      <w:r>
        <w:rPr>
          <w:rFonts w:cs="Times New Roman" w:ascii="Times New Roman" w:hAnsi="Times New Roman"/>
          <w:sz w:val="22"/>
          <w:szCs w:val="22"/>
        </w:rPr>
      </w:r>
      <w:r>
        <w:br w:type="page"/>
      </w:r>
    </w:p>
    <w:p>
      <w:pPr>
        <w:pStyle w:val="Heading1"/>
        <w:tabs>
          <w:tab w:val="left" w:pos="360" w:leader="none"/>
          <w:tab w:val="left" w:pos="2268" w:leader="none"/>
          <w:tab w:val="left" w:pos="2700" w:leader="none"/>
        </w:tabs>
        <w:ind w:hanging="432" w:start="432" w:end="0"/>
        <w:rPr>
          <w:rFonts w:ascii="Times New Roman" w:hAnsi="Times New Roman" w:cs="Times New Roman"/>
          <w:sz w:val="22"/>
          <w:szCs w:val="22"/>
        </w:rPr>
      </w:pPr>
      <w:bookmarkStart w:id="16" w:name="__RefHeading___Toc113280961"/>
      <w:bookmarkEnd w:id="16"/>
      <w:r>
        <w:rPr>
          <w:rFonts w:cs="Times New Roman" w:ascii="Times New Roman" w:hAnsi="Times New Roman"/>
          <w:sz w:val="22"/>
          <w:szCs w:val="22"/>
        </w:rPr>
        <w:t>Recovery Plan Overview</w:t>
      </w:r>
    </w:p>
    <w:p>
      <w:pPr>
        <w:pStyle w:val="Para"/>
        <w:ind w:start="0" w:end="0"/>
        <w:rPr>
          <w:rFonts w:ascii="Times New Roman" w:hAnsi="Times New Roman" w:cs="Times New Roman"/>
          <w:sz w:val="22"/>
          <w:szCs w:val="22"/>
        </w:rPr>
      </w:pPr>
      <w:r>
        <w:rPr>
          <w:rFonts w:cs="Times New Roman" w:ascii="Times New Roman" w:hAnsi="Times New Roman"/>
          <w:sz w:val="22"/>
          <w:szCs w:val="22"/>
        </w:rPr>
        <w:t>This section of the document provides an overview of the recovery plan from its invocation to closedown. This plan forms a subset of the UK BCP and will be initiated by the Emergency Response Team.</w:t>
      </w:r>
    </w:p>
    <w:p>
      <w:pPr>
        <w:pStyle w:val="Para"/>
        <w:ind w:start="0" w:end="0"/>
        <w:rPr>
          <w:rFonts w:ascii="Times New Roman" w:hAnsi="Times New Roman" w:cs="Times New Roman"/>
          <w:sz w:val="22"/>
          <w:szCs w:val="22"/>
        </w:rPr>
      </w:pPr>
      <w:r>
        <w:rPr>
          <w:rFonts w:cs="Times New Roman" w:ascii="Times New Roman" w:hAnsi="Times New Roman"/>
          <w:sz w:val="22"/>
          <w:szCs w:val="22"/>
        </w:rPr>
      </w:r>
    </w:p>
    <w:p>
      <w:pPr>
        <w:pStyle w:val="Para"/>
        <w:ind w:start="0" w:end="0"/>
        <w:rPr>
          <w:rFonts w:ascii="Times New Roman" w:hAnsi="Times New Roman" w:cs="Times New Roman"/>
          <w:sz w:val="22"/>
          <w:szCs w:val="22"/>
        </w:rPr>
      </w:pPr>
      <w:r>
        <w:rPr>
          <w:rFonts w:cs="Times New Roman" w:ascii="Times New Roman" w:hAnsi="Times New Roman"/>
          <w:sz w:val="22"/>
          <w:szCs w:val="22"/>
        </w:rPr>
        <w:t>Upon invocation of this plan, by the Emergency Response Team, the activities split into two groups</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Manual handling and preparation at Site 1</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Scanning, KFI, adjustment &amp; transmission at Site 2</w:t>
      </w:r>
    </w:p>
    <w:p>
      <w:pPr>
        <w:pStyle w:val="Para"/>
        <w:ind w:start="0" w:end="0"/>
        <w:rPr>
          <w:rFonts w:ascii="Times New Roman" w:hAnsi="Times New Roman" w:cs="Times New Roman"/>
          <w:sz w:val="22"/>
          <w:szCs w:val="22"/>
        </w:rPr>
      </w:pPr>
      <w:r>
        <w:rPr>
          <w:rFonts w:cs="Times New Roman" w:ascii="Times New Roman" w:hAnsi="Times New Roman"/>
          <w:sz w:val="22"/>
          <w:szCs w:val="22"/>
        </w:rPr>
      </w:r>
    </w:p>
    <w:p>
      <w:pPr>
        <w:pStyle w:val="Para"/>
        <w:ind w:start="0" w:end="0"/>
        <w:rPr>
          <w:rFonts w:ascii="Times New Roman" w:hAnsi="Times New Roman" w:cs="Times New Roman"/>
          <w:sz w:val="22"/>
          <w:szCs w:val="22"/>
        </w:rPr>
      </w:pPr>
      <w:r>
        <w:rPr>
          <w:rFonts w:cs="Times New Roman" w:ascii="Times New Roman" w:hAnsi="Times New Roman"/>
          <w:sz w:val="22"/>
          <w:szCs w:val="22"/>
        </w:rPr>
        <w:t>Staff associated with manual handling will be redirected to a local hotel or business centre where they will continue to receive, sort and batch vouchers for scanning.</w:t>
      </w:r>
    </w:p>
    <w:p>
      <w:pPr>
        <w:pStyle w:val="Para"/>
        <w:ind w:start="0" w:end="0"/>
        <w:rPr>
          <w:rFonts w:ascii="Times New Roman" w:hAnsi="Times New Roman" w:cs="Times New Roman"/>
          <w:sz w:val="22"/>
          <w:szCs w:val="22"/>
        </w:rPr>
      </w:pPr>
      <w:r>
        <w:rPr>
          <w:rFonts w:cs="Times New Roman" w:ascii="Times New Roman" w:hAnsi="Times New Roman"/>
          <w:sz w:val="22"/>
          <w:szCs w:val="22"/>
        </w:rPr>
        <w:t>Staff associated with scanning, keying, adjustment and data transmission will be redirected to Site 2, based upon their ability to relocate for a period of time.</w:t>
      </w:r>
    </w:p>
    <w:p>
      <w:pPr>
        <w:pStyle w:val="Para"/>
        <w:ind w:start="0" w:end="0"/>
        <w:rPr>
          <w:rFonts w:ascii="Times New Roman" w:hAnsi="Times New Roman" w:cs="Times New Roman"/>
          <w:sz w:val="22"/>
          <w:szCs w:val="22"/>
        </w:rPr>
      </w:pPr>
      <w:r>
        <w:rPr>
          <w:rFonts w:cs="Times New Roman" w:ascii="Times New Roman" w:hAnsi="Times New Roman"/>
          <w:sz w:val="22"/>
          <w:szCs w:val="22"/>
        </w:rPr>
        <w:t>Voucher deliveries will need to be redirected to the local alternate site for batching. Once batched, either the Neptune’s own transport or courier will be used to transfer the vouchers to Site 2 for scanning and transmission to Streamline.</w:t>
      </w:r>
    </w:p>
    <w:p>
      <w:pPr>
        <w:pStyle w:val="Para"/>
        <w:ind w:start="0" w:end="0"/>
        <w:rPr>
          <w:rFonts w:ascii="Times New Roman" w:hAnsi="Times New Roman" w:cs="Times New Roman"/>
          <w:sz w:val="22"/>
          <w:szCs w:val="22"/>
        </w:rPr>
      </w:pPr>
      <w:r>
        <w:rPr>
          <w:rFonts w:cs="Times New Roman" w:ascii="Times New Roman" w:hAnsi="Times New Roman"/>
          <w:sz w:val="22"/>
          <w:szCs w:val="22"/>
        </w:rPr>
      </w:r>
    </w:p>
    <w:p>
      <w:pPr>
        <w:pStyle w:val="Para"/>
        <w:ind w:start="0" w:end="0"/>
        <w:rPr>
          <w:rFonts w:ascii="Times New Roman" w:hAnsi="Times New Roman" w:cs="Times New Roman"/>
          <w:sz w:val="22"/>
          <w:szCs w:val="22"/>
        </w:rPr>
      </w:pPr>
      <w:r>
        <w:rPr>
          <w:rFonts w:cs="Times New Roman" w:ascii="Times New Roman" w:hAnsi="Times New Roman"/>
          <w:sz w:val="22"/>
          <w:szCs w:val="22"/>
        </w:rPr>
        <w:t>In Site 2 the Technical team will prepare a room to receive the staff from Site 1 and establish the backup server for voucher processing. The technical infrastructure required includes PCs, network hub, a suitable scanner, printer and a server to receive the Eyes &amp; Hands software and the Vouchers application/database.</w:t>
      </w:r>
    </w:p>
    <w:p>
      <w:pPr>
        <w:pStyle w:val="Para"/>
        <w:ind w:start="0" w:end="0"/>
        <w:rPr>
          <w:rFonts w:ascii="Times New Roman" w:hAnsi="Times New Roman" w:cs="Times New Roman"/>
          <w:sz w:val="22"/>
          <w:szCs w:val="22"/>
        </w:rPr>
      </w:pPr>
      <w:r>
        <w:rPr>
          <w:rFonts w:cs="Times New Roman" w:ascii="Times New Roman" w:hAnsi="Times New Roman"/>
          <w:sz w:val="22"/>
          <w:szCs w:val="22"/>
        </w:rPr>
        <w:t>Vouchers received at Site 2 will be scanned, verified, adjusted and transmitted from Site 2 to Streamline.</w:t>
      </w:r>
    </w:p>
    <w:p>
      <w:pPr>
        <w:pStyle w:val="Para"/>
        <w:ind w:start="0" w:end="0"/>
        <w:rPr>
          <w:rFonts w:ascii="Times New Roman" w:hAnsi="Times New Roman" w:cs="Times New Roman"/>
          <w:sz w:val="22"/>
          <w:szCs w:val="22"/>
        </w:rPr>
      </w:pPr>
      <w:r>
        <w:rPr>
          <w:rFonts w:cs="Times New Roman" w:ascii="Times New Roman" w:hAnsi="Times New Roman"/>
          <w:sz w:val="22"/>
          <w:szCs w:val="22"/>
        </w:rPr>
        <w:t>The batching team at Site 1 will have dial-up access to the Site 2 server to enable batch control sheets to be generated for use at Site 2.</w:t>
      </w:r>
    </w:p>
    <w:p>
      <w:pPr>
        <w:pStyle w:val="Para"/>
        <w:ind w:start="0" w:end="0"/>
        <w:rPr>
          <w:rFonts w:ascii="Times New Roman" w:hAnsi="Times New Roman" w:cs="Times New Roman"/>
          <w:sz w:val="22"/>
          <w:szCs w:val="22"/>
        </w:rPr>
      </w:pPr>
      <w:r>
        <w:rPr>
          <w:rFonts w:cs="Times New Roman" w:ascii="Times New Roman" w:hAnsi="Times New Roman"/>
          <w:sz w:val="22"/>
          <w:szCs w:val="22"/>
        </w:rPr>
        <w:t>Following the end of the incident the following activities will be necessary:</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Return staff to their base location</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Retain all images and data generated on the recovery server in case of retrieval requests</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Redirect the voucher deliveries back to Site 1</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Review the execution of the plan for possible improvements</w:t>
      </w:r>
    </w:p>
    <w:p>
      <w:pPr>
        <w:pStyle w:val="Para"/>
        <w:ind w:start="0" w:end="0"/>
        <w:rPr>
          <w:rFonts w:ascii="Times New Roman" w:hAnsi="Times New Roman" w:cs="Times New Roman"/>
          <w:sz w:val="22"/>
          <w:szCs w:val="22"/>
        </w:rPr>
      </w:pPr>
      <w:r>
        <w:rPr>
          <w:rFonts w:cs="Times New Roman" w:ascii="Times New Roman" w:hAnsi="Times New Roman"/>
          <w:sz w:val="22"/>
          <w:szCs w:val="22"/>
        </w:rPr>
      </w:r>
    </w:p>
    <w:p>
      <w:pPr>
        <w:pStyle w:val="Para"/>
        <w:ind w:start="0" w:end="0"/>
        <w:rPr>
          <w:rFonts w:ascii="Times New Roman" w:hAnsi="Times New Roman" w:cs="Times New Roman"/>
          <w:sz w:val="22"/>
          <w:szCs w:val="22"/>
        </w:rPr>
      </w:pPr>
      <w:r>
        <w:rPr>
          <w:rFonts w:cs="Times New Roman" w:ascii="Times New Roman" w:hAnsi="Times New Roman"/>
          <w:sz w:val="22"/>
          <w:szCs w:val="22"/>
        </w:rPr>
        <w:t>The following sections look at these activities in more detail.</w:t>
      </w:r>
    </w:p>
    <w:p>
      <w:pPr>
        <w:pStyle w:val="Para"/>
        <w:ind w:start="0" w:end="0"/>
        <w:rPr>
          <w:rFonts w:ascii="Times New Roman" w:hAnsi="Times New Roman" w:cs="Times New Roman"/>
          <w:sz w:val="22"/>
          <w:szCs w:val="22"/>
        </w:rPr>
      </w:pPr>
      <w:r>
        <w:rPr>
          <w:rFonts w:cs="Times New Roman" w:ascii="Times New Roman" w:hAnsi="Times New Roman"/>
          <w:sz w:val="22"/>
          <w:szCs w:val="22"/>
        </w:rPr>
      </w:r>
      <w:r>
        <w:br w:type="page"/>
      </w:r>
    </w:p>
    <w:p>
      <w:pPr>
        <w:pStyle w:val="Heading1"/>
        <w:tabs>
          <w:tab w:val="left" w:pos="360" w:leader="none"/>
          <w:tab w:val="left" w:pos="2268" w:leader="none"/>
          <w:tab w:val="left" w:pos="2700" w:leader="none"/>
        </w:tabs>
        <w:ind w:hanging="432" w:start="432" w:end="0"/>
        <w:rPr>
          <w:rFonts w:ascii="Times New Roman" w:hAnsi="Times New Roman" w:cs="Times New Roman"/>
          <w:sz w:val="22"/>
          <w:szCs w:val="22"/>
        </w:rPr>
      </w:pPr>
      <w:bookmarkStart w:id="17" w:name="__RefHeading___Toc113280962"/>
      <w:bookmarkEnd w:id="17"/>
      <w:r>
        <w:rPr>
          <w:rFonts w:cs="Times New Roman" w:ascii="Times New Roman" w:hAnsi="Times New Roman"/>
          <w:sz w:val="22"/>
          <w:szCs w:val="22"/>
        </w:rPr>
        <w:t>Contingency Plan Processes</w:t>
      </w:r>
    </w:p>
    <w:p>
      <w:pPr>
        <w:pStyle w:val="Heading2"/>
        <w:numPr>
          <w:ilvl w:val="0"/>
          <w:numId w:val="0"/>
        </w:numPr>
        <w:tabs>
          <w:tab w:val="left" w:pos="360" w:leader="none"/>
          <w:tab w:val="left" w:pos="2844" w:leader="none"/>
        </w:tabs>
        <w:spacing w:before="240" w:after="120"/>
        <w:ind w:hanging="576" w:start="576" w:end="0"/>
        <w:rPr>
          <w:rFonts w:ascii="Times New Roman" w:hAnsi="Times New Roman" w:cs="Times New Roman"/>
          <w:sz w:val="22"/>
          <w:szCs w:val="22"/>
        </w:rPr>
      </w:pPr>
      <w:bookmarkStart w:id="18" w:name="__RefHeading___Toc113280963"/>
      <w:bookmarkEnd w:id="18"/>
      <w:r>
        <w:rPr>
          <w:rFonts w:cs="Times New Roman" w:ascii="Times New Roman" w:hAnsi="Times New Roman"/>
          <w:sz w:val="22"/>
          <w:szCs w:val="22"/>
        </w:rPr>
        <w:t>Invocation</w:t>
      </w:r>
    </w:p>
    <w:p>
      <w:pPr>
        <w:pStyle w:val="Para"/>
        <w:ind w:start="0" w:end="0"/>
        <w:rPr>
          <w:rFonts w:ascii="Times New Roman" w:hAnsi="Times New Roman" w:cs="Times New Roman"/>
          <w:sz w:val="22"/>
          <w:szCs w:val="22"/>
        </w:rPr>
      </w:pPr>
      <w:r>
        <w:rPr>
          <w:rFonts w:cs="Times New Roman" w:ascii="Times New Roman" w:hAnsi="Times New Roman"/>
          <w:sz w:val="22"/>
          <w:szCs w:val="22"/>
        </w:rPr>
        <w:t xml:space="preserve">Any person determining that there is an incident at Site 1 will call the Neptune Support Centre (OSC) to declare a severity 1 incident. This action will alert the OSC and initiate the BCP process. </w:t>
      </w:r>
    </w:p>
    <w:p>
      <w:pPr>
        <w:pStyle w:val="Para"/>
        <w:ind w:start="0" w:end="0"/>
        <w:rPr>
          <w:rFonts w:ascii="Times New Roman" w:hAnsi="Times New Roman" w:cs="Times New Roman"/>
          <w:sz w:val="22"/>
          <w:szCs w:val="22"/>
        </w:rPr>
      </w:pPr>
      <w:r>
        <w:rPr>
          <w:rFonts w:cs="Times New Roman" w:ascii="Times New Roman" w:hAnsi="Times New Roman"/>
          <w:sz w:val="22"/>
          <w:szCs w:val="22"/>
        </w:rPr>
        <w:t>The Site Director or Deputy will be informed straightaway by the OSC Manager (or Deputy) of any Severity 1 Incident raised at UK site which is affecting the whole site and may require the business continuity process to be invoked.</w:t>
      </w:r>
    </w:p>
    <w:p>
      <w:pPr>
        <w:pStyle w:val="Para"/>
        <w:ind w:start="0" w:end="0"/>
        <w:rPr>
          <w:rFonts w:ascii="Times New Roman" w:hAnsi="Times New Roman" w:cs="Times New Roman"/>
          <w:sz w:val="22"/>
          <w:szCs w:val="22"/>
        </w:rPr>
      </w:pPr>
      <w:r>
        <w:rPr>
          <w:rFonts w:cs="Times New Roman" w:ascii="Times New Roman" w:hAnsi="Times New Roman"/>
          <w:sz w:val="22"/>
          <w:szCs w:val="22"/>
        </w:rPr>
        <w:t>The Site Director will form the Emergency Response Team (ERT) according to the needs of the particular Incident raised.</w:t>
      </w:r>
    </w:p>
    <w:p>
      <w:pPr>
        <w:pStyle w:val="Para"/>
        <w:ind w:start="0" w:end="0"/>
        <w:rPr>
          <w:rFonts w:ascii="Times New Roman" w:hAnsi="Times New Roman" w:cs="Times New Roman"/>
          <w:sz w:val="22"/>
          <w:szCs w:val="22"/>
        </w:rPr>
      </w:pPr>
      <w:r>
        <w:rPr>
          <w:rFonts w:cs="Times New Roman" w:ascii="Times New Roman" w:hAnsi="Times New Roman"/>
          <w:sz w:val="22"/>
          <w:szCs w:val="22"/>
        </w:rPr>
        <w:t>The ERT will conduct the following activities:</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Notify the Service Delivery Manager to begin escalation communications with contacts</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Establish a “rally point” near Site 1 to intercept/hold staff and redirect as appropriate. This will depend on the nature of the incident and the extent of access to the local area.</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Contact Site 1 business managers to notify their staff (either directly or via the agencies)</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Establish an alternate location for receipt and manual handling of vouchers</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Alert the voucher courier to redirect deliveries to the confirmed alternate location, via escalation to Streamline Supplier Manager</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Delegate member(s) of staff to gather the essential stationery items for manual handling and deliver to alternate location</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Ensure availability of backup laptop for alternate location. If not immediately available then arrange shipment of backup from Site 2</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Redirect staff to alternate location for manual handling</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Determine availability of staff to relocate to Site 2 and arrange transport. Notify Site 2 with number expected so that hotel accommodation can be arranged.</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Report progress and issues to Site Director</w:t>
      </w:r>
    </w:p>
    <w:p>
      <w:pPr>
        <w:pStyle w:val="Para"/>
        <w:ind w:start="0" w:end="0"/>
        <w:rPr>
          <w:rFonts w:ascii="Times New Roman" w:hAnsi="Times New Roman" w:cs="Times New Roman"/>
          <w:sz w:val="22"/>
          <w:szCs w:val="22"/>
        </w:rPr>
      </w:pPr>
      <w:r>
        <w:rPr>
          <w:rFonts w:cs="Times New Roman" w:ascii="Times New Roman" w:hAnsi="Times New Roman"/>
          <w:sz w:val="22"/>
          <w:szCs w:val="22"/>
        </w:rPr>
      </w:r>
    </w:p>
    <w:p>
      <w:pPr>
        <w:pStyle w:val="Heading2"/>
        <w:numPr>
          <w:ilvl w:val="0"/>
          <w:numId w:val="0"/>
        </w:numPr>
        <w:tabs>
          <w:tab w:val="left" w:pos="360" w:leader="none"/>
          <w:tab w:val="left" w:pos="2844" w:leader="none"/>
        </w:tabs>
        <w:spacing w:before="240" w:after="120"/>
        <w:ind w:hanging="576" w:start="576" w:end="0"/>
        <w:rPr>
          <w:rFonts w:ascii="Times New Roman" w:hAnsi="Times New Roman" w:cs="Times New Roman"/>
          <w:sz w:val="22"/>
          <w:szCs w:val="22"/>
        </w:rPr>
      </w:pPr>
      <w:bookmarkStart w:id="19" w:name="__RefHeading___Toc113280964"/>
      <w:bookmarkEnd w:id="19"/>
      <w:r>
        <w:rPr>
          <w:rFonts w:cs="Times New Roman" w:ascii="Times New Roman" w:hAnsi="Times New Roman"/>
          <w:sz w:val="22"/>
          <w:szCs w:val="22"/>
        </w:rPr>
        <w:t>Site 1 Alternate Site Process</w:t>
      </w:r>
    </w:p>
    <w:p>
      <w:pPr>
        <w:pStyle w:val="Para"/>
        <w:ind w:start="0" w:end="0"/>
        <w:rPr>
          <w:rFonts w:ascii="Times New Roman" w:hAnsi="Times New Roman" w:cs="Times New Roman"/>
          <w:sz w:val="22"/>
          <w:szCs w:val="22"/>
        </w:rPr>
      </w:pPr>
      <w:r>
        <w:rPr>
          <w:rFonts w:cs="Times New Roman" w:ascii="Times New Roman" w:hAnsi="Times New Roman"/>
          <w:sz w:val="22"/>
          <w:szCs w:val="22"/>
        </w:rPr>
        <w:t xml:space="preserve">The following activities will be carried out, at the chosen alternate site, by the Voucher Preparation Supervisor or their deputy: </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Notify XYZ client of contact telephone number of alternate location for communication</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Establish room for processing</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Install equipment (Laptop PC and printer)</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Gather essential stationery items</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Arrange food &amp; drink as necessary</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Contact Technical Manager to confirm readiness to process</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Establish dial-up communications with DR server in Site 2, when directed by Technical Manager</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Receive vouchers</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Batch vouchers as per business as usual</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Prepare batched vouchers for transportation</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Arrange transportation of vouchers with the Neptune van driver or courier</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Report progress and issues to ERT</w:t>
      </w:r>
    </w:p>
    <w:p>
      <w:pPr>
        <w:pStyle w:val="Heading2"/>
        <w:numPr>
          <w:ilvl w:val="0"/>
          <w:numId w:val="0"/>
        </w:numPr>
        <w:tabs>
          <w:tab w:val="left" w:pos="360" w:leader="none"/>
          <w:tab w:val="left" w:pos="2844" w:leader="none"/>
        </w:tabs>
        <w:spacing w:before="240" w:after="120"/>
        <w:ind w:hanging="576" w:start="576" w:end="0"/>
        <w:rPr>
          <w:rFonts w:ascii="Times New Roman" w:hAnsi="Times New Roman" w:cs="Times New Roman"/>
          <w:sz w:val="22"/>
          <w:szCs w:val="22"/>
        </w:rPr>
      </w:pPr>
      <w:bookmarkStart w:id="20" w:name="__RefHeading___Toc113280965"/>
      <w:bookmarkEnd w:id="20"/>
      <w:r>
        <w:rPr>
          <w:rFonts w:cs="Times New Roman" w:ascii="Times New Roman" w:hAnsi="Times New Roman"/>
          <w:sz w:val="22"/>
          <w:szCs w:val="22"/>
        </w:rPr>
        <w:t>Site 2 Process</w:t>
      </w:r>
    </w:p>
    <w:p>
      <w:pPr>
        <w:pStyle w:val="Para"/>
        <w:ind w:start="0" w:end="0"/>
        <w:rPr>
          <w:rFonts w:ascii="Times New Roman" w:hAnsi="Times New Roman" w:cs="Times New Roman"/>
          <w:sz w:val="22"/>
          <w:szCs w:val="22"/>
        </w:rPr>
      </w:pPr>
      <w:r>
        <w:rPr>
          <w:rFonts w:cs="Times New Roman" w:ascii="Times New Roman" w:hAnsi="Times New Roman"/>
          <w:sz w:val="22"/>
          <w:szCs w:val="22"/>
        </w:rPr>
        <w:t xml:space="preserve">The following activities will be carried out, at Site 2, by the Facilities Manager (Site 2) or their deputy: </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Nominate room to be used for Site 1 scanning, KFI &amp; adjustment</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Ensure sufficient power outlets for 9 PCs, 1 scanner, 1 printer</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Ensure telephone in room</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Notify the ERT of room location and readiness</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Report progress and issues to ERT</w:t>
      </w:r>
    </w:p>
    <w:p>
      <w:pPr>
        <w:pStyle w:val="bodytextbullet"/>
        <w:numPr>
          <w:ilvl w:val="0"/>
          <w:numId w:val="0"/>
        </w:numPr>
        <w:ind w:hanging="360" w:start="360" w:end="0"/>
        <w:rPr>
          <w:rFonts w:ascii="Times New Roman" w:hAnsi="Times New Roman" w:cs="Times New Roman"/>
          <w:sz w:val="22"/>
          <w:szCs w:val="22"/>
        </w:rPr>
      </w:pPr>
      <w:r>
        <w:rPr>
          <w:rFonts w:cs="Times New Roman" w:ascii="Times New Roman" w:hAnsi="Times New Roman"/>
          <w:sz w:val="22"/>
          <w:szCs w:val="22"/>
        </w:rPr>
      </w:r>
    </w:p>
    <w:p>
      <w:pPr>
        <w:pStyle w:val="Para"/>
        <w:ind w:start="0" w:end="0"/>
        <w:rPr>
          <w:rFonts w:ascii="Times New Roman" w:hAnsi="Times New Roman" w:cs="Times New Roman"/>
          <w:sz w:val="22"/>
          <w:szCs w:val="22"/>
        </w:rPr>
      </w:pPr>
      <w:r>
        <w:rPr>
          <w:rFonts w:cs="Times New Roman" w:ascii="Times New Roman" w:hAnsi="Times New Roman"/>
          <w:sz w:val="22"/>
          <w:szCs w:val="22"/>
        </w:rPr>
        <w:t xml:space="preserve">The following activities will be carried out, at Site 2, by the Technical Manager or their deputy: </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Source, install and configure 9 PCs in room prepared as above</w:t>
      </w:r>
    </w:p>
    <w:p>
      <w:pPr>
        <w:pStyle w:val="bodytextbullet"/>
        <w:numPr>
          <w:ilvl w:val="0"/>
          <w:numId w:val="4"/>
        </w:numPr>
        <w:tabs>
          <w:tab w:val="clear" w:pos="720"/>
          <w:tab w:val="left" w:pos="1440" w:leader="none"/>
        </w:tabs>
        <w:ind w:hanging="360" w:start="1440" w:end="0"/>
        <w:rPr>
          <w:rFonts w:ascii="Times New Roman" w:hAnsi="Times New Roman" w:cs="Times New Roman"/>
          <w:sz w:val="22"/>
          <w:szCs w:val="22"/>
        </w:rPr>
      </w:pPr>
      <w:r>
        <w:rPr>
          <w:rFonts w:cs="Times New Roman" w:ascii="Times New Roman" w:hAnsi="Times New Roman"/>
          <w:sz w:val="22"/>
          <w:szCs w:val="22"/>
        </w:rPr>
        <w:t>6 PCs for KFI only</w:t>
      </w:r>
    </w:p>
    <w:p>
      <w:pPr>
        <w:pStyle w:val="bodytextbullet"/>
        <w:numPr>
          <w:ilvl w:val="0"/>
          <w:numId w:val="4"/>
        </w:numPr>
        <w:tabs>
          <w:tab w:val="clear" w:pos="720"/>
          <w:tab w:val="left" w:pos="1440" w:leader="none"/>
        </w:tabs>
        <w:ind w:hanging="360" w:start="1440" w:end="0"/>
        <w:rPr>
          <w:rFonts w:ascii="Times New Roman" w:hAnsi="Times New Roman" w:cs="Times New Roman"/>
          <w:sz w:val="22"/>
          <w:szCs w:val="22"/>
        </w:rPr>
      </w:pPr>
      <w:r>
        <w:rPr>
          <w:rFonts w:cs="Times New Roman" w:ascii="Times New Roman" w:hAnsi="Times New Roman"/>
          <w:sz w:val="22"/>
          <w:szCs w:val="22"/>
        </w:rPr>
        <w:t>4 PCs for KFI &amp; adjustments processing</w:t>
      </w:r>
    </w:p>
    <w:p>
      <w:pPr>
        <w:pStyle w:val="bodytextbullet"/>
        <w:numPr>
          <w:ilvl w:val="0"/>
          <w:numId w:val="4"/>
        </w:numPr>
        <w:tabs>
          <w:tab w:val="clear" w:pos="720"/>
          <w:tab w:val="left" w:pos="1440" w:leader="none"/>
        </w:tabs>
        <w:ind w:hanging="360" w:start="1440" w:end="0"/>
        <w:rPr>
          <w:rFonts w:ascii="Times New Roman" w:hAnsi="Times New Roman" w:cs="Times New Roman"/>
          <w:sz w:val="22"/>
          <w:szCs w:val="22"/>
        </w:rPr>
      </w:pPr>
      <w:r>
        <w:rPr>
          <w:rFonts w:cs="Times New Roman" w:ascii="Times New Roman" w:hAnsi="Times New Roman"/>
          <w:sz w:val="22"/>
          <w:szCs w:val="22"/>
        </w:rPr>
        <w:t>1 PC for scanning</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Source 1 scanner from Site 2 voucher scanning area</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Source 1 flatbed scanner for missing image scans</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Cable devices as necessary for network communications to server</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Reconfigure DR server to accept scanning and application</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Test PC communications to server/application</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Test dial-up communications from Site 1 Alternate site</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Notify the ERT of room location and readiness</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Ensure nightly backups are established for the server</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Report progress and issues to ERT</w:t>
      </w:r>
    </w:p>
    <w:p>
      <w:pPr>
        <w:pStyle w:val="bodytextbullet"/>
        <w:numPr>
          <w:ilvl w:val="0"/>
          <w:numId w:val="0"/>
        </w:numPr>
        <w:ind w:hanging="360" w:start="360" w:end="0"/>
        <w:rPr>
          <w:rFonts w:ascii="Times New Roman" w:hAnsi="Times New Roman" w:cs="Times New Roman"/>
          <w:sz w:val="22"/>
          <w:szCs w:val="22"/>
        </w:rPr>
      </w:pPr>
      <w:r>
        <w:rPr>
          <w:rFonts w:cs="Times New Roman" w:ascii="Times New Roman" w:hAnsi="Times New Roman"/>
          <w:sz w:val="22"/>
          <w:szCs w:val="22"/>
        </w:rPr>
      </w:r>
    </w:p>
    <w:p>
      <w:pPr>
        <w:pStyle w:val="Para"/>
        <w:ind w:start="0" w:end="0"/>
        <w:rPr>
          <w:rFonts w:ascii="Times New Roman" w:hAnsi="Times New Roman" w:cs="Times New Roman"/>
          <w:sz w:val="22"/>
          <w:szCs w:val="22"/>
        </w:rPr>
      </w:pPr>
      <w:r>
        <w:rPr>
          <w:rFonts w:cs="Times New Roman" w:ascii="Times New Roman" w:hAnsi="Times New Roman"/>
          <w:sz w:val="22"/>
          <w:szCs w:val="22"/>
        </w:rPr>
        <w:t xml:space="preserve">The following activities will be carried out, at Site 2, by the Voucher Data Capture Supervisor or their deputy: </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Confirm room readiness for scanning &amp; processing</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Establish number of staff transferred from Site 1 and arrange appropriate accommodation (through site secretaries)</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Receive vouchers and scan, KFI &amp; adjust as per business as usual</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Liaise with Data Capture Supervisor (Site 2) to ensure mail order keying can be performed</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Liaise with Technical Manager for method of transmission to Streamline</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Determine archiving location. (Vouchers and mail order documents will be archived at Site 2 until such time as access is restored to the Site 1 premises)</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Report progress and issues to ERT</w:t>
      </w:r>
    </w:p>
    <w:p>
      <w:pPr>
        <w:pStyle w:val="Para"/>
        <w:ind w:start="0" w:end="0"/>
        <w:rPr>
          <w:rFonts w:ascii="Times New Roman" w:hAnsi="Times New Roman" w:cs="Times New Roman"/>
          <w:sz w:val="22"/>
          <w:szCs w:val="22"/>
        </w:rPr>
      </w:pPr>
      <w:r>
        <w:rPr>
          <w:rFonts w:cs="Times New Roman" w:ascii="Times New Roman" w:hAnsi="Times New Roman"/>
          <w:sz w:val="22"/>
          <w:szCs w:val="22"/>
        </w:rPr>
      </w:r>
    </w:p>
    <w:p>
      <w:pPr>
        <w:pStyle w:val="Heading2"/>
        <w:numPr>
          <w:ilvl w:val="0"/>
          <w:numId w:val="0"/>
        </w:numPr>
        <w:tabs>
          <w:tab w:val="left" w:pos="360" w:leader="none"/>
          <w:tab w:val="left" w:pos="2844" w:leader="none"/>
        </w:tabs>
        <w:spacing w:before="240" w:after="120"/>
        <w:ind w:hanging="576" w:start="576" w:end="0"/>
        <w:rPr>
          <w:rFonts w:ascii="Times New Roman" w:hAnsi="Times New Roman" w:cs="Times New Roman"/>
          <w:sz w:val="22"/>
          <w:szCs w:val="22"/>
        </w:rPr>
      </w:pPr>
      <w:bookmarkStart w:id="21" w:name="__RefHeading___Toc113280966"/>
      <w:bookmarkEnd w:id="21"/>
      <w:r>
        <w:rPr>
          <w:rFonts w:cs="Times New Roman" w:ascii="Times New Roman" w:hAnsi="Times New Roman"/>
          <w:sz w:val="22"/>
          <w:szCs w:val="22"/>
        </w:rPr>
        <w:t>Incident Close Down</w:t>
      </w:r>
    </w:p>
    <w:p>
      <w:pPr>
        <w:pStyle w:val="Para"/>
        <w:ind w:start="0" w:end="0"/>
        <w:rPr>
          <w:rFonts w:ascii="Times New Roman" w:hAnsi="Times New Roman" w:cs="Times New Roman"/>
          <w:sz w:val="22"/>
          <w:szCs w:val="22"/>
        </w:rPr>
      </w:pPr>
      <w:r>
        <w:rPr>
          <w:rFonts w:cs="Times New Roman" w:ascii="Times New Roman" w:hAnsi="Times New Roman"/>
          <w:sz w:val="22"/>
          <w:szCs w:val="22"/>
        </w:rPr>
        <w:t>Following restoration of access to Site 1 the following activities will be performed:</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The Site Director will notify the ERT and Service Delivery Manager of availability of the Site 1 Office site and the end of the incident</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Service Delivery Manager will notify XYZ client of a date/time for return to site in order to ensure voucher courier is redirected to original route</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Voucher Preparation Supervisor will close down operations at the Site 1 Alternate site, at the end of day’s processing. Any holdovers will be securely boxed for transportation to the Site 1 office site.</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Voucher Preparation Supervisor will redirect staff back to the Site 1 office site for the next morning</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Voucher Data Capture Supervisor will close down operations at Site 2, ensuring all remaining vouchers have been, scanned, verified and transmitted to Streamline.</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Voucher Data Capture Supervisor will arrange transport of vouchers scanned during the incident to be returned to The Site 1 office site for archiving</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Voucher Data Capture Supervisor will redirect/arrange transport for staff back to The Site 1 office site for the next morning</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Technical Manager will ensure that all data and images on the DR server are backed-up upon cessation of the incident</w:t>
      </w:r>
    </w:p>
    <w:p>
      <w:pPr>
        <w:pStyle w:val="bodytextbullet"/>
        <w:numPr>
          <w:ilvl w:val="0"/>
          <w:numId w:val="4"/>
        </w:numPr>
        <w:tabs>
          <w:tab w:val="clear" w:pos="720"/>
          <w:tab w:val="left" w:pos="360" w:leader="none"/>
        </w:tabs>
        <w:ind w:hanging="360" w:start="360" w:end="0"/>
        <w:rPr>
          <w:rFonts w:ascii="Times New Roman" w:hAnsi="Times New Roman" w:cs="Times New Roman"/>
          <w:sz w:val="22"/>
          <w:szCs w:val="22"/>
        </w:rPr>
      </w:pPr>
      <w:r>
        <w:rPr>
          <w:rFonts w:cs="Times New Roman" w:ascii="Times New Roman" w:hAnsi="Times New Roman"/>
          <w:sz w:val="22"/>
          <w:szCs w:val="22"/>
        </w:rPr>
        <w:t>ERT will conduct a post incident review</w:t>
      </w:r>
    </w:p>
    <w:p>
      <w:pPr>
        <w:pStyle w:val="Para"/>
        <w:ind w:start="0" w:end="0"/>
        <w:rPr>
          <w:rFonts w:ascii="Times New Roman" w:hAnsi="Times New Roman" w:cs="Times New Roman"/>
          <w:sz w:val="22"/>
          <w:szCs w:val="22"/>
        </w:rPr>
      </w:pPr>
      <w:r>
        <w:rPr>
          <w:rFonts w:cs="Times New Roman" w:ascii="Times New Roman" w:hAnsi="Times New Roman"/>
          <w:sz w:val="22"/>
          <w:szCs w:val="22"/>
        </w:rPr>
      </w:r>
    </w:p>
    <w:p>
      <w:pPr>
        <w:pStyle w:val="Para"/>
        <w:ind w:start="0" w:end="0"/>
        <w:rPr>
          <w:rFonts w:ascii="Times New Roman" w:hAnsi="Times New Roman" w:cs="Times New Roman"/>
          <w:sz w:val="22"/>
          <w:szCs w:val="22"/>
        </w:rPr>
      </w:pPr>
      <w:r>
        <w:rPr>
          <w:rFonts w:cs="Times New Roman" w:ascii="Times New Roman" w:hAnsi="Times New Roman"/>
          <w:sz w:val="22"/>
          <w:szCs w:val="22"/>
        </w:rPr>
      </w:r>
      <w:r>
        <w:br w:type="page"/>
      </w:r>
    </w:p>
    <w:p>
      <w:pPr>
        <w:pStyle w:val="Heading1"/>
        <w:tabs>
          <w:tab w:val="left" w:pos="360" w:leader="none"/>
          <w:tab w:val="left" w:pos="2268" w:leader="none"/>
          <w:tab w:val="left" w:pos="2700" w:leader="none"/>
        </w:tabs>
        <w:ind w:hanging="432" w:start="432" w:end="0"/>
        <w:rPr>
          <w:rFonts w:ascii="Times New Roman" w:hAnsi="Times New Roman" w:cs="Times New Roman"/>
          <w:sz w:val="22"/>
          <w:szCs w:val="22"/>
        </w:rPr>
      </w:pPr>
      <w:bookmarkStart w:id="22" w:name="__RefHeading___Toc113280967"/>
      <w:bookmarkEnd w:id="22"/>
      <w:r>
        <w:rPr>
          <w:rFonts w:cs="Times New Roman" w:ascii="Times New Roman" w:hAnsi="Times New Roman"/>
          <w:sz w:val="22"/>
          <w:szCs w:val="22"/>
        </w:rPr>
        <w:t>Plan Testing</w:t>
      </w:r>
    </w:p>
    <w:p>
      <w:pPr>
        <w:pStyle w:val="Para"/>
        <w:ind w:start="0" w:end="0"/>
        <w:rPr>
          <w:rFonts w:ascii="Times New Roman" w:hAnsi="Times New Roman" w:cs="Times New Roman"/>
          <w:sz w:val="22"/>
          <w:szCs w:val="22"/>
        </w:rPr>
      </w:pPr>
      <w:r>
        <w:rPr>
          <w:rFonts w:cs="Times New Roman" w:ascii="Times New Roman" w:hAnsi="Times New Roman"/>
          <w:sz w:val="22"/>
          <w:szCs w:val="22"/>
        </w:rPr>
      </w:r>
    </w:p>
    <w:p>
      <w:pPr>
        <w:pStyle w:val="Para"/>
        <w:ind w:start="0" w:end="0"/>
        <w:rPr>
          <w:rFonts w:ascii="Times New Roman" w:hAnsi="Times New Roman" w:cs="Times New Roman"/>
          <w:sz w:val="22"/>
          <w:szCs w:val="22"/>
        </w:rPr>
      </w:pPr>
      <w:r>
        <w:rPr>
          <w:rFonts w:cs="Times New Roman" w:ascii="Times New Roman" w:hAnsi="Times New Roman"/>
          <w:sz w:val="22"/>
          <w:szCs w:val="22"/>
        </w:rPr>
        <w:t>For the purposes of testing it is assumed that the sorting and batching process is largely unaffected by the incident as it is performed by the existing staff at the alternative Site 1 location. Therefore the testing will be limited to the scanning and adjustment processing to be performed at Site 2.</w:t>
      </w:r>
    </w:p>
    <w:p>
      <w:pPr>
        <w:pStyle w:val="Para"/>
        <w:ind w:start="0" w:end="0"/>
        <w:rPr>
          <w:rFonts w:ascii="Times New Roman" w:hAnsi="Times New Roman" w:cs="Times New Roman"/>
          <w:sz w:val="22"/>
          <w:szCs w:val="22"/>
        </w:rPr>
      </w:pPr>
      <w:r>
        <w:rPr>
          <w:rFonts w:cs="Times New Roman" w:ascii="Times New Roman" w:hAnsi="Times New Roman"/>
          <w:sz w:val="22"/>
          <w:szCs w:val="22"/>
        </w:rPr>
      </w:r>
    </w:p>
    <w:p>
      <w:pPr>
        <w:pStyle w:val="Para"/>
        <w:ind w:start="0" w:end="0"/>
        <w:rPr>
          <w:rFonts w:ascii="Times New Roman" w:hAnsi="Times New Roman" w:cs="Times New Roman"/>
          <w:sz w:val="22"/>
          <w:szCs w:val="22"/>
        </w:rPr>
      </w:pPr>
      <w:r>
        <w:rPr>
          <w:rFonts w:cs="Times New Roman" w:ascii="Times New Roman" w:hAnsi="Times New Roman"/>
          <w:sz w:val="22"/>
          <w:szCs w:val="22"/>
        </w:rPr>
        <w:t>This plan will be tested once per year as follows:</w:t>
      </w:r>
    </w:p>
    <w:p>
      <w:pPr>
        <w:pStyle w:val="ParaBullet"/>
        <w:numPr>
          <w:ilvl w:val="0"/>
          <w:numId w:val="3"/>
        </w:numPr>
        <w:tabs>
          <w:tab w:val="left" w:pos="1260" w:leader="none"/>
        </w:tabs>
        <w:ind w:hanging="720" w:start="1260" w:end="0"/>
        <w:rPr>
          <w:rFonts w:ascii="Times New Roman" w:hAnsi="Times New Roman" w:cs="Times New Roman"/>
          <w:sz w:val="22"/>
          <w:szCs w:val="22"/>
        </w:rPr>
      </w:pPr>
      <w:r>
        <w:rPr>
          <w:rFonts w:cs="Times New Roman" w:ascii="Times New Roman" w:hAnsi="Times New Roman"/>
          <w:sz w:val="22"/>
          <w:szCs w:val="22"/>
        </w:rPr>
        <w:t>A small number of batches of archived vouchers (sorted and batched), that are due for disposal, will be transported to Site 2</w:t>
      </w:r>
    </w:p>
    <w:p>
      <w:pPr>
        <w:pStyle w:val="ParaBullet"/>
        <w:numPr>
          <w:ilvl w:val="0"/>
          <w:numId w:val="3"/>
        </w:numPr>
        <w:tabs>
          <w:tab w:val="left" w:pos="1260" w:leader="none"/>
        </w:tabs>
        <w:ind w:hanging="720" w:start="1260" w:end="0"/>
        <w:rPr>
          <w:rFonts w:ascii="Times New Roman" w:hAnsi="Times New Roman" w:cs="Times New Roman"/>
          <w:sz w:val="22"/>
          <w:szCs w:val="22"/>
        </w:rPr>
      </w:pPr>
      <w:r>
        <w:rPr>
          <w:rFonts w:cs="Times New Roman" w:ascii="Times New Roman" w:hAnsi="Times New Roman"/>
          <w:sz w:val="22"/>
          <w:szCs w:val="22"/>
        </w:rPr>
        <w:t>At Site 2 they will be scanned using the existing equipment to ensure the validity and currency of the scanning formats and work instructions</w:t>
      </w:r>
    </w:p>
    <w:p>
      <w:pPr>
        <w:pStyle w:val="ParaBullet"/>
        <w:numPr>
          <w:ilvl w:val="0"/>
          <w:numId w:val="3"/>
        </w:numPr>
        <w:tabs>
          <w:tab w:val="left" w:pos="1260" w:leader="none"/>
        </w:tabs>
        <w:ind w:hanging="720" w:start="1260" w:end="0"/>
        <w:rPr>
          <w:rFonts w:ascii="Times New Roman" w:hAnsi="Times New Roman" w:cs="Times New Roman"/>
          <w:sz w:val="22"/>
          <w:szCs w:val="22"/>
        </w:rPr>
      </w:pPr>
      <w:r>
        <w:rPr>
          <w:rFonts w:cs="Times New Roman" w:ascii="Times New Roman" w:hAnsi="Times New Roman"/>
          <w:sz w:val="22"/>
          <w:szCs w:val="22"/>
        </w:rPr>
        <w:t>KFI verification will be performed to ensure validity and currency of the verification formats and work instructions</w:t>
      </w:r>
    </w:p>
    <w:p>
      <w:pPr>
        <w:pStyle w:val="ParaBullet"/>
        <w:numPr>
          <w:ilvl w:val="0"/>
          <w:numId w:val="3"/>
        </w:numPr>
        <w:tabs>
          <w:tab w:val="left" w:pos="1260" w:leader="none"/>
        </w:tabs>
        <w:ind w:hanging="720" w:start="1260" w:end="0"/>
        <w:rPr>
          <w:rFonts w:ascii="Times New Roman" w:hAnsi="Times New Roman" w:cs="Times New Roman"/>
          <w:sz w:val="22"/>
          <w:szCs w:val="22"/>
        </w:rPr>
      </w:pPr>
      <w:r>
        <w:rPr>
          <w:rFonts w:cs="Times New Roman" w:ascii="Times New Roman" w:hAnsi="Times New Roman"/>
          <w:sz w:val="22"/>
          <w:szCs w:val="22"/>
        </w:rPr>
        <w:t>Adjustment processing will be run again to ensure validity and currency of the adjustment software.</w:t>
      </w:r>
    </w:p>
    <w:p>
      <w:pPr>
        <w:pStyle w:val="ParaBullet"/>
        <w:numPr>
          <w:ilvl w:val="0"/>
          <w:numId w:val="3"/>
        </w:numPr>
        <w:tabs>
          <w:tab w:val="left" w:pos="1260" w:leader="none"/>
        </w:tabs>
        <w:ind w:hanging="720" w:start="1260" w:end="0"/>
        <w:rPr>
          <w:rFonts w:ascii="Times New Roman" w:hAnsi="Times New Roman" w:cs="Times New Roman"/>
          <w:sz w:val="22"/>
          <w:szCs w:val="22"/>
        </w:rPr>
      </w:pPr>
      <w:r>
        <w:rPr>
          <w:rFonts w:cs="Times New Roman" w:ascii="Times New Roman" w:hAnsi="Times New Roman"/>
          <w:sz w:val="22"/>
          <w:szCs w:val="22"/>
        </w:rPr>
        <w:t>The resulting transmission file checked against the original file transmitted to Streamline.</w:t>
      </w:r>
    </w:p>
    <w:p>
      <w:pPr>
        <w:pStyle w:val="ParaBullet"/>
        <w:numPr>
          <w:ilvl w:val="0"/>
          <w:numId w:val="3"/>
        </w:numPr>
        <w:tabs>
          <w:tab w:val="left" w:pos="1260" w:leader="none"/>
        </w:tabs>
        <w:ind w:hanging="720" w:start="1260" w:end="0"/>
        <w:rPr>
          <w:rFonts w:ascii="Times New Roman" w:hAnsi="Times New Roman" w:cs="Times New Roman"/>
          <w:sz w:val="22"/>
          <w:szCs w:val="22"/>
        </w:rPr>
      </w:pPr>
      <w:r>
        <w:rPr>
          <w:rFonts w:cs="Times New Roman" w:ascii="Times New Roman" w:hAnsi="Times New Roman"/>
          <w:sz w:val="22"/>
          <w:szCs w:val="22"/>
        </w:rPr>
        <w:t>A report will be produced detailing any deficiencies and action plans to address.</w:t>
      </w:r>
    </w:p>
    <w:p>
      <w:pPr>
        <w:pStyle w:val="Normal"/>
        <w:autoSpaceDE w:val="false"/>
        <w:rPr>
          <w:rFonts w:ascii="Times New Roman" w:hAnsi="Times New Roman" w:cs="Times New Roman"/>
          <w:sz w:val="22"/>
          <w:szCs w:val="22"/>
        </w:rPr>
      </w:pPr>
      <w:r>
        <w:rPr>
          <w:rFonts w:cs="Times New Roman"/>
          <w:sz w:val="22"/>
          <w:szCs w:val="22"/>
        </w:rPr>
      </w:r>
    </w:p>
    <w:p>
      <w:pPr>
        <w:pStyle w:val="Para"/>
        <w:rPr>
          <w:rFonts w:ascii="Times New Roman" w:hAnsi="Times New Roman" w:cs="Times New Roman"/>
          <w:sz w:val="22"/>
          <w:szCs w:val="22"/>
        </w:rPr>
      </w:pPr>
      <w:r>
        <w:rPr>
          <w:rFonts w:cs="Times New Roman" w:ascii="Times New Roman" w:hAnsi="Times New Roman"/>
          <w:sz w:val="22"/>
          <w:szCs w:val="22"/>
        </w:rPr>
      </w:r>
      <w:r>
        <w:br w:type="page"/>
      </w:r>
    </w:p>
    <w:p>
      <w:pPr>
        <w:pStyle w:val="Heading1"/>
        <w:ind w:hanging="0" w:start="0"/>
        <w:rPr>
          <w:rFonts w:ascii="Times New Roman" w:hAnsi="Times New Roman" w:cs="Times New Roman"/>
          <w:sz w:val="22"/>
          <w:szCs w:val="22"/>
        </w:rPr>
      </w:pPr>
      <w:bookmarkStart w:id="23" w:name="__RefHeading___Toc113280968"/>
      <w:bookmarkEnd w:id="23"/>
      <w:r>
        <w:rPr>
          <w:rFonts w:cs="Times New Roman" w:ascii="Times New Roman" w:hAnsi="Times New Roman"/>
          <w:sz w:val="22"/>
          <w:szCs w:val="22"/>
        </w:rPr>
        <w:t xml:space="preserve">Appendix 1 </w:t>
        <w:tab/>
        <w:t>Emergency Recovery Team</w:t>
      </w:r>
    </w:p>
    <w:p>
      <w:pPr>
        <w:pStyle w:val="Para"/>
        <w:ind w:start="0" w:end="0"/>
        <w:rPr>
          <w:rFonts w:ascii="Times New Roman" w:hAnsi="Times New Roman" w:cs="Times New Roman"/>
          <w:sz w:val="22"/>
          <w:szCs w:val="22"/>
        </w:rPr>
      </w:pPr>
      <w:r>
        <w:rPr>
          <w:rFonts w:cs="Times New Roman" w:ascii="Times New Roman" w:hAnsi="Times New Roman"/>
          <w:sz w:val="22"/>
          <w:szCs w:val="22"/>
        </w:rPr>
        <w:t>The Emergency Recovery Team (ERT) for this plan will consist of Management and Supervisor level staff. The team is as follows:</w:t>
      </w:r>
    </w:p>
    <w:p>
      <w:pPr>
        <w:pStyle w:val="Para"/>
        <w:ind w:start="720" w:end="0"/>
        <w:rPr>
          <w:rFonts w:ascii="Times New Roman" w:hAnsi="Times New Roman" w:cs="Times New Roman"/>
          <w:sz w:val="22"/>
          <w:szCs w:val="22"/>
        </w:rPr>
      </w:pPr>
      <w:r>
        <w:rPr>
          <w:rFonts w:cs="Times New Roman" w:ascii="Times New Roman" w:hAnsi="Times New Roman"/>
          <w:sz w:val="22"/>
          <w:szCs w:val="22"/>
        </w:rPr>
      </w:r>
    </w:p>
    <w:tbl>
      <w:tblPr>
        <w:tblW w:w="6399" w:type="dxa"/>
        <w:jc w:val="start"/>
        <w:tblInd w:w="720" w:type="dxa"/>
        <w:tblLayout w:type="fixed"/>
        <w:tblCellMar>
          <w:top w:w="0" w:type="dxa"/>
          <w:start w:w="108" w:type="dxa"/>
          <w:bottom w:w="0" w:type="dxa"/>
          <w:end w:w="108" w:type="dxa"/>
        </w:tblCellMar>
      </w:tblPr>
      <w:tblGrid>
        <w:gridCol w:w="2236"/>
        <w:gridCol w:w="4163"/>
      </w:tblGrid>
      <w:tr>
        <w:trPr/>
        <w:tc>
          <w:tcPr>
            <w:tcW w:w="2236" w:type="dxa"/>
            <w:tcBorders>
              <w:top w:val="single" w:sz="4" w:space="0" w:color="000000"/>
              <w:start w:val="single" w:sz="4" w:space="0" w:color="000000"/>
              <w:bottom w:val="single" w:sz="4" w:space="0" w:color="000000"/>
              <w:end w:val="single" w:sz="4" w:space="0" w:color="000000"/>
            </w:tcBorders>
          </w:tcPr>
          <w:p>
            <w:pPr>
              <w:pStyle w:val="Para"/>
              <w:spacing w:before="120" w:after="120"/>
              <w:ind w:start="0" w:end="0"/>
              <w:rPr>
                <w:rFonts w:ascii="Times New Roman" w:hAnsi="Times New Roman" w:cs="Times New Roman"/>
                <w:b/>
                <w:bCs/>
                <w:sz w:val="22"/>
                <w:szCs w:val="22"/>
              </w:rPr>
            </w:pPr>
            <w:r>
              <w:rPr>
                <w:rFonts w:cs="Times New Roman" w:ascii="Times New Roman" w:hAnsi="Times New Roman"/>
                <w:b/>
                <w:bCs/>
                <w:sz w:val="22"/>
                <w:szCs w:val="22"/>
              </w:rPr>
              <w:t>Title</w:t>
            </w:r>
          </w:p>
        </w:tc>
        <w:tc>
          <w:tcPr>
            <w:tcW w:w="4163" w:type="dxa"/>
            <w:tcBorders>
              <w:top w:val="single" w:sz="4" w:space="0" w:color="000000"/>
              <w:start w:val="single" w:sz="4" w:space="0" w:color="000000"/>
              <w:bottom w:val="single" w:sz="4" w:space="0" w:color="000000"/>
              <w:end w:val="single" w:sz="4" w:space="0" w:color="000000"/>
            </w:tcBorders>
          </w:tcPr>
          <w:p>
            <w:pPr>
              <w:pStyle w:val="Para"/>
              <w:spacing w:before="120" w:after="120"/>
              <w:ind w:start="0" w:end="0"/>
              <w:rPr>
                <w:rFonts w:ascii="Times New Roman" w:hAnsi="Times New Roman" w:cs="Times New Roman"/>
                <w:b/>
                <w:bCs/>
                <w:sz w:val="22"/>
                <w:szCs w:val="22"/>
              </w:rPr>
            </w:pPr>
            <w:r>
              <w:rPr>
                <w:rFonts w:cs="Times New Roman" w:ascii="Times New Roman" w:hAnsi="Times New Roman"/>
                <w:b/>
                <w:bCs/>
                <w:sz w:val="22"/>
                <w:szCs w:val="22"/>
              </w:rPr>
              <w:t>Role</w:t>
            </w:r>
          </w:p>
        </w:tc>
      </w:tr>
      <w:tr>
        <w:trPr/>
        <w:tc>
          <w:tcPr>
            <w:tcW w:w="2236" w:type="dxa"/>
            <w:tcBorders>
              <w:top w:val="single" w:sz="4" w:space="0" w:color="000000"/>
              <w:start w:val="single" w:sz="4" w:space="0" w:color="000000"/>
              <w:bottom w:val="single" w:sz="4" w:space="0" w:color="000000"/>
              <w:end w:val="single" w:sz="4" w:space="0" w:color="000000"/>
            </w:tcBorders>
          </w:tcPr>
          <w:p>
            <w:pPr>
              <w:pStyle w:val="Para"/>
              <w:spacing w:before="120" w:after="120"/>
              <w:ind w:start="0" w:end="0"/>
              <w:rPr>
                <w:rFonts w:ascii="Times New Roman" w:hAnsi="Times New Roman" w:cs="Times New Roman"/>
                <w:sz w:val="22"/>
                <w:szCs w:val="22"/>
              </w:rPr>
            </w:pPr>
            <w:r>
              <w:rPr>
                <w:rFonts w:cs="Times New Roman" w:ascii="Times New Roman" w:hAnsi="Times New Roman"/>
                <w:sz w:val="22"/>
                <w:szCs w:val="22"/>
              </w:rPr>
              <w:t>Head of Operations</w:t>
            </w:r>
          </w:p>
        </w:tc>
        <w:tc>
          <w:tcPr>
            <w:tcW w:w="4163" w:type="dxa"/>
            <w:tcBorders>
              <w:top w:val="single" w:sz="4" w:space="0" w:color="000000"/>
              <w:start w:val="single" w:sz="4" w:space="0" w:color="000000"/>
              <w:bottom w:val="single" w:sz="4" w:space="0" w:color="000000"/>
              <w:end w:val="single" w:sz="4" w:space="0" w:color="000000"/>
            </w:tcBorders>
          </w:tcPr>
          <w:p>
            <w:pPr>
              <w:pStyle w:val="Para"/>
              <w:spacing w:before="120" w:after="120"/>
              <w:ind w:start="0" w:end="0"/>
              <w:rPr>
                <w:rFonts w:ascii="Times New Roman" w:hAnsi="Times New Roman" w:cs="Times New Roman"/>
                <w:sz w:val="22"/>
                <w:szCs w:val="22"/>
              </w:rPr>
            </w:pPr>
            <w:r>
              <w:rPr>
                <w:rFonts w:cs="Times New Roman" w:ascii="Times New Roman" w:hAnsi="Times New Roman"/>
                <w:sz w:val="22"/>
                <w:szCs w:val="22"/>
              </w:rPr>
              <w:t>Owner of the plan actions</w:t>
            </w:r>
          </w:p>
          <w:p>
            <w:pPr>
              <w:pStyle w:val="Para"/>
              <w:spacing w:before="120" w:after="120"/>
              <w:ind w:start="0" w:end="0"/>
              <w:rPr>
                <w:rFonts w:ascii="Times New Roman" w:hAnsi="Times New Roman" w:cs="Times New Roman"/>
                <w:sz w:val="22"/>
                <w:szCs w:val="22"/>
              </w:rPr>
            </w:pPr>
            <w:r>
              <w:rPr>
                <w:rFonts w:cs="Times New Roman" w:ascii="Times New Roman" w:hAnsi="Times New Roman"/>
                <w:sz w:val="22"/>
                <w:szCs w:val="22"/>
              </w:rPr>
              <w:t>Customer liaison</w:t>
            </w:r>
          </w:p>
        </w:tc>
      </w:tr>
      <w:tr>
        <w:trPr/>
        <w:tc>
          <w:tcPr>
            <w:tcW w:w="2236" w:type="dxa"/>
            <w:tcBorders>
              <w:top w:val="single" w:sz="4" w:space="0" w:color="000000"/>
              <w:start w:val="single" w:sz="4" w:space="0" w:color="000000"/>
              <w:bottom w:val="single" w:sz="4" w:space="0" w:color="000000"/>
              <w:end w:val="single" w:sz="4" w:space="0" w:color="000000"/>
            </w:tcBorders>
          </w:tcPr>
          <w:p>
            <w:pPr>
              <w:pStyle w:val="Para"/>
              <w:spacing w:before="120" w:after="120"/>
              <w:ind w:start="0" w:end="0"/>
              <w:rPr>
                <w:rFonts w:ascii="Times New Roman" w:hAnsi="Times New Roman" w:cs="Times New Roman"/>
                <w:sz w:val="22"/>
                <w:szCs w:val="22"/>
              </w:rPr>
            </w:pPr>
            <w:r>
              <w:rPr>
                <w:rFonts w:cs="Times New Roman" w:ascii="Times New Roman" w:hAnsi="Times New Roman"/>
                <w:sz w:val="22"/>
                <w:szCs w:val="22"/>
              </w:rPr>
              <w:t>Site Director</w:t>
            </w:r>
          </w:p>
        </w:tc>
        <w:tc>
          <w:tcPr>
            <w:tcW w:w="4163" w:type="dxa"/>
            <w:tcBorders>
              <w:top w:val="single" w:sz="4" w:space="0" w:color="000000"/>
              <w:start w:val="single" w:sz="4" w:space="0" w:color="000000"/>
              <w:bottom w:val="single" w:sz="4" w:space="0" w:color="000000"/>
              <w:end w:val="single" w:sz="4" w:space="0" w:color="000000"/>
            </w:tcBorders>
          </w:tcPr>
          <w:p>
            <w:pPr>
              <w:pStyle w:val="Para"/>
              <w:spacing w:before="120" w:after="120"/>
              <w:ind w:start="0" w:end="0"/>
              <w:rPr>
                <w:rFonts w:ascii="Times New Roman" w:hAnsi="Times New Roman" w:cs="Times New Roman"/>
                <w:sz w:val="22"/>
                <w:szCs w:val="22"/>
              </w:rPr>
            </w:pPr>
            <w:r>
              <w:rPr>
                <w:rFonts w:cs="Times New Roman" w:ascii="Times New Roman" w:hAnsi="Times New Roman"/>
                <w:sz w:val="22"/>
                <w:szCs w:val="22"/>
              </w:rPr>
              <w:t>Management of plan for Site 1 site recovery</w:t>
            </w:r>
          </w:p>
        </w:tc>
      </w:tr>
      <w:tr>
        <w:trPr/>
        <w:tc>
          <w:tcPr>
            <w:tcW w:w="2236" w:type="dxa"/>
            <w:tcBorders>
              <w:top w:val="single" w:sz="4" w:space="0" w:color="000000"/>
              <w:start w:val="single" w:sz="4" w:space="0" w:color="000000"/>
              <w:bottom w:val="single" w:sz="4" w:space="0" w:color="000000"/>
              <w:end w:val="single" w:sz="4" w:space="0" w:color="000000"/>
            </w:tcBorders>
          </w:tcPr>
          <w:p>
            <w:pPr>
              <w:pStyle w:val="Para"/>
              <w:spacing w:before="120" w:after="120"/>
              <w:ind w:start="0" w:end="0"/>
              <w:rPr>
                <w:rFonts w:ascii="Times New Roman" w:hAnsi="Times New Roman" w:cs="Times New Roman"/>
                <w:sz w:val="22"/>
                <w:szCs w:val="22"/>
              </w:rPr>
            </w:pPr>
            <w:r>
              <w:rPr>
                <w:rFonts w:cs="Times New Roman" w:ascii="Times New Roman" w:hAnsi="Times New Roman"/>
                <w:sz w:val="22"/>
                <w:szCs w:val="22"/>
              </w:rPr>
              <w:t>Manual Handling Operations Manager</w:t>
            </w:r>
          </w:p>
        </w:tc>
        <w:tc>
          <w:tcPr>
            <w:tcW w:w="4163" w:type="dxa"/>
            <w:tcBorders>
              <w:top w:val="single" w:sz="4" w:space="0" w:color="000000"/>
              <w:start w:val="single" w:sz="4" w:space="0" w:color="000000"/>
              <w:bottom w:val="single" w:sz="4" w:space="0" w:color="000000"/>
              <w:end w:val="single" w:sz="4" w:space="0" w:color="000000"/>
            </w:tcBorders>
          </w:tcPr>
          <w:p>
            <w:pPr>
              <w:pStyle w:val="Para"/>
              <w:spacing w:before="120" w:after="120"/>
              <w:ind w:start="0" w:end="0"/>
              <w:rPr>
                <w:rFonts w:ascii="Times New Roman" w:hAnsi="Times New Roman" w:cs="Times New Roman"/>
                <w:sz w:val="22"/>
                <w:szCs w:val="22"/>
              </w:rPr>
            </w:pPr>
            <w:r>
              <w:rPr>
                <w:rFonts w:cs="Times New Roman" w:ascii="Times New Roman" w:hAnsi="Times New Roman"/>
                <w:sz w:val="22"/>
                <w:szCs w:val="22"/>
              </w:rPr>
              <w:t>Establishment of alternate work premises</w:t>
            </w:r>
          </w:p>
          <w:p>
            <w:pPr>
              <w:pStyle w:val="Para"/>
              <w:ind w:start="0" w:end="0"/>
              <w:rPr>
                <w:rFonts w:ascii="Times New Roman" w:hAnsi="Times New Roman" w:cs="Times New Roman"/>
                <w:sz w:val="22"/>
                <w:szCs w:val="22"/>
              </w:rPr>
            </w:pPr>
            <w:r>
              <w:rPr>
                <w:rFonts w:cs="Times New Roman" w:ascii="Times New Roman" w:hAnsi="Times New Roman"/>
                <w:sz w:val="22"/>
                <w:szCs w:val="22"/>
              </w:rPr>
              <w:t>Contact and redirection of own staff</w:t>
            </w:r>
          </w:p>
          <w:p>
            <w:pPr>
              <w:pStyle w:val="Para"/>
              <w:spacing w:before="120" w:after="120"/>
              <w:ind w:start="0" w:end="0"/>
              <w:rPr>
                <w:rFonts w:ascii="Times New Roman" w:hAnsi="Times New Roman" w:cs="Times New Roman"/>
                <w:sz w:val="22"/>
                <w:szCs w:val="22"/>
              </w:rPr>
            </w:pPr>
            <w:r>
              <w:rPr>
                <w:rFonts w:cs="Times New Roman" w:ascii="Times New Roman" w:hAnsi="Times New Roman"/>
                <w:sz w:val="22"/>
                <w:szCs w:val="22"/>
              </w:rPr>
              <w:t>Local management of immediate action plan</w:t>
            </w:r>
          </w:p>
        </w:tc>
      </w:tr>
      <w:tr>
        <w:trPr/>
        <w:tc>
          <w:tcPr>
            <w:tcW w:w="2236" w:type="dxa"/>
            <w:tcBorders>
              <w:top w:val="single" w:sz="4" w:space="0" w:color="000000"/>
              <w:start w:val="single" w:sz="4" w:space="0" w:color="000000"/>
              <w:bottom w:val="single" w:sz="4" w:space="0" w:color="000000"/>
              <w:end w:val="single" w:sz="4" w:space="0" w:color="000000"/>
            </w:tcBorders>
          </w:tcPr>
          <w:p>
            <w:pPr>
              <w:pStyle w:val="Para"/>
              <w:spacing w:before="120" w:after="120"/>
              <w:ind w:start="0" w:end="0"/>
              <w:rPr>
                <w:rFonts w:ascii="Times New Roman" w:hAnsi="Times New Roman" w:cs="Times New Roman"/>
                <w:sz w:val="22"/>
                <w:szCs w:val="22"/>
              </w:rPr>
            </w:pPr>
            <w:r>
              <w:rPr>
                <w:rFonts w:cs="Times New Roman" w:ascii="Times New Roman" w:hAnsi="Times New Roman"/>
                <w:sz w:val="22"/>
                <w:szCs w:val="22"/>
              </w:rPr>
              <w:t>Data Capture Operations Manager</w:t>
            </w:r>
          </w:p>
        </w:tc>
        <w:tc>
          <w:tcPr>
            <w:tcW w:w="4163" w:type="dxa"/>
            <w:tcBorders>
              <w:top w:val="single" w:sz="4" w:space="0" w:color="000000"/>
              <w:start w:val="single" w:sz="4" w:space="0" w:color="000000"/>
              <w:bottom w:val="single" w:sz="4" w:space="0" w:color="000000"/>
              <w:end w:val="single" w:sz="4" w:space="0" w:color="000000"/>
            </w:tcBorders>
          </w:tcPr>
          <w:p>
            <w:pPr>
              <w:pStyle w:val="Para"/>
              <w:spacing w:before="120" w:after="120"/>
              <w:ind w:start="0" w:end="0"/>
              <w:rPr>
                <w:rFonts w:ascii="Times New Roman" w:hAnsi="Times New Roman" w:cs="Times New Roman"/>
                <w:sz w:val="22"/>
                <w:szCs w:val="22"/>
              </w:rPr>
            </w:pPr>
            <w:r>
              <w:rPr>
                <w:rFonts w:cs="Times New Roman" w:ascii="Times New Roman" w:hAnsi="Times New Roman"/>
                <w:sz w:val="22"/>
                <w:szCs w:val="22"/>
              </w:rPr>
              <w:t>Contact and redirection of own staff</w:t>
            </w:r>
          </w:p>
          <w:p>
            <w:pPr>
              <w:pStyle w:val="Para"/>
              <w:spacing w:before="120" w:after="120"/>
              <w:ind w:start="0" w:end="0"/>
              <w:rPr>
                <w:rFonts w:ascii="Times New Roman" w:hAnsi="Times New Roman" w:cs="Times New Roman"/>
                <w:sz w:val="22"/>
                <w:szCs w:val="22"/>
              </w:rPr>
            </w:pPr>
            <w:r>
              <w:rPr>
                <w:rFonts w:cs="Times New Roman" w:ascii="Times New Roman" w:hAnsi="Times New Roman"/>
                <w:sz w:val="22"/>
                <w:szCs w:val="22"/>
              </w:rPr>
              <w:t>Local management of immediate action plan</w:t>
            </w:r>
          </w:p>
        </w:tc>
      </w:tr>
      <w:tr>
        <w:trPr/>
        <w:tc>
          <w:tcPr>
            <w:tcW w:w="2236" w:type="dxa"/>
            <w:tcBorders>
              <w:top w:val="single" w:sz="4" w:space="0" w:color="000000"/>
              <w:start w:val="single" w:sz="4" w:space="0" w:color="000000"/>
              <w:bottom w:val="single" w:sz="4" w:space="0" w:color="000000"/>
              <w:end w:val="single" w:sz="4" w:space="0" w:color="000000"/>
            </w:tcBorders>
          </w:tcPr>
          <w:p>
            <w:pPr>
              <w:pStyle w:val="Para"/>
              <w:spacing w:before="120" w:after="120"/>
              <w:ind w:start="0" w:end="0"/>
              <w:rPr>
                <w:rFonts w:ascii="Times New Roman" w:hAnsi="Times New Roman" w:cs="Times New Roman"/>
                <w:sz w:val="22"/>
                <w:szCs w:val="22"/>
              </w:rPr>
            </w:pPr>
            <w:r>
              <w:rPr>
                <w:rFonts w:cs="Times New Roman" w:ascii="Times New Roman" w:hAnsi="Times New Roman"/>
                <w:sz w:val="22"/>
                <w:szCs w:val="22"/>
              </w:rPr>
              <w:t>Technical Services Manager</w:t>
            </w:r>
          </w:p>
        </w:tc>
        <w:tc>
          <w:tcPr>
            <w:tcW w:w="4163" w:type="dxa"/>
            <w:tcBorders>
              <w:top w:val="single" w:sz="4" w:space="0" w:color="000000"/>
              <w:start w:val="single" w:sz="4" w:space="0" w:color="000000"/>
              <w:bottom w:val="single" w:sz="4" w:space="0" w:color="000000"/>
              <w:end w:val="single" w:sz="4" w:space="0" w:color="000000"/>
            </w:tcBorders>
          </w:tcPr>
          <w:p>
            <w:pPr>
              <w:pStyle w:val="Para"/>
              <w:spacing w:before="120" w:after="120"/>
              <w:ind w:start="0" w:end="0"/>
              <w:rPr>
                <w:rFonts w:ascii="Times New Roman" w:hAnsi="Times New Roman" w:cs="Times New Roman"/>
                <w:sz w:val="22"/>
                <w:szCs w:val="22"/>
              </w:rPr>
            </w:pPr>
            <w:r>
              <w:rPr>
                <w:rFonts w:cs="Times New Roman" w:ascii="Times New Roman" w:hAnsi="Times New Roman"/>
                <w:sz w:val="22"/>
                <w:szCs w:val="22"/>
              </w:rPr>
              <w:t>Contact and redirection of own staff</w:t>
            </w:r>
          </w:p>
          <w:p>
            <w:pPr>
              <w:pStyle w:val="Para"/>
              <w:spacing w:before="120" w:after="120"/>
              <w:ind w:start="0" w:end="0"/>
              <w:rPr>
                <w:rFonts w:ascii="Times New Roman" w:hAnsi="Times New Roman" w:cs="Times New Roman"/>
                <w:sz w:val="22"/>
                <w:szCs w:val="22"/>
              </w:rPr>
            </w:pPr>
            <w:r>
              <w:rPr>
                <w:rFonts w:cs="Times New Roman" w:ascii="Times New Roman" w:hAnsi="Times New Roman"/>
                <w:sz w:val="22"/>
                <w:szCs w:val="22"/>
              </w:rPr>
              <w:t>Preparation of alternate processing facilities and services</w:t>
            </w:r>
          </w:p>
        </w:tc>
      </w:tr>
      <w:tr>
        <w:trPr/>
        <w:tc>
          <w:tcPr>
            <w:tcW w:w="2236" w:type="dxa"/>
            <w:tcBorders>
              <w:top w:val="single" w:sz="4" w:space="0" w:color="000000"/>
              <w:start w:val="single" w:sz="4" w:space="0" w:color="000000"/>
              <w:bottom w:val="single" w:sz="4" w:space="0" w:color="000000"/>
              <w:end w:val="single" w:sz="4" w:space="0" w:color="000000"/>
            </w:tcBorders>
          </w:tcPr>
          <w:p>
            <w:pPr>
              <w:pStyle w:val="Para"/>
              <w:spacing w:before="120" w:after="120"/>
              <w:ind w:start="0" w:end="0"/>
              <w:rPr>
                <w:rFonts w:ascii="Times New Roman" w:hAnsi="Times New Roman" w:cs="Times New Roman"/>
                <w:sz w:val="22"/>
                <w:szCs w:val="22"/>
              </w:rPr>
            </w:pPr>
            <w:r>
              <w:rPr>
                <w:rFonts w:cs="Times New Roman" w:ascii="Times New Roman" w:hAnsi="Times New Roman"/>
                <w:sz w:val="22"/>
                <w:szCs w:val="22"/>
              </w:rPr>
              <w:t>Voucher Preparation Supervisor</w:t>
            </w:r>
          </w:p>
        </w:tc>
        <w:tc>
          <w:tcPr>
            <w:tcW w:w="4163" w:type="dxa"/>
            <w:tcBorders>
              <w:top w:val="single" w:sz="4" w:space="0" w:color="000000"/>
              <w:start w:val="single" w:sz="4" w:space="0" w:color="000000"/>
              <w:bottom w:val="single" w:sz="4" w:space="0" w:color="000000"/>
              <w:end w:val="single" w:sz="4" w:space="0" w:color="000000"/>
            </w:tcBorders>
          </w:tcPr>
          <w:p>
            <w:pPr>
              <w:pStyle w:val="Para"/>
              <w:spacing w:before="120" w:after="120"/>
              <w:ind w:start="0" w:end="0"/>
              <w:rPr>
                <w:rFonts w:ascii="Times New Roman" w:hAnsi="Times New Roman" w:cs="Times New Roman"/>
                <w:sz w:val="22"/>
                <w:szCs w:val="22"/>
              </w:rPr>
            </w:pPr>
            <w:r>
              <w:rPr>
                <w:rFonts w:cs="Times New Roman" w:ascii="Times New Roman" w:hAnsi="Times New Roman"/>
                <w:sz w:val="22"/>
                <w:szCs w:val="22"/>
              </w:rPr>
              <w:t>Preparation and running of alternate environment</w:t>
            </w:r>
          </w:p>
        </w:tc>
      </w:tr>
      <w:tr>
        <w:trPr/>
        <w:tc>
          <w:tcPr>
            <w:tcW w:w="2236" w:type="dxa"/>
            <w:tcBorders>
              <w:top w:val="single" w:sz="4" w:space="0" w:color="000000"/>
              <w:start w:val="single" w:sz="4" w:space="0" w:color="000000"/>
              <w:bottom w:val="single" w:sz="4" w:space="0" w:color="000000"/>
              <w:end w:val="single" w:sz="4" w:space="0" w:color="000000"/>
            </w:tcBorders>
          </w:tcPr>
          <w:p>
            <w:pPr>
              <w:pStyle w:val="Para"/>
              <w:spacing w:before="120" w:after="120"/>
              <w:ind w:start="0" w:end="0"/>
              <w:rPr>
                <w:rFonts w:ascii="Times New Roman" w:hAnsi="Times New Roman" w:cs="Times New Roman"/>
                <w:sz w:val="22"/>
                <w:szCs w:val="22"/>
              </w:rPr>
            </w:pPr>
            <w:r>
              <w:rPr>
                <w:rFonts w:cs="Times New Roman" w:ascii="Times New Roman" w:hAnsi="Times New Roman"/>
                <w:sz w:val="22"/>
                <w:szCs w:val="22"/>
              </w:rPr>
              <w:t>Voucher Data Capture Supervisor</w:t>
            </w:r>
          </w:p>
        </w:tc>
        <w:tc>
          <w:tcPr>
            <w:tcW w:w="4163" w:type="dxa"/>
            <w:tcBorders>
              <w:top w:val="single" w:sz="4" w:space="0" w:color="000000"/>
              <w:start w:val="single" w:sz="4" w:space="0" w:color="000000"/>
              <w:bottom w:val="single" w:sz="4" w:space="0" w:color="000000"/>
              <w:end w:val="single" w:sz="4" w:space="0" w:color="000000"/>
            </w:tcBorders>
          </w:tcPr>
          <w:p>
            <w:pPr>
              <w:pStyle w:val="Para"/>
              <w:spacing w:before="120" w:after="120"/>
              <w:ind w:start="0" w:end="0"/>
              <w:rPr>
                <w:rFonts w:ascii="Times New Roman" w:hAnsi="Times New Roman" w:cs="Times New Roman"/>
                <w:sz w:val="22"/>
                <w:szCs w:val="22"/>
              </w:rPr>
            </w:pPr>
            <w:r>
              <w:rPr>
                <w:rFonts w:cs="Times New Roman" w:ascii="Times New Roman" w:hAnsi="Times New Roman"/>
                <w:sz w:val="22"/>
                <w:szCs w:val="22"/>
              </w:rPr>
              <w:t>Preparation and running of alternate environment</w:t>
            </w:r>
          </w:p>
          <w:p>
            <w:pPr>
              <w:pStyle w:val="Para"/>
              <w:spacing w:before="120" w:after="120"/>
              <w:ind w:start="0" w:end="0"/>
              <w:rPr>
                <w:rFonts w:ascii="Times New Roman" w:hAnsi="Times New Roman" w:cs="Times New Roman"/>
                <w:sz w:val="22"/>
                <w:szCs w:val="22"/>
              </w:rPr>
            </w:pPr>
            <w:r>
              <w:rPr>
                <w:rFonts w:cs="Times New Roman" w:ascii="Times New Roman" w:hAnsi="Times New Roman"/>
                <w:sz w:val="22"/>
                <w:szCs w:val="22"/>
              </w:rPr>
              <w:t>Possible redirection of staff to Site 2</w:t>
            </w:r>
          </w:p>
        </w:tc>
      </w:tr>
    </w:tbl>
    <w:p>
      <w:pPr>
        <w:pStyle w:val="Para"/>
        <w:ind w:start="720" w:end="0"/>
        <w:rPr>
          <w:rFonts w:ascii="Times New Roman" w:hAnsi="Times New Roman" w:cs="Times New Roman"/>
          <w:sz w:val="22"/>
          <w:szCs w:val="22"/>
        </w:rPr>
      </w:pPr>
      <w:r>
        <w:rPr>
          <w:rFonts w:cs="Times New Roman" w:ascii="Times New Roman" w:hAnsi="Times New Roman"/>
          <w:sz w:val="22"/>
          <w:szCs w:val="22"/>
        </w:rPr>
      </w:r>
      <w:r>
        <w:br w:type="page"/>
      </w:r>
    </w:p>
    <w:p>
      <w:pPr>
        <w:pStyle w:val="Heading1"/>
        <w:ind w:hanging="0" w:start="0"/>
        <w:rPr/>
      </w:pPr>
      <w:bookmarkStart w:id="24" w:name="__RefHeading___Toc113280969"/>
      <w:bookmarkEnd w:id="24"/>
      <w:r>
        <w:rPr/>
        <w:t xml:space="preserve">Appendix 2 </w:t>
        <w:tab/>
        <w:t>Progress Activity Log</w:t>
      </w:r>
    </w:p>
    <w:tbl>
      <w:tblPr>
        <w:tblW w:w="8944" w:type="dxa"/>
        <w:jc w:val="start"/>
        <w:tblInd w:w="0" w:type="dxa"/>
        <w:tblLayout w:type="fixed"/>
        <w:tblCellMar>
          <w:top w:w="0" w:type="dxa"/>
          <w:start w:w="108" w:type="dxa"/>
          <w:bottom w:w="0" w:type="dxa"/>
          <w:end w:w="108" w:type="dxa"/>
        </w:tblCellMar>
      </w:tblPr>
      <w:tblGrid>
        <w:gridCol w:w="3906"/>
        <w:gridCol w:w="1077"/>
        <w:gridCol w:w="925"/>
        <w:gridCol w:w="1086"/>
        <w:gridCol w:w="994"/>
        <w:gridCol w:w="956"/>
      </w:tblGrid>
      <w:tr>
        <w:trPr>
          <w:tblHeader w:val="true"/>
        </w:trPr>
        <w:tc>
          <w:tcPr>
            <w:tcW w:w="3906"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jc w:val="center"/>
              <w:rPr>
                <w:b/>
                <w:bCs/>
                <w:sz w:val="18"/>
                <w:szCs w:val="18"/>
              </w:rPr>
            </w:pPr>
            <w:r>
              <w:rPr>
                <w:b/>
                <w:bCs/>
                <w:sz w:val="18"/>
                <w:szCs w:val="18"/>
              </w:rPr>
            </w:r>
          </w:p>
          <w:p>
            <w:pPr>
              <w:pStyle w:val="Normal"/>
              <w:spacing w:before="120" w:after="120"/>
              <w:jc w:val="center"/>
              <w:rPr>
                <w:b/>
                <w:bCs/>
                <w:sz w:val="18"/>
                <w:szCs w:val="18"/>
              </w:rPr>
            </w:pPr>
            <w:r>
              <w:rPr>
                <w:b/>
                <w:bCs/>
                <w:sz w:val="18"/>
                <w:szCs w:val="18"/>
              </w:rPr>
              <w:t>Task</w:t>
            </w:r>
          </w:p>
        </w:tc>
        <w:tc>
          <w:tcPr>
            <w:tcW w:w="1077"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b/>
                <w:sz w:val="18"/>
                <w:szCs w:val="18"/>
              </w:rPr>
            </w:pPr>
            <w:r>
              <w:rPr>
                <w:b/>
                <w:sz w:val="18"/>
                <w:szCs w:val="18"/>
              </w:rPr>
              <w:t>Head of Operations</w:t>
            </w:r>
          </w:p>
        </w:tc>
        <w:tc>
          <w:tcPr>
            <w:tcW w:w="925"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pPr>
            <w:r>
              <w:rPr>
                <w:b/>
                <w:sz w:val="18"/>
                <w:szCs w:val="18"/>
              </w:rPr>
              <w:t>Site Director</w:t>
            </w:r>
          </w:p>
        </w:tc>
        <w:tc>
          <w:tcPr>
            <w:tcW w:w="1086"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pPr>
            <w:r>
              <w:rPr>
                <w:b/>
                <w:sz w:val="18"/>
                <w:szCs w:val="18"/>
              </w:rPr>
              <w:t>Emergency Response Team</w:t>
            </w:r>
          </w:p>
        </w:tc>
        <w:tc>
          <w:tcPr>
            <w:tcW w:w="994"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pPr>
            <w:r>
              <w:rPr>
                <w:b/>
                <w:sz w:val="18"/>
                <w:szCs w:val="18"/>
              </w:rPr>
              <w:t xml:space="preserve">Customer Liaison Officers </w:t>
            </w:r>
          </w:p>
        </w:tc>
        <w:tc>
          <w:tcPr>
            <w:tcW w:w="956"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b/>
                <w:sz w:val="18"/>
                <w:szCs w:val="18"/>
              </w:rPr>
            </w:pPr>
            <w:r>
              <w:rPr>
                <w:b/>
                <w:sz w:val="18"/>
                <w:szCs w:val="18"/>
              </w:rPr>
              <w:t>Task Complete</w:t>
            </w:r>
          </w:p>
        </w:tc>
      </w:tr>
      <w:tr>
        <w:trPr>
          <w:trHeight w:val="284" w:hRule="atLeast"/>
        </w:trPr>
        <w:tc>
          <w:tcPr>
            <w:tcW w:w="8944" w:type="dxa"/>
            <w:gridSpan w:val="6"/>
            <w:tcBorders>
              <w:top w:val="single" w:sz="4" w:space="0" w:color="000000"/>
              <w:start w:val="single" w:sz="4" w:space="0" w:color="000000"/>
              <w:bottom w:val="single" w:sz="4" w:space="0" w:color="000000"/>
              <w:end w:val="single" w:sz="4" w:space="0" w:color="000000"/>
            </w:tcBorders>
            <w:shd w:fill="E5E5E5" w:val="clear"/>
          </w:tcPr>
          <w:p>
            <w:pPr>
              <w:pStyle w:val="Normal"/>
              <w:spacing w:before="120" w:after="120"/>
              <w:rPr>
                <w:b/>
                <w:bCs/>
                <w:sz w:val="18"/>
                <w:szCs w:val="18"/>
              </w:rPr>
            </w:pPr>
            <w:r>
              <w:rPr>
                <w:b/>
                <w:bCs/>
                <w:sz w:val="18"/>
                <w:szCs w:val="18"/>
              </w:rPr>
              <w:t>1.  Invoke BCP</w:t>
            </w:r>
          </w:p>
        </w:tc>
      </w:tr>
      <w:tr>
        <w:trPr>
          <w:trHeight w:val="284" w:hRule="atLeast"/>
        </w:trPr>
        <w:tc>
          <w:tcPr>
            <w:tcW w:w="390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rPr>
                <w:sz w:val="18"/>
                <w:szCs w:val="18"/>
              </w:rPr>
            </w:pPr>
            <w:r>
              <w:rPr>
                <w:sz w:val="18"/>
                <w:szCs w:val="18"/>
              </w:rPr>
              <w:t>Inform the Neptune Escalation Contacts</w:t>
            </w:r>
          </w:p>
        </w:tc>
        <w:tc>
          <w:tcPr>
            <w:tcW w:w="1077"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rPr>
                <w:sz w:val="18"/>
                <w:szCs w:val="18"/>
              </w:rPr>
            </w:pPr>
            <w:r>
              <w:rPr>
                <w:sz w:val="18"/>
                <w:szCs w:val="18"/>
              </w:rPr>
              <w:t>X</w:t>
            </w:r>
          </w:p>
        </w:tc>
        <w:tc>
          <w:tcPr>
            <w:tcW w:w="925"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rPr>
                <w:sz w:val="18"/>
                <w:szCs w:val="18"/>
              </w:rPr>
            </w:pPr>
            <w:r>
              <w:rPr>
                <w:sz w:val="18"/>
                <w:szCs w:val="18"/>
              </w:rPr>
            </w:r>
          </w:p>
        </w:tc>
        <w:tc>
          <w:tcPr>
            <w:tcW w:w="108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rPr>
                <w:sz w:val="18"/>
                <w:szCs w:val="18"/>
              </w:rPr>
            </w:pPr>
            <w:r>
              <w:rPr>
                <w:sz w:val="18"/>
                <w:szCs w:val="18"/>
              </w:rPr>
            </w:r>
          </w:p>
        </w:tc>
        <w:tc>
          <w:tcPr>
            <w:tcW w:w="99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rPr>
                <w:sz w:val="18"/>
                <w:szCs w:val="18"/>
              </w:rPr>
            </w:pPr>
            <w:r>
              <w:rPr>
                <w:sz w:val="18"/>
                <w:szCs w:val="18"/>
              </w:rPr>
            </w:r>
          </w:p>
        </w:tc>
        <w:tc>
          <w:tcPr>
            <w:tcW w:w="95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rPr>
                <w:sz w:val="18"/>
                <w:szCs w:val="18"/>
              </w:rPr>
            </w:pPr>
            <w:r>
              <w:rPr>
                <w:sz w:val="18"/>
                <w:szCs w:val="18"/>
              </w:rPr>
            </w:r>
          </w:p>
        </w:tc>
      </w:tr>
      <w:tr>
        <w:trPr>
          <w:trHeight w:val="284" w:hRule="atLeast"/>
        </w:trPr>
        <w:tc>
          <w:tcPr>
            <w:tcW w:w="390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rPr>
                <w:sz w:val="18"/>
                <w:szCs w:val="18"/>
              </w:rPr>
            </w:pPr>
            <w:r>
              <w:rPr>
                <w:sz w:val="18"/>
                <w:szCs w:val="18"/>
              </w:rPr>
              <w:t>Inform RBSG Escalation Contacts</w:t>
            </w:r>
          </w:p>
        </w:tc>
        <w:tc>
          <w:tcPr>
            <w:tcW w:w="1077"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rPr>
                <w:sz w:val="18"/>
                <w:szCs w:val="18"/>
              </w:rPr>
            </w:pPr>
            <w:r>
              <w:rPr>
                <w:sz w:val="18"/>
                <w:szCs w:val="18"/>
              </w:rPr>
            </w:r>
          </w:p>
        </w:tc>
        <w:tc>
          <w:tcPr>
            <w:tcW w:w="925"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rPr>
                <w:sz w:val="18"/>
                <w:szCs w:val="18"/>
              </w:rPr>
            </w:pPr>
            <w:r>
              <w:rPr>
                <w:sz w:val="18"/>
                <w:szCs w:val="18"/>
              </w:rPr>
            </w:r>
          </w:p>
        </w:tc>
        <w:tc>
          <w:tcPr>
            <w:tcW w:w="108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rPr>
                <w:sz w:val="18"/>
                <w:szCs w:val="18"/>
              </w:rPr>
            </w:pPr>
            <w:r>
              <w:rPr>
                <w:sz w:val="18"/>
                <w:szCs w:val="18"/>
              </w:rPr>
            </w:r>
          </w:p>
        </w:tc>
        <w:tc>
          <w:tcPr>
            <w:tcW w:w="994"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rPr>
                <w:sz w:val="18"/>
                <w:szCs w:val="18"/>
              </w:rPr>
            </w:pPr>
            <w:r>
              <w:rPr>
                <w:sz w:val="18"/>
                <w:szCs w:val="18"/>
              </w:rPr>
              <w:t>X</w:t>
            </w:r>
          </w:p>
        </w:tc>
        <w:tc>
          <w:tcPr>
            <w:tcW w:w="95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rPr>
                <w:sz w:val="18"/>
                <w:szCs w:val="18"/>
              </w:rPr>
            </w:pPr>
            <w:r>
              <w:rPr>
                <w:sz w:val="18"/>
                <w:szCs w:val="18"/>
              </w:rPr>
            </w:r>
          </w:p>
        </w:tc>
      </w:tr>
      <w:tr>
        <w:trPr>
          <w:trHeight w:val="284" w:hRule="atLeast"/>
        </w:trPr>
        <w:tc>
          <w:tcPr>
            <w:tcW w:w="390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rPr>
                <w:sz w:val="18"/>
                <w:szCs w:val="18"/>
              </w:rPr>
            </w:pPr>
            <w:r>
              <w:rPr>
                <w:sz w:val="18"/>
                <w:szCs w:val="18"/>
              </w:rPr>
              <w:t>Identify Emergency Response Team members</w:t>
            </w:r>
          </w:p>
        </w:tc>
        <w:tc>
          <w:tcPr>
            <w:tcW w:w="1077"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rPr>
                <w:sz w:val="18"/>
                <w:szCs w:val="18"/>
              </w:rPr>
            </w:pPr>
            <w:r>
              <w:rPr>
                <w:sz w:val="18"/>
                <w:szCs w:val="18"/>
              </w:rPr>
              <w:t>X</w:t>
            </w:r>
          </w:p>
        </w:tc>
        <w:tc>
          <w:tcPr>
            <w:tcW w:w="925"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rPr>
                <w:sz w:val="18"/>
                <w:szCs w:val="18"/>
              </w:rPr>
            </w:pPr>
            <w:r>
              <w:rPr>
                <w:sz w:val="18"/>
                <w:szCs w:val="18"/>
              </w:rPr>
              <w:t>X</w:t>
            </w:r>
          </w:p>
        </w:tc>
        <w:tc>
          <w:tcPr>
            <w:tcW w:w="108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rPr>
                <w:sz w:val="18"/>
                <w:szCs w:val="18"/>
              </w:rPr>
            </w:pPr>
            <w:r>
              <w:rPr>
                <w:sz w:val="18"/>
                <w:szCs w:val="18"/>
              </w:rPr>
            </w:r>
          </w:p>
        </w:tc>
        <w:tc>
          <w:tcPr>
            <w:tcW w:w="99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rPr>
                <w:sz w:val="18"/>
                <w:szCs w:val="18"/>
              </w:rPr>
            </w:pPr>
            <w:r>
              <w:rPr>
                <w:sz w:val="18"/>
                <w:szCs w:val="18"/>
              </w:rPr>
            </w:r>
          </w:p>
        </w:tc>
        <w:tc>
          <w:tcPr>
            <w:tcW w:w="95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rPr>
                <w:sz w:val="18"/>
                <w:szCs w:val="18"/>
              </w:rPr>
            </w:pPr>
            <w:r>
              <w:rPr>
                <w:sz w:val="18"/>
                <w:szCs w:val="18"/>
              </w:rPr>
            </w:r>
          </w:p>
        </w:tc>
      </w:tr>
      <w:tr>
        <w:trPr>
          <w:trHeight w:val="284" w:hRule="atLeast"/>
        </w:trPr>
        <w:tc>
          <w:tcPr>
            <w:tcW w:w="390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rPr>
                <w:sz w:val="18"/>
                <w:szCs w:val="18"/>
              </w:rPr>
            </w:pPr>
            <w:r>
              <w:rPr>
                <w:sz w:val="18"/>
                <w:szCs w:val="18"/>
              </w:rPr>
              <w:t>Assemble Emergency Response Team</w:t>
            </w:r>
          </w:p>
        </w:tc>
        <w:tc>
          <w:tcPr>
            <w:tcW w:w="1077"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rPr>
                <w:sz w:val="18"/>
                <w:szCs w:val="18"/>
              </w:rPr>
            </w:pPr>
            <w:r>
              <w:rPr>
                <w:sz w:val="18"/>
                <w:szCs w:val="18"/>
              </w:rPr>
            </w:r>
          </w:p>
        </w:tc>
        <w:tc>
          <w:tcPr>
            <w:tcW w:w="925"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rPr>
                <w:sz w:val="18"/>
                <w:szCs w:val="18"/>
              </w:rPr>
            </w:pPr>
            <w:r>
              <w:rPr>
                <w:sz w:val="18"/>
                <w:szCs w:val="18"/>
              </w:rPr>
              <w:t>X</w:t>
            </w:r>
          </w:p>
        </w:tc>
        <w:tc>
          <w:tcPr>
            <w:tcW w:w="108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rPr>
                <w:sz w:val="18"/>
                <w:szCs w:val="18"/>
              </w:rPr>
            </w:pPr>
            <w:r>
              <w:rPr>
                <w:sz w:val="18"/>
                <w:szCs w:val="18"/>
              </w:rPr>
            </w:r>
          </w:p>
        </w:tc>
        <w:tc>
          <w:tcPr>
            <w:tcW w:w="99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rPr>
                <w:sz w:val="18"/>
                <w:szCs w:val="18"/>
              </w:rPr>
            </w:pPr>
            <w:r>
              <w:rPr>
                <w:sz w:val="18"/>
                <w:szCs w:val="18"/>
              </w:rPr>
            </w:r>
          </w:p>
        </w:tc>
        <w:tc>
          <w:tcPr>
            <w:tcW w:w="95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rPr>
                <w:sz w:val="18"/>
                <w:szCs w:val="18"/>
              </w:rPr>
            </w:pPr>
            <w:r>
              <w:rPr>
                <w:sz w:val="18"/>
                <w:szCs w:val="18"/>
              </w:rPr>
            </w:r>
          </w:p>
        </w:tc>
      </w:tr>
      <w:tr>
        <w:trPr>
          <w:trHeight w:val="284" w:hRule="atLeast"/>
        </w:trPr>
        <w:tc>
          <w:tcPr>
            <w:tcW w:w="390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rPr>
                <w:sz w:val="18"/>
                <w:szCs w:val="18"/>
              </w:rPr>
            </w:pPr>
            <w:r>
              <w:rPr>
                <w:sz w:val="18"/>
                <w:szCs w:val="18"/>
              </w:rPr>
              <w:t>Schedule disaster review meetings</w:t>
            </w:r>
          </w:p>
        </w:tc>
        <w:tc>
          <w:tcPr>
            <w:tcW w:w="1077"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rPr>
                <w:sz w:val="18"/>
                <w:szCs w:val="18"/>
              </w:rPr>
            </w:pPr>
            <w:r>
              <w:rPr>
                <w:sz w:val="18"/>
                <w:szCs w:val="18"/>
              </w:rPr>
              <w:t>X</w:t>
            </w:r>
          </w:p>
        </w:tc>
        <w:tc>
          <w:tcPr>
            <w:tcW w:w="925"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rPr>
                <w:sz w:val="18"/>
                <w:szCs w:val="18"/>
              </w:rPr>
            </w:pPr>
            <w:r>
              <w:rPr>
                <w:sz w:val="18"/>
                <w:szCs w:val="18"/>
              </w:rPr>
              <w:t>X</w:t>
            </w:r>
          </w:p>
        </w:tc>
        <w:tc>
          <w:tcPr>
            <w:tcW w:w="108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rPr>
                <w:sz w:val="18"/>
                <w:szCs w:val="18"/>
              </w:rPr>
            </w:pPr>
            <w:r>
              <w:rPr>
                <w:sz w:val="18"/>
                <w:szCs w:val="18"/>
              </w:rPr>
            </w:r>
          </w:p>
        </w:tc>
        <w:tc>
          <w:tcPr>
            <w:tcW w:w="99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rPr>
                <w:sz w:val="18"/>
                <w:szCs w:val="18"/>
              </w:rPr>
            </w:pPr>
            <w:r>
              <w:rPr>
                <w:sz w:val="18"/>
                <w:szCs w:val="18"/>
              </w:rPr>
            </w:r>
          </w:p>
        </w:tc>
        <w:tc>
          <w:tcPr>
            <w:tcW w:w="95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rPr>
                <w:sz w:val="18"/>
                <w:szCs w:val="18"/>
              </w:rPr>
            </w:pPr>
            <w:r>
              <w:rPr>
                <w:sz w:val="18"/>
                <w:szCs w:val="18"/>
              </w:rPr>
            </w:r>
          </w:p>
        </w:tc>
      </w:tr>
      <w:tr>
        <w:trPr>
          <w:trHeight w:val="284" w:hRule="atLeast"/>
        </w:trPr>
        <w:tc>
          <w:tcPr>
            <w:tcW w:w="8944" w:type="dxa"/>
            <w:gridSpan w:val="6"/>
            <w:tcBorders>
              <w:top w:val="single" w:sz="4" w:space="0" w:color="000000"/>
              <w:start w:val="single" w:sz="4" w:space="0" w:color="000000"/>
              <w:bottom w:val="single" w:sz="4" w:space="0" w:color="000000"/>
              <w:end w:val="single" w:sz="4" w:space="0" w:color="000000"/>
            </w:tcBorders>
            <w:shd w:fill="E5E5E5" w:val="clear"/>
          </w:tcPr>
          <w:p>
            <w:pPr>
              <w:pStyle w:val="Normal"/>
              <w:spacing w:before="120" w:after="120"/>
              <w:rPr>
                <w:b/>
                <w:bCs/>
                <w:sz w:val="18"/>
                <w:szCs w:val="18"/>
              </w:rPr>
            </w:pPr>
            <w:r>
              <w:rPr>
                <w:b/>
                <w:bCs/>
                <w:sz w:val="18"/>
                <w:szCs w:val="18"/>
              </w:rPr>
              <w:t>2.  Manage Problem Resolution</w:t>
            </w:r>
          </w:p>
        </w:tc>
      </w:tr>
      <w:tr>
        <w:trPr>
          <w:trHeight w:val="284" w:hRule="atLeast"/>
        </w:trPr>
        <w:tc>
          <w:tcPr>
            <w:tcW w:w="390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rPr>
                <w:sz w:val="18"/>
                <w:szCs w:val="18"/>
              </w:rPr>
            </w:pPr>
            <w:r>
              <w:rPr>
                <w:sz w:val="18"/>
                <w:szCs w:val="18"/>
              </w:rPr>
              <w:t>Determine problem resolution</w:t>
            </w:r>
          </w:p>
        </w:tc>
        <w:tc>
          <w:tcPr>
            <w:tcW w:w="1077"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25"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jc w:val="center"/>
              <w:rPr>
                <w:sz w:val="18"/>
                <w:szCs w:val="18"/>
              </w:rPr>
            </w:pPr>
            <w:r>
              <w:rPr>
                <w:sz w:val="18"/>
                <w:szCs w:val="18"/>
              </w:rPr>
              <w:t>X</w:t>
            </w:r>
          </w:p>
        </w:tc>
        <w:tc>
          <w:tcPr>
            <w:tcW w:w="108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jc w:val="center"/>
              <w:rPr>
                <w:sz w:val="18"/>
                <w:szCs w:val="18"/>
              </w:rPr>
            </w:pPr>
            <w:r>
              <w:rPr>
                <w:sz w:val="18"/>
                <w:szCs w:val="18"/>
              </w:rPr>
              <w:t>X</w:t>
            </w:r>
          </w:p>
        </w:tc>
        <w:tc>
          <w:tcPr>
            <w:tcW w:w="99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5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r>
      <w:tr>
        <w:trPr>
          <w:trHeight w:val="284" w:hRule="atLeast"/>
        </w:trPr>
        <w:tc>
          <w:tcPr>
            <w:tcW w:w="390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rPr>
                <w:sz w:val="18"/>
                <w:szCs w:val="18"/>
              </w:rPr>
            </w:pPr>
            <w:r>
              <w:rPr>
                <w:sz w:val="18"/>
                <w:szCs w:val="18"/>
              </w:rPr>
              <w:t>Plan Resolutions Timetable</w:t>
            </w:r>
          </w:p>
        </w:tc>
        <w:tc>
          <w:tcPr>
            <w:tcW w:w="1077"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25"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jc w:val="center"/>
              <w:rPr>
                <w:sz w:val="18"/>
                <w:szCs w:val="18"/>
              </w:rPr>
            </w:pPr>
            <w:r>
              <w:rPr>
                <w:sz w:val="18"/>
                <w:szCs w:val="18"/>
              </w:rPr>
              <w:t>X</w:t>
            </w:r>
          </w:p>
        </w:tc>
        <w:tc>
          <w:tcPr>
            <w:tcW w:w="108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jc w:val="center"/>
              <w:rPr>
                <w:sz w:val="18"/>
                <w:szCs w:val="18"/>
              </w:rPr>
            </w:pPr>
            <w:r>
              <w:rPr>
                <w:sz w:val="18"/>
                <w:szCs w:val="18"/>
              </w:rPr>
              <w:t>X</w:t>
            </w:r>
          </w:p>
        </w:tc>
        <w:tc>
          <w:tcPr>
            <w:tcW w:w="99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5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r>
      <w:tr>
        <w:trPr>
          <w:trHeight w:val="284" w:hRule="atLeast"/>
        </w:trPr>
        <w:tc>
          <w:tcPr>
            <w:tcW w:w="390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rPr>
                <w:sz w:val="18"/>
                <w:szCs w:val="18"/>
              </w:rPr>
            </w:pPr>
            <w:r>
              <w:rPr>
                <w:sz w:val="18"/>
                <w:szCs w:val="18"/>
              </w:rPr>
              <w:t>Approve Resolution plan</w:t>
            </w:r>
          </w:p>
        </w:tc>
        <w:tc>
          <w:tcPr>
            <w:tcW w:w="1077"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jc w:val="center"/>
              <w:rPr>
                <w:sz w:val="18"/>
                <w:szCs w:val="18"/>
              </w:rPr>
            </w:pPr>
            <w:r>
              <w:rPr>
                <w:sz w:val="18"/>
                <w:szCs w:val="18"/>
              </w:rPr>
              <w:t>X</w:t>
            </w:r>
          </w:p>
        </w:tc>
        <w:tc>
          <w:tcPr>
            <w:tcW w:w="925"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108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9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5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r>
      <w:tr>
        <w:trPr>
          <w:trHeight w:val="284" w:hRule="atLeast"/>
        </w:trPr>
        <w:tc>
          <w:tcPr>
            <w:tcW w:w="390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rPr>
                <w:sz w:val="18"/>
                <w:szCs w:val="18"/>
              </w:rPr>
            </w:pPr>
            <w:r>
              <w:rPr>
                <w:sz w:val="18"/>
                <w:szCs w:val="18"/>
              </w:rPr>
              <w:t>Review plans &amp; progress</w:t>
            </w:r>
          </w:p>
        </w:tc>
        <w:tc>
          <w:tcPr>
            <w:tcW w:w="1077"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jc w:val="center"/>
              <w:rPr>
                <w:sz w:val="18"/>
                <w:szCs w:val="18"/>
              </w:rPr>
            </w:pPr>
            <w:r>
              <w:rPr>
                <w:sz w:val="18"/>
                <w:szCs w:val="18"/>
              </w:rPr>
              <w:t>X</w:t>
            </w:r>
          </w:p>
        </w:tc>
        <w:tc>
          <w:tcPr>
            <w:tcW w:w="925"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jc w:val="center"/>
              <w:rPr>
                <w:sz w:val="18"/>
                <w:szCs w:val="18"/>
              </w:rPr>
            </w:pPr>
            <w:r>
              <w:rPr>
                <w:sz w:val="18"/>
                <w:szCs w:val="18"/>
              </w:rPr>
              <w:t>X</w:t>
            </w:r>
          </w:p>
        </w:tc>
        <w:tc>
          <w:tcPr>
            <w:tcW w:w="108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94"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jc w:val="center"/>
              <w:rPr>
                <w:sz w:val="18"/>
                <w:szCs w:val="18"/>
              </w:rPr>
            </w:pPr>
            <w:r>
              <w:rPr>
                <w:sz w:val="18"/>
                <w:szCs w:val="18"/>
              </w:rPr>
              <w:t>X</w:t>
            </w:r>
          </w:p>
        </w:tc>
        <w:tc>
          <w:tcPr>
            <w:tcW w:w="95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r>
      <w:tr>
        <w:trPr>
          <w:trHeight w:val="284" w:hRule="atLeast"/>
        </w:trPr>
        <w:tc>
          <w:tcPr>
            <w:tcW w:w="8944" w:type="dxa"/>
            <w:gridSpan w:val="6"/>
            <w:tcBorders>
              <w:top w:val="single" w:sz="4" w:space="0" w:color="000000"/>
              <w:start w:val="single" w:sz="4" w:space="0" w:color="000000"/>
              <w:bottom w:val="single" w:sz="4" w:space="0" w:color="000000"/>
              <w:end w:val="single" w:sz="4" w:space="0" w:color="000000"/>
            </w:tcBorders>
            <w:shd w:fill="E5E5E5" w:val="clear"/>
          </w:tcPr>
          <w:p>
            <w:pPr>
              <w:pStyle w:val="Normal"/>
              <w:spacing w:before="120" w:after="120"/>
              <w:rPr>
                <w:b/>
                <w:bCs/>
                <w:sz w:val="18"/>
                <w:szCs w:val="18"/>
              </w:rPr>
            </w:pPr>
            <w:r>
              <w:rPr>
                <w:b/>
                <w:bCs/>
                <w:sz w:val="18"/>
                <w:szCs w:val="18"/>
              </w:rPr>
              <w:t>3.  Execute Resolution Plan (Site 1)</w:t>
            </w:r>
          </w:p>
        </w:tc>
      </w:tr>
      <w:tr>
        <w:trPr>
          <w:trHeight w:val="284" w:hRule="atLeast"/>
        </w:trPr>
        <w:tc>
          <w:tcPr>
            <w:tcW w:w="390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rPr>
                <w:sz w:val="18"/>
                <w:szCs w:val="18"/>
              </w:rPr>
            </w:pPr>
            <w:r>
              <w:rPr>
                <w:sz w:val="18"/>
                <w:szCs w:val="18"/>
              </w:rPr>
              <w:t>Contact alternate sites for accommodation</w:t>
            </w:r>
          </w:p>
        </w:tc>
        <w:tc>
          <w:tcPr>
            <w:tcW w:w="1077"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25"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108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jc w:val="center"/>
              <w:rPr>
                <w:sz w:val="18"/>
                <w:szCs w:val="18"/>
              </w:rPr>
            </w:pPr>
            <w:r>
              <w:rPr>
                <w:sz w:val="18"/>
                <w:szCs w:val="18"/>
              </w:rPr>
              <w:t>X</w:t>
            </w:r>
          </w:p>
        </w:tc>
        <w:tc>
          <w:tcPr>
            <w:tcW w:w="99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5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r>
      <w:tr>
        <w:trPr>
          <w:trHeight w:val="284" w:hRule="atLeast"/>
        </w:trPr>
        <w:tc>
          <w:tcPr>
            <w:tcW w:w="390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rPr>
                <w:sz w:val="18"/>
                <w:szCs w:val="18"/>
              </w:rPr>
            </w:pPr>
            <w:r>
              <w:rPr>
                <w:sz w:val="18"/>
                <w:szCs w:val="18"/>
              </w:rPr>
              <w:t>Redirect preparation staff to alternate site</w:t>
            </w:r>
          </w:p>
        </w:tc>
        <w:tc>
          <w:tcPr>
            <w:tcW w:w="1077"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25"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108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jc w:val="center"/>
              <w:rPr>
                <w:sz w:val="18"/>
                <w:szCs w:val="18"/>
              </w:rPr>
            </w:pPr>
            <w:r>
              <w:rPr>
                <w:sz w:val="18"/>
                <w:szCs w:val="18"/>
              </w:rPr>
              <w:t>X</w:t>
            </w:r>
          </w:p>
        </w:tc>
        <w:tc>
          <w:tcPr>
            <w:tcW w:w="99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5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r>
      <w:tr>
        <w:trPr>
          <w:trHeight w:val="284" w:hRule="atLeast"/>
        </w:trPr>
        <w:tc>
          <w:tcPr>
            <w:tcW w:w="390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rPr>
                <w:sz w:val="18"/>
                <w:szCs w:val="18"/>
              </w:rPr>
            </w:pPr>
            <w:r>
              <w:rPr>
                <w:sz w:val="18"/>
                <w:szCs w:val="18"/>
              </w:rPr>
              <w:t>Notify voucher courier of alternate site</w:t>
            </w:r>
          </w:p>
        </w:tc>
        <w:tc>
          <w:tcPr>
            <w:tcW w:w="1077"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25"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108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jc w:val="center"/>
              <w:rPr>
                <w:sz w:val="18"/>
                <w:szCs w:val="18"/>
              </w:rPr>
            </w:pPr>
            <w:r>
              <w:rPr>
                <w:sz w:val="18"/>
                <w:szCs w:val="18"/>
              </w:rPr>
              <w:t>X</w:t>
            </w:r>
          </w:p>
        </w:tc>
        <w:tc>
          <w:tcPr>
            <w:tcW w:w="99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5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r>
      <w:tr>
        <w:trPr>
          <w:trHeight w:val="284" w:hRule="atLeast"/>
        </w:trPr>
        <w:tc>
          <w:tcPr>
            <w:tcW w:w="390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rPr>
                <w:sz w:val="18"/>
                <w:szCs w:val="18"/>
              </w:rPr>
            </w:pPr>
            <w:r>
              <w:rPr>
                <w:sz w:val="18"/>
                <w:szCs w:val="18"/>
              </w:rPr>
              <w:t>Gather essential items</w:t>
            </w:r>
          </w:p>
        </w:tc>
        <w:tc>
          <w:tcPr>
            <w:tcW w:w="1077"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25"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108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jc w:val="center"/>
              <w:rPr>
                <w:sz w:val="18"/>
                <w:szCs w:val="18"/>
              </w:rPr>
            </w:pPr>
            <w:r>
              <w:rPr>
                <w:sz w:val="18"/>
                <w:szCs w:val="18"/>
              </w:rPr>
              <w:t>X</w:t>
            </w:r>
          </w:p>
        </w:tc>
        <w:tc>
          <w:tcPr>
            <w:tcW w:w="99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5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r>
      <w:tr>
        <w:trPr>
          <w:trHeight w:val="284" w:hRule="atLeast"/>
        </w:trPr>
        <w:tc>
          <w:tcPr>
            <w:tcW w:w="390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rPr>
                <w:sz w:val="18"/>
                <w:szCs w:val="18"/>
              </w:rPr>
            </w:pPr>
            <w:r>
              <w:rPr>
                <w:sz w:val="18"/>
                <w:szCs w:val="18"/>
              </w:rPr>
              <w:t>Establish communications to Site 2</w:t>
            </w:r>
          </w:p>
        </w:tc>
        <w:tc>
          <w:tcPr>
            <w:tcW w:w="1077"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25"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108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jc w:val="center"/>
              <w:rPr>
                <w:sz w:val="18"/>
                <w:szCs w:val="18"/>
              </w:rPr>
            </w:pPr>
            <w:r>
              <w:rPr>
                <w:sz w:val="18"/>
                <w:szCs w:val="18"/>
              </w:rPr>
              <w:t>X</w:t>
            </w:r>
          </w:p>
        </w:tc>
        <w:tc>
          <w:tcPr>
            <w:tcW w:w="99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5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r>
      <w:tr>
        <w:trPr>
          <w:trHeight w:val="284" w:hRule="atLeast"/>
        </w:trPr>
        <w:tc>
          <w:tcPr>
            <w:tcW w:w="390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rPr>
                <w:sz w:val="18"/>
                <w:szCs w:val="18"/>
              </w:rPr>
            </w:pPr>
            <w:r>
              <w:rPr>
                <w:sz w:val="18"/>
                <w:szCs w:val="18"/>
              </w:rPr>
              <w:t>Establish food/drinks at alternate site</w:t>
            </w:r>
          </w:p>
        </w:tc>
        <w:tc>
          <w:tcPr>
            <w:tcW w:w="1077"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25"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108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jc w:val="center"/>
              <w:rPr>
                <w:sz w:val="18"/>
                <w:szCs w:val="18"/>
              </w:rPr>
            </w:pPr>
            <w:r>
              <w:rPr>
                <w:sz w:val="18"/>
                <w:szCs w:val="18"/>
              </w:rPr>
              <w:t>X</w:t>
            </w:r>
          </w:p>
        </w:tc>
        <w:tc>
          <w:tcPr>
            <w:tcW w:w="99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5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r>
      <w:tr>
        <w:trPr>
          <w:trHeight w:val="284" w:hRule="atLeast"/>
        </w:trPr>
        <w:tc>
          <w:tcPr>
            <w:tcW w:w="390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rPr>
                <w:sz w:val="18"/>
                <w:szCs w:val="18"/>
              </w:rPr>
            </w:pPr>
            <w:r>
              <w:rPr>
                <w:sz w:val="18"/>
                <w:szCs w:val="18"/>
              </w:rPr>
              <w:t>Begin Batching</w:t>
            </w:r>
          </w:p>
        </w:tc>
        <w:tc>
          <w:tcPr>
            <w:tcW w:w="1077"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25"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108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jc w:val="center"/>
              <w:rPr>
                <w:sz w:val="18"/>
                <w:szCs w:val="18"/>
              </w:rPr>
            </w:pPr>
            <w:r>
              <w:rPr>
                <w:sz w:val="18"/>
                <w:szCs w:val="18"/>
              </w:rPr>
              <w:t>X</w:t>
            </w:r>
          </w:p>
        </w:tc>
        <w:tc>
          <w:tcPr>
            <w:tcW w:w="99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5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r>
      <w:tr>
        <w:trPr>
          <w:trHeight w:val="284" w:hRule="atLeast"/>
        </w:trPr>
        <w:tc>
          <w:tcPr>
            <w:tcW w:w="390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rPr>
                <w:sz w:val="18"/>
                <w:szCs w:val="18"/>
              </w:rPr>
            </w:pPr>
            <w:r>
              <w:rPr>
                <w:sz w:val="18"/>
                <w:szCs w:val="18"/>
              </w:rPr>
              <w:t>Redirect KFI/Adjustment staff to Site 2</w:t>
            </w:r>
          </w:p>
        </w:tc>
        <w:tc>
          <w:tcPr>
            <w:tcW w:w="1077"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25"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108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jc w:val="center"/>
              <w:rPr>
                <w:sz w:val="18"/>
                <w:szCs w:val="18"/>
              </w:rPr>
            </w:pPr>
            <w:r>
              <w:rPr>
                <w:sz w:val="18"/>
                <w:szCs w:val="18"/>
              </w:rPr>
              <w:t>X</w:t>
            </w:r>
          </w:p>
        </w:tc>
        <w:tc>
          <w:tcPr>
            <w:tcW w:w="99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5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r>
      <w:tr>
        <w:trPr>
          <w:trHeight w:val="284" w:hRule="atLeast"/>
        </w:trPr>
        <w:tc>
          <w:tcPr>
            <w:tcW w:w="390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rPr>
                <w:sz w:val="18"/>
                <w:szCs w:val="18"/>
              </w:rPr>
            </w:pPr>
            <w:r>
              <w:rPr>
                <w:sz w:val="18"/>
                <w:szCs w:val="18"/>
              </w:rPr>
            </w:r>
          </w:p>
        </w:tc>
        <w:tc>
          <w:tcPr>
            <w:tcW w:w="1077"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25"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108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9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5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r>
      <w:tr>
        <w:trPr>
          <w:trHeight w:val="284" w:hRule="atLeast"/>
        </w:trPr>
        <w:tc>
          <w:tcPr>
            <w:tcW w:w="390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rPr>
                <w:sz w:val="18"/>
                <w:szCs w:val="18"/>
              </w:rPr>
            </w:pPr>
            <w:r>
              <w:rPr>
                <w:sz w:val="18"/>
                <w:szCs w:val="18"/>
              </w:rPr>
              <w:t>Report progress and issues</w:t>
            </w:r>
          </w:p>
        </w:tc>
        <w:tc>
          <w:tcPr>
            <w:tcW w:w="1077"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25"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108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jc w:val="center"/>
              <w:rPr>
                <w:sz w:val="18"/>
                <w:szCs w:val="18"/>
              </w:rPr>
            </w:pPr>
            <w:r>
              <w:rPr>
                <w:sz w:val="18"/>
                <w:szCs w:val="18"/>
              </w:rPr>
              <w:t>X</w:t>
            </w:r>
          </w:p>
        </w:tc>
        <w:tc>
          <w:tcPr>
            <w:tcW w:w="994"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jc w:val="center"/>
              <w:rPr>
                <w:sz w:val="18"/>
                <w:szCs w:val="18"/>
              </w:rPr>
            </w:pPr>
            <w:r>
              <w:rPr>
                <w:sz w:val="18"/>
                <w:szCs w:val="18"/>
              </w:rPr>
              <w:t>X</w:t>
            </w:r>
          </w:p>
        </w:tc>
        <w:tc>
          <w:tcPr>
            <w:tcW w:w="95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r>
      <w:tr>
        <w:trPr>
          <w:trHeight w:val="284" w:hRule="atLeast"/>
        </w:trPr>
        <w:tc>
          <w:tcPr>
            <w:tcW w:w="8944" w:type="dxa"/>
            <w:gridSpan w:val="6"/>
            <w:tcBorders>
              <w:top w:val="single" w:sz="4" w:space="0" w:color="000000"/>
              <w:start w:val="single" w:sz="4" w:space="0" w:color="000000"/>
              <w:bottom w:val="single" w:sz="4" w:space="0" w:color="000000"/>
              <w:end w:val="single" w:sz="4" w:space="0" w:color="000000"/>
            </w:tcBorders>
            <w:shd w:fill="E5E5E5" w:val="clear"/>
          </w:tcPr>
          <w:p>
            <w:pPr>
              <w:pStyle w:val="Normal"/>
              <w:spacing w:before="120" w:after="120"/>
              <w:rPr>
                <w:b/>
                <w:bCs/>
                <w:sz w:val="18"/>
                <w:szCs w:val="18"/>
              </w:rPr>
            </w:pPr>
            <w:r>
              <w:rPr>
                <w:b/>
                <w:bCs/>
                <w:sz w:val="18"/>
                <w:szCs w:val="18"/>
              </w:rPr>
              <w:t>3.  Execute Resolution Plan (Site 2)</w:t>
            </w:r>
          </w:p>
        </w:tc>
      </w:tr>
      <w:tr>
        <w:trPr>
          <w:trHeight w:val="284" w:hRule="atLeast"/>
        </w:trPr>
        <w:tc>
          <w:tcPr>
            <w:tcW w:w="390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rPr>
                <w:sz w:val="18"/>
                <w:szCs w:val="18"/>
              </w:rPr>
            </w:pPr>
            <w:r>
              <w:rPr>
                <w:sz w:val="18"/>
                <w:szCs w:val="18"/>
              </w:rPr>
              <w:t>Establish alternate accommodation</w:t>
            </w:r>
          </w:p>
        </w:tc>
        <w:tc>
          <w:tcPr>
            <w:tcW w:w="1077"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25"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108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jc w:val="center"/>
              <w:rPr>
                <w:sz w:val="18"/>
                <w:szCs w:val="18"/>
              </w:rPr>
            </w:pPr>
            <w:r>
              <w:rPr>
                <w:sz w:val="18"/>
                <w:szCs w:val="18"/>
              </w:rPr>
              <w:t>X</w:t>
            </w:r>
          </w:p>
        </w:tc>
        <w:tc>
          <w:tcPr>
            <w:tcW w:w="99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5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r>
      <w:tr>
        <w:trPr>
          <w:trHeight w:val="284" w:hRule="atLeast"/>
        </w:trPr>
        <w:tc>
          <w:tcPr>
            <w:tcW w:w="390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rPr>
                <w:sz w:val="18"/>
                <w:szCs w:val="18"/>
              </w:rPr>
            </w:pPr>
            <w:r>
              <w:rPr>
                <w:sz w:val="18"/>
                <w:szCs w:val="18"/>
              </w:rPr>
              <w:t>Source PCs &amp; scanners</w:t>
            </w:r>
          </w:p>
        </w:tc>
        <w:tc>
          <w:tcPr>
            <w:tcW w:w="1077"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25"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108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jc w:val="center"/>
              <w:rPr>
                <w:sz w:val="18"/>
                <w:szCs w:val="18"/>
              </w:rPr>
            </w:pPr>
            <w:r>
              <w:rPr>
                <w:sz w:val="18"/>
                <w:szCs w:val="18"/>
              </w:rPr>
              <w:t>X</w:t>
            </w:r>
          </w:p>
        </w:tc>
        <w:tc>
          <w:tcPr>
            <w:tcW w:w="99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5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r>
      <w:tr>
        <w:trPr>
          <w:trHeight w:val="284" w:hRule="atLeast"/>
        </w:trPr>
        <w:tc>
          <w:tcPr>
            <w:tcW w:w="390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rPr>
                <w:sz w:val="18"/>
                <w:szCs w:val="18"/>
              </w:rPr>
            </w:pPr>
            <w:r>
              <w:rPr>
                <w:sz w:val="18"/>
                <w:szCs w:val="18"/>
              </w:rPr>
              <w:t>Source network hub</w:t>
            </w:r>
          </w:p>
        </w:tc>
        <w:tc>
          <w:tcPr>
            <w:tcW w:w="1077"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25"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108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jc w:val="center"/>
              <w:rPr>
                <w:sz w:val="18"/>
                <w:szCs w:val="18"/>
              </w:rPr>
            </w:pPr>
            <w:r>
              <w:rPr>
                <w:sz w:val="18"/>
                <w:szCs w:val="18"/>
              </w:rPr>
              <w:t>X</w:t>
            </w:r>
          </w:p>
        </w:tc>
        <w:tc>
          <w:tcPr>
            <w:tcW w:w="99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5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r>
      <w:tr>
        <w:trPr>
          <w:trHeight w:val="284" w:hRule="atLeast"/>
        </w:trPr>
        <w:tc>
          <w:tcPr>
            <w:tcW w:w="390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rPr>
                <w:sz w:val="18"/>
                <w:szCs w:val="18"/>
              </w:rPr>
            </w:pPr>
            <w:r>
              <w:rPr>
                <w:sz w:val="18"/>
                <w:szCs w:val="18"/>
              </w:rPr>
              <w:t>Implement standby server configuration</w:t>
            </w:r>
          </w:p>
        </w:tc>
        <w:tc>
          <w:tcPr>
            <w:tcW w:w="1077"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25"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108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jc w:val="center"/>
              <w:rPr>
                <w:sz w:val="18"/>
                <w:szCs w:val="18"/>
              </w:rPr>
            </w:pPr>
            <w:r>
              <w:rPr>
                <w:sz w:val="18"/>
                <w:szCs w:val="18"/>
              </w:rPr>
              <w:t>X</w:t>
            </w:r>
          </w:p>
        </w:tc>
        <w:tc>
          <w:tcPr>
            <w:tcW w:w="99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5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r>
      <w:tr>
        <w:trPr>
          <w:trHeight w:val="284" w:hRule="atLeast"/>
        </w:trPr>
        <w:tc>
          <w:tcPr>
            <w:tcW w:w="390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rPr>
                <w:sz w:val="18"/>
                <w:szCs w:val="18"/>
              </w:rPr>
            </w:pPr>
            <w:r>
              <w:rPr>
                <w:sz w:val="18"/>
                <w:szCs w:val="18"/>
              </w:rPr>
              <w:t>Establish communications to PCs</w:t>
            </w:r>
          </w:p>
        </w:tc>
        <w:tc>
          <w:tcPr>
            <w:tcW w:w="1077"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25"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108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jc w:val="center"/>
              <w:rPr>
                <w:sz w:val="18"/>
                <w:szCs w:val="18"/>
              </w:rPr>
            </w:pPr>
            <w:r>
              <w:rPr>
                <w:sz w:val="18"/>
                <w:szCs w:val="18"/>
              </w:rPr>
              <w:t>X</w:t>
            </w:r>
          </w:p>
        </w:tc>
        <w:tc>
          <w:tcPr>
            <w:tcW w:w="99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5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r>
      <w:tr>
        <w:trPr>
          <w:trHeight w:val="284" w:hRule="atLeast"/>
        </w:trPr>
        <w:tc>
          <w:tcPr>
            <w:tcW w:w="390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rPr>
                <w:sz w:val="18"/>
                <w:szCs w:val="18"/>
              </w:rPr>
            </w:pPr>
            <w:r>
              <w:rPr>
                <w:sz w:val="18"/>
                <w:szCs w:val="18"/>
              </w:rPr>
              <w:t>Staff PCs for KFI/Adjustment work</w:t>
            </w:r>
          </w:p>
        </w:tc>
        <w:tc>
          <w:tcPr>
            <w:tcW w:w="1077"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25"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108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jc w:val="center"/>
              <w:rPr>
                <w:sz w:val="18"/>
                <w:szCs w:val="18"/>
              </w:rPr>
            </w:pPr>
            <w:r>
              <w:rPr>
                <w:sz w:val="18"/>
                <w:szCs w:val="18"/>
              </w:rPr>
              <w:t>X</w:t>
            </w:r>
          </w:p>
        </w:tc>
        <w:tc>
          <w:tcPr>
            <w:tcW w:w="99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5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r>
      <w:tr>
        <w:trPr>
          <w:trHeight w:val="284" w:hRule="atLeast"/>
        </w:trPr>
        <w:tc>
          <w:tcPr>
            <w:tcW w:w="390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rPr>
                <w:sz w:val="18"/>
                <w:szCs w:val="18"/>
              </w:rPr>
            </w:pPr>
            <w:r>
              <w:rPr>
                <w:sz w:val="18"/>
                <w:szCs w:val="18"/>
              </w:rPr>
              <w:t>Establish hotel accommodation for staff</w:t>
            </w:r>
          </w:p>
        </w:tc>
        <w:tc>
          <w:tcPr>
            <w:tcW w:w="1077"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25"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108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jc w:val="center"/>
              <w:rPr>
                <w:sz w:val="18"/>
                <w:szCs w:val="18"/>
              </w:rPr>
            </w:pPr>
            <w:r>
              <w:rPr>
                <w:sz w:val="18"/>
                <w:szCs w:val="18"/>
              </w:rPr>
              <w:t>X</w:t>
            </w:r>
          </w:p>
        </w:tc>
        <w:tc>
          <w:tcPr>
            <w:tcW w:w="99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5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r>
      <w:tr>
        <w:trPr>
          <w:trHeight w:val="284" w:hRule="atLeast"/>
        </w:trPr>
        <w:tc>
          <w:tcPr>
            <w:tcW w:w="390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rPr>
                <w:sz w:val="18"/>
                <w:szCs w:val="18"/>
              </w:rPr>
            </w:pPr>
            <w:r>
              <w:rPr>
                <w:sz w:val="18"/>
                <w:szCs w:val="18"/>
              </w:rPr>
              <w:t>Begin scanning/KFI operations</w:t>
            </w:r>
          </w:p>
        </w:tc>
        <w:tc>
          <w:tcPr>
            <w:tcW w:w="1077"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25"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108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jc w:val="center"/>
              <w:rPr>
                <w:sz w:val="18"/>
                <w:szCs w:val="18"/>
              </w:rPr>
            </w:pPr>
            <w:r>
              <w:rPr>
                <w:sz w:val="18"/>
                <w:szCs w:val="18"/>
              </w:rPr>
              <w:t>X</w:t>
            </w:r>
          </w:p>
        </w:tc>
        <w:tc>
          <w:tcPr>
            <w:tcW w:w="99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5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r>
      <w:tr>
        <w:trPr>
          <w:trHeight w:val="284" w:hRule="atLeast"/>
        </w:trPr>
        <w:tc>
          <w:tcPr>
            <w:tcW w:w="390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rPr>
                <w:sz w:val="18"/>
                <w:szCs w:val="18"/>
              </w:rPr>
            </w:pPr>
            <w:r>
              <w:rPr>
                <w:sz w:val="18"/>
                <w:szCs w:val="18"/>
              </w:rPr>
              <w:t>Establish transmission to Streamline</w:t>
            </w:r>
          </w:p>
        </w:tc>
        <w:tc>
          <w:tcPr>
            <w:tcW w:w="1077"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25"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108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jc w:val="center"/>
              <w:rPr>
                <w:sz w:val="18"/>
                <w:szCs w:val="18"/>
              </w:rPr>
            </w:pPr>
            <w:r>
              <w:rPr>
                <w:sz w:val="18"/>
                <w:szCs w:val="18"/>
              </w:rPr>
              <w:t>X</w:t>
            </w:r>
          </w:p>
        </w:tc>
        <w:tc>
          <w:tcPr>
            <w:tcW w:w="99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5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r>
      <w:tr>
        <w:trPr>
          <w:trHeight w:val="284" w:hRule="atLeast"/>
        </w:trPr>
        <w:tc>
          <w:tcPr>
            <w:tcW w:w="390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rPr>
                <w:sz w:val="18"/>
                <w:szCs w:val="18"/>
              </w:rPr>
            </w:pPr>
            <w:r>
              <w:rPr>
                <w:sz w:val="18"/>
                <w:szCs w:val="18"/>
              </w:rPr>
            </w:r>
          </w:p>
        </w:tc>
        <w:tc>
          <w:tcPr>
            <w:tcW w:w="1077"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25"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108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9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5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r>
      <w:tr>
        <w:trPr>
          <w:trHeight w:val="284" w:hRule="atLeast"/>
        </w:trPr>
        <w:tc>
          <w:tcPr>
            <w:tcW w:w="390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rPr>
                <w:sz w:val="18"/>
                <w:szCs w:val="18"/>
              </w:rPr>
            </w:pPr>
            <w:r>
              <w:rPr>
                <w:sz w:val="18"/>
                <w:szCs w:val="18"/>
              </w:rPr>
              <w:t xml:space="preserve">Report progress and issues </w:t>
            </w:r>
          </w:p>
        </w:tc>
        <w:tc>
          <w:tcPr>
            <w:tcW w:w="1077"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25"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108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jc w:val="center"/>
              <w:rPr>
                <w:sz w:val="18"/>
                <w:szCs w:val="18"/>
              </w:rPr>
            </w:pPr>
            <w:r>
              <w:rPr>
                <w:sz w:val="18"/>
                <w:szCs w:val="18"/>
              </w:rPr>
              <w:t>X</w:t>
            </w:r>
          </w:p>
        </w:tc>
        <w:tc>
          <w:tcPr>
            <w:tcW w:w="99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5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r>
      <w:tr>
        <w:trPr>
          <w:trHeight w:val="284" w:hRule="atLeast"/>
        </w:trPr>
        <w:tc>
          <w:tcPr>
            <w:tcW w:w="8944" w:type="dxa"/>
            <w:gridSpan w:val="6"/>
            <w:tcBorders>
              <w:top w:val="single" w:sz="4" w:space="0" w:color="000000"/>
              <w:start w:val="single" w:sz="4" w:space="0" w:color="000000"/>
              <w:bottom w:val="single" w:sz="4" w:space="0" w:color="000000"/>
              <w:end w:val="single" w:sz="4" w:space="0" w:color="000000"/>
            </w:tcBorders>
            <w:shd w:fill="E5E5E5" w:val="clear"/>
          </w:tcPr>
          <w:p>
            <w:pPr>
              <w:pStyle w:val="Normal"/>
              <w:widowControl/>
              <w:bidi w:val="0"/>
              <w:spacing w:before="120" w:after="120"/>
              <w:rPr/>
            </w:pPr>
            <w:r>
              <w:rPr>
                <w:b/>
                <w:bCs/>
                <w:sz w:val="18"/>
                <w:szCs w:val="18"/>
              </w:rPr>
              <w:t>4.  Stand down</w:t>
            </w:r>
          </w:p>
        </w:tc>
      </w:tr>
      <w:tr>
        <w:trPr>
          <w:trHeight w:val="284" w:hRule="atLeast"/>
        </w:trPr>
        <w:tc>
          <w:tcPr>
            <w:tcW w:w="390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rPr>
                <w:sz w:val="18"/>
                <w:szCs w:val="18"/>
              </w:rPr>
            </w:pPr>
            <w:r>
              <w:rPr>
                <w:sz w:val="18"/>
                <w:szCs w:val="18"/>
              </w:rPr>
              <w:t>Notify Systems restored</w:t>
            </w:r>
          </w:p>
        </w:tc>
        <w:tc>
          <w:tcPr>
            <w:tcW w:w="1077"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25"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108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jc w:val="center"/>
              <w:rPr>
                <w:sz w:val="18"/>
                <w:szCs w:val="18"/>
              </w:rPr>
            </w:pPr>
            <w:r>
              <w:rPr>
                <w:sz w:val="18"/>
                <w:szCs w:val="18"/>
              </w:rPr>
              <w:t>X</w:t>
            </w:r>
          </w:p>
        </w:tc>
        <w:tc>
          <w:tcPr>
            <w:tcW w:w="99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5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r>
      <w:tr>
        <w:trPr>
          <w:trHeight w:val="284" w:hRule="atLeast"/>
        </w:trPr>
        <w:tc>
          <w:tcPr>
            <w:tcW w:w="390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rPr>
                <w:sz w:val="18"/>
                <w:szCs w:val="18"/>
              </w:rPr>
            </w:pPr>
            <w:r>
              <w:rPr>
                <w:sz w:val="18"/>
                <w:szCs w:val="18"/>
              </w:rPr>
              <w:t>Agree to stand down</w:t>
            </w:r>
          </w:p>
        </w:tc>
        <w:tc>
          <w:tcPr>
            <w:tcW w:w="1077"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jc w:val="center"/>
              <w:rPr>
                <w:sz w:val="18"/>
                <w:szCs w:val="18"/>
              </w:rPr>
            </w:pPr>
            <w:r>
              <w:rPr>
                <w:sz w:val="18"/>
                <w:szCs w:val="18"/>
              </w:rPr>
              <w:t>X</w:t>
            </w:r>
          </w:p>
        </w:tc>
        <w:tc>
          <w:tcPr>
            <w:tcW w:w="925"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108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9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5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r>
      <w:tr>
        <w:trPr>
          <w:trHeight w:val="284" w:hRule="atLeast"/>
        </w:trPr>
        <w:tc>
          <w:tcPr>
            <w:tcW w:w="390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rPr>
                <w:sz w:val="18"/>
                <w:szCs w:val="18"/>
              </w:rPr>
            </w:pPr>
            <w:r>
              <w:rPr>
                <w:sz w:val="18"/>
                <w:szCs w:val="18"/>
              </w:rPr>
              <w:t>Send out Final status update</w:t>
            </w:r>
          </w:p>
        </w:tc>
        <w:tc>
          <w:tcPr>
            <w:tcW w:w="1077"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jc w:val="center"/>
              <w:rPr>
                <w:sz w:val="18"/>
                <w:szCs w:val="18"/>
              </w:rPr>
            </w:pPr>
            <w:r>
              <w:rPr>
                <w:sz w:val="18"/>
                <w:szCs w:val="18"/>
              </w:rPr>
              <w:t>X</w:t>
            </w:r>
          </w:p>
        </w:tc>
        <w:tc>
          <w:tcPr>
            <w:tcW w:w="925"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108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94"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jc w:val="center"/>
              <w:rPr>
                <w:sz w:val="18"/>
                <w:szCs w:val="18"/>
              </w:rPr>
            </w:pPr>
            <w:r>
              <w:rPr>
                <w:sz w:val="18"/>
                <w:szCs w:val="18"/>
              </w:rPr>
              <w:t>X</w:t>
            </w:r>
          </w:p>
        </w:tc>
        <w:tc>
          <w:tcPr>
            <w:tcW w:w="95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r>
      <w:tr>
        <w:trPr>
          <w:trHeight w:val="284" w:hRule="atLeast"/>
        </w:trPr>
        <w:tc>
          <w:tcPr>
            <w:tcW w:w="390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rPr>
                <w:sz w:val="18"/>
                <w:szCs w:val="18"/>
              </w:rPr>
            </w:pPr>
            <w:r>
              <w:rPr>
                <w:sz w:val="18"/>
                <w:szCs w:val="18"/>
              </w:rPr>
              <w:t>Stand Down emergency Infrastructures</w:t>
            </w:r>
          </w:p>
        </w:tc>
        <w:tc>
          <w:tcPr>
            <w:tcW w:w="1077"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25"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108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jc w:val="center"/>
              <w:rPr>
                <w:sz w:val="18"/>
                <w:szCs w:val="18"/>
              </w:rPr>
            </w:pPr>
            <w:r>
              <w:rPr>
                <w:sz w:val="18"/>
                <w:szCs w:val="18"/>
              </w:rPr>
              <w:t>X</w:t>
            </w:r>
          </w:p>
        </w:tc>
        <w:tc>
          <w:tcPr>
            <w:tcW w:w="99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5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r>
      <w:tr>
        <w:trPr>
          <w:trHeight w:val="284" w:hRule="atLeast"/>
        </w:trPr>
        <w:tc>
          <w:tcPr>
            <w:tcW w:w="390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rPr>
                <w:sz w:val="18"/>
                <w:szCs w:val="18"/>
              </w:rPr>
            </w:pPr>
            <w:r>
              <w:rPr>
                <w:sz w:val="18"/>
                <w:szCs w:val="18"/>
              </w:rPr>
              <w:t>Restore normal operations</w:t>
            </w:r>
          </w:p>
        </w:tc>
        <w:tc>
          <w:tcPr>
            <w:tcW w:w="1077"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25"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108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jc w:val="center"/>
              <w:rPr>
                <w:sz w:val="18"/>
                <w:szCs w:val="18"/>
              </w:rPr>
            </w:pPr>
            <w:r>
              <w:rPr>
                <w:sz w:val="18"/>
                <w:szCs w:val="18"/>
              </w:rPr>
              <w:t>X</w:t>
            </w:r>
          </w:p>
        </w:tc>
        <w:tc>
          <w:tcPr>
            <w:tcW w:w="994"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c>
          <w:tcPr>
            <w:tcW w:w="95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r>
      <w:tr>
        <w:trPr>
          <w:trHeight w:val="284" w:hRule="atLeast"/>
        </w:trPr>
        <w:tc>
          <w:tcPr>
            <w:tcW w:w="390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rPr>
                <w:sz w:val="18"/>
                <w:szCs w:val="18"/>
              </w:rPr>
            </w:pPr>
            <w:r>
              <w:rPr>
                <w:sz w:val="18"/>
                <w:szCs w:val="18"/>
              </w:rPr>
              <w:t>Conduct Post-Incident Review</w:t>
            </w:r>
          </w:p>
        </w:tc>
        <w:tc>
          <w:tcPr>
            <w:tcW w:w="1077"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jc w:val="center"/>
              <w:rPr>
                <w:sz w:val="18"/>
                <w:szCs w:val="18"/>
              </w:rPr>
            </w:pPr>
            <w:r>
              <w:rPr>
                <w:sz w:val="18"/>
                <w:szCs w:val="18"/>
              </w:rPr>
              <w:t>X</w:t>
            </w:r>
          </w:p>
        </w:tc>
        <w:tc>
          <w:tcPr>
            <w:tcW w:w="925"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jc w:val="center"/>
              <w:rPr>
                <w:sz w:val="18"/>
                <w:szCs w:val="18"/>
              </w:rPr>
            </w:pPr>
            <w:r>
              <w:rPr>
                <w:sz w:val="18"/>
                <w:szCs w:val="18"/>
              </w:rPr>
              <w:t>X</w:t>
            </w:r>
          </w:p>
        </w:tc>
        <w:tc>
          <w:tcPr>
            <w:tcW w:w="1086"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jc w:val="center"/>
              <w:rPr>
                <w:sz w:val="18"/>
                <w:szCs w:val="18"/>
              </w:rPr>
            </w:pPr>
            <w:r>
              <w:rPr>
                <w:sz w:val="18"/>
                <w:szCs w:val="18"/>
              </w:rPr>
              <w:t>X</w:t>
            </w:r>
          </w:p>
        </w:tc>
        <w:tc>
          <w:tcPr>
            <w:tcW w:w="994" w:type="dxa"/>
            <w:tcBorders>
              <w:top w:val="single" w:sz="4" w:space="0" w:color="000000"/>
              <w:start w:val="single" w:sz="4" w:space="0" w:color="000000"/>
              <w:bottom w:val="single" w:sz="4" w:space="0" w:color="000000"/>
              <w:end w:val="single" w:sz="4" w:space="0" w:color="000000"/>
            </w:tcBorders>
          </w:tcPr>
          <w:p>
            <w:pPr>
              <w:pStyle w:val="Normal"/>
              <w:spacing w:before="0" w:after="0"/>
              <w:ind w:start="278" w:end="0"/>
              <w:jc w:val="center"/>
              <w:rPr>
                <w:sz w:val="18"/>
                <w:szCs w:val="18"/>
              </w:rPr>
            </w:pPr>
            <w:r>
              <w:rPr>
                <w:sz w:val="18"/>
                <w:szCs w:val="18"/>
              </w:rPr>
              <w:t>X</w:t>
            </w:r>
          </w:p>
        </w:tc>
        <w:tc>
          <w:tcPr>
            <w:tcW w:w="956"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ind w:start="278" w:end="0"/>
              <w:jc w:val="center"/>
              <w:rPr>
                <w:sz w:val="18"/>
                <w:szCs w:val="18"/>
              </w:rPr>
            </w:pPr>
            <w:r>
              <w:rPr>
                <w:sz w:val="18"/>
                <w:szCs w:val="18"/>
              </w:rPr>
            </w:r>
          </w:p>
        </w:tc>
      </w:tr>
    </w:tbl>
    <w:p>
      <w:pPr>
        <w:pStyle w:val="Para"/>
        <w:ind w:start="0" w:end="0"/>
        <w:rPr>
          <w:rFonts w:ascii="Times New Roman" w:hAnsi="Times New Roman" w:cs="Times New Roman"/>
          <w:sz w:val="22"/>
          <w:szCs w:val="22"/>
        </w:rPr>
      </w:pPr>
      <w:r>
        <w:rPr>
          <w:rFonts w:cs="Times New Roman" w:ascii="Times New Roman" w:hAnsi="Times New Roman"/>
          <w:sz w:val="22"/>
          <w:szCs w:val="22"/>
        </w:rPr>
      </w:r>
    </w:p>
    <w:p>
      <w:pPr>
        <w:pStyle w:val="Para"/>
        <w:ind w:start="0" w:end="0"/>
        <w:rPr>
          <w:rFonts w:ascii="Times New Roman" w:hAnsi="Times New Roman" w:cs="Times New Roman"/>
          <w:sz w:val="22"/>
          <w:szCs w:val="22"/>
        </w:rPr>
      </w:pPr>
      <w:r>
        <w:rPr>
          <w:rFonts w:cs="Times New Roman" w:ascii="Times New Roman" w:hAnsi="Times New Roman"/>
          <w:sz w:val="22"/>
          <w:szCs w:val="22"/>
        </w:rPr>
      </w:r>
    </w:p>
    <w:p>
      <w:pPr>
        <w:pStyle w:val="Heading1"/>
        <w:ind w:hanging="0" w:start="0"/>
        <w:rPr>
          <w:rFonts w:ascii="Times New Roman" w:hAnsi="Times New Roman" w:cs="Times New Roman"/>
          <w:sz w:val="22"/>
          <w:szCs w:val="22"/>
        </w:rPr>
      </w:pPr>
      <w:bookmarkStart w:id="25" w:name="__RefHeading___Toc113280970"/>
      <w:bookmarkEnd w:id="25"/>
      <w:r>
        <w:rPr>
          <w:rFonts w:cs="Times New Roman" w:ascii="Times New Roman" w:hAnsi="Times New Roman"/>
          <w:sz w:val="22"/>
          <w:szCs w:val="22"/>
        </w:rPr>
        <w:t xml:space="preserve">Appendix 3 </w:t>
        <w:tab/>
        <w:t>Essential Recovery Items</w:t>
      </w:r>
    </w:p>
    <w:p>
      <w:pPr>
        <w:pStyle w:val="Para"/>
        <w:ind w:start="0" w:end="0"/>
        <w:rPr>
          <w:rFonts w:ascii="Times New Roman" w:hAnsi="Times New Roman" w:cs="Times New Roman"/>
          <w:sz w:val="22"/>
          <w:szCs w:val="22"/>
        </w:rPr>
      </w:pPr>
      <w:r>
        <w:rPr>
          <w:rFonts w:cs="Times New Roman" w:ascii="Times New Roman" w:hAnsi="Times New Roman"/>
          <w:sz w:val="22"/>
          <w:szCs w:val="22"/>
        </w:rPr>
        <w:t>The following list identifies those items that will be essential to the recovery of service in the short term.</w:t>
      </w:r>
    </w:p>
    <w:p>
      <w:pPr>
        <w:pStyle w:val="Para"/>
        <w:ind w:start="0" w:end="0"/>
        <w:rPr>
          <w:rFonts w:ascii="Times New Roman" w:hAnsi="Times New Roman" w:cs="Times New Roman"/>
          <w:sz w:val="22"/>
          <w:szCs w:val="22"/>
        </w:rPr>
      </w:pPr>
      <w:r>
        <w:rPr>
          <w:rFonts w:cs="Times New Roman" w:ascii="Times New Roman" w:hAnsi="Times New Roman"/>
          <w:sz w:val="22"/>
          <w:szCs w:val="22"/>
        </w:rPr>
        <w:t>Site 1</w:t>
      </w:r>
    </w:p>
    <w:p>
      <w:pPr>
        <w:pStyle w:val="Para"/>
        <w:numPr>
          <w:ilvl w:val="0"/>
          <w:numId w:val="9"/>
        </w:numPr>
        <w:tabs>
          <w:tab w:val="left" w:pos="720" w:leader="none"/>
        </w:tabs>
        <w:ind w:hanging="360" w:start="720" w:end="0"/>
        <w:rPr>
          <w:rFonts w:ascii="Times New Roman" w:hAnsi="Times New Roman" w:cs="Times New Roman"/>
          <w:sz w:val="22"/>
          <w:szCs w:val="22"/>
        </w:rPr>
      </w:pPr>
      <w:r>
        <w:rPr>
          <w:rFonts w:cs="Times New Roman" w:ascii="Times New Roman" w:hAnsi="Times New Roman"/>
          <w:sz w:val="22"/>
          <w:szCs w:val="22"/>
        </w:rPr>
        <w:t>Staff contact details</w:t>
      </w:r>
    </w:p>
    <w:p>
      <w:pPr>
        <w:pStyle w:val="Para"/>
        <w:numPr>
          <w:ilvl w:val="0"/>
          <w:numId w:val="9"/>
        </w:numPr>
        <w:tabs>
          <w:tab w:val="left" w:pos="720" w:leader="none"/>
        </w:tabs>
        <w:ind w:hanging="360" w:start="720" w:end="0"/>
        <w:rPr>
          <w:rFonts w:ascii="Times New Roman" w:hAnsi="Times New Roman" w:cs="Times New Roman"/>
          <w:sz w:val="22"/>
          <w:szCs w:val="22"/>
        </w:rPr>
      </w:pPr>
      <w:r>
        <w:rPr>
          <w:rFonts w:cs="Times New Roman" w:ascii="Times New Roman" w:hAnsi="Times New Roman"/>
          <w:sz w:val="22"/>
          <w:szCs w:val="22"/>
        </w:rPr>
        <w:t>Contact details for local alternate site(s)</w:t>
      </w:r>
    </w:p>
    <w:p>
      <w:pPr>
        <w:pStyle w:val="Para"/>
        <w:numPr>
          <w:ilvl w:val="0"/>
          <w:numId w:val="9"/>
        </w:numPr>
        <w:tabs>
          <w:tab w:val="left" w:pos="720" w:leader="none"/>
        </w:tabs>
        <w:ind w:hanging="360" w:start="720" w:end="0"/>
        <w:rPr>
          <w:rFonts w:ascii="Times New Roman" w:hAnsi="Times New Roman" w:cs="Times New Roman"/>
          <w:sz w:val="22"/>
          <w:szCs w:val="22"/>
        </w:rPr>
      </w:pPr>
      <w:r>
        <w:rPr>
          <w:rFonts w:cs="Times New Roman" w:ascii="Times New Roman" w:hAnsi="Times New Roman"/>
          <w:sz w:val="22"/>
          <w:szCs w:val="22"/>
        </w:rPr>
        <w:t>1 Laptop PC – configured for VPN dial-up communications to Site 2 and containing the RBSG Vouchers application</w:t>
      </w:r>
    </w:p>
    <w:p>
      <w:pPr>
        <w:pStyle w:val="Para"/>
        <w:numPr>
          <w:ilvl w:val="0"/>
          <w:numId w:val="9"/>
        </w:numPr>
        <w:tabs>
          <w:tab w:val="left" w:pos="720" w:leader="none"/>
        </w:tabs>
        <w:ind w:hanging="360" w:start="720" w:end="0"/>
        <w:rPr>
          <w:rFonts w:ascii="Times New Roman" w:hAnsi="Times New Roman" w:cs="Times New Roman"/>
          <w:sz w:val="22"/>
          <w:szCs w:val="22"/>
        </w:rPr>
      </w:pPr>
      <w:r>
        <w:rPr>
          <w:rFonts w:cs="Times New Roman" w:ascii="Times New Roman" w:hAnsi="Times New Roman"/>
          <w:sz w:val="22"/>
          <w:szCs w:val="22"/>
        </w:rPr>
        <w:t>Dial-up communications at alternate location</w:t>
      </w:r>
    </w:p>
    <w:p>
      <w:pPr>
        <w:pStyle w:val="Para"/>
        <w:ind w:start="360" w:end="0"/>
        <w:rPr>
          <w:rFonts w:ascii="Times New Roman" w:hAnsi="Times New Roman" w:cs="Times New Roman"/>
          <w:sz w:val="22"/>
          <w:szCs w:val="22"/>
        </w:rPr>
      </w:pPr>
      <w:r>
        <w:rPr>
          <w:rFonts w:cs="Times New Roman" w:ascii="Times New Roman" w:hAnsi="Times New Roman"/>
          <w:sz w:val="22"/>
          <w:szCs w:val="22"/>
        </w:rPr>
        <w:t>Stationery items</w:t>
      </w:r>
    </w:p>
    <w:p>
      <w:pPr>
        <w:pStyle w:val="Para"/>
        <w:numPr>
          <w:ilvl w:val="0"/>
          <w:numId w:val="9"/>
        </w:numPr>
        <w:tabs>
          <w:tab w:val="left" w:pos="720" w:leader="none"/>
        </w:tabs>
        <w:ind w:hanging="360" w:start="720" w:end="0"/>
        <w:rPr>
          <w:rFonts w:ascii="Times New Roman" w:hAnsi="Times New Roman" w:cs="Times New Roman"/>
          <w:sz w:val="22"/>
          <w:szCs w:val="22"/>
        </w:rPr>
      </w:pPr>
      <w:r>
        <w:rPr>
          <w:rFonts w:cs="Times New Roman" w:ascii="Times New Roman" w:hAnsi="Times New Roman"/>
          <w:sz w:val="22"/>
          <w:szCs w:val="22"/>
        </w:rPr>
        <w:t>1 printer (for batch slips) – can be purchased at the time</w:t>
      </w:r>
    </w:p>
    <w:p>
      <w:pPr>
        <w:pStyle w:val="Para"/>
        <w:numPr>
          <w:ilvl w:val="0"/>
          <w:numId w:val="9"/>
        </w:numPr>
        <w:tabs>
          <w:tab w:val="left" w:pos="720" w:leader="none"/>
        </w:tabs>
        <w:ind w:hanging="360" w:start="720" w:end="0"/>
        <w:rPr>
          <w:rFonts w:ascii="Times New Roman" w:hAnsi="Times New Roman" w:cs="Times New Roman"/>
          <w:sz w:val="22"/>
          <w:szCs w:val="22"/>
        </w:rPr>
      </w:pPr>
      <w:r>
        <w:rPr>
          <w:rFonts w:cs="Times New Roman" w:ascii="Times New Roman" w:hAnsi="Times New Roman"/>
          <w:sz w:val="22"/>
          <w:szCs w:val="22"/>
        </w:rPr>
        <w:t>Notepads</w:t>
      </w:r>
    </w:p>
    <w:p>
      <w:pPr>
        <w:pStyle w:val="Para"/>
        <w:numPr>
          <w:ilvl w:val="0"/>
          <w:numId w:val="9"/>
        </w:numPr>
        <w:tabs>
          <w:tab w:val="left" w:pos="720" w:leader="none"/>
        </w:tabs>
        <w:ind w:hanging="360" w:start="720" w:end="0"/>
        <w:rPr>
          <w:rFonts w:ascii="Times New Roman" w:hAnsi="Times New Roman" w:cs="Times New Roman"/>
          <w:sz w:val="22"/>
          <w:szCs w:val="22"/>
        </w:rPr>
      </w:pPr>
      <w:r>
        <w:rPr>
          <w:rFonts w:cs="Times New Roman" w:ascii="Times New Roman" w:hAnsi="Times New Roman"/>
          <w:sz w:val="22"/>
          <w:szCs w:val="22"/>
        </w:rPr>
        <w:t>Paper (A4 cut sheet)</w:t>
      </w:r>
    </w:p>
    <w:p>
      <w:pPr>
        <w:pStyle w:val="Para"/>
        <w:numPr>
          <w:ilvl w:val="0"/>
          <w:numId w:val="9"/>
        </w:numPr>
        <w:tabs>
          <w:tab w:val="left" w:pos="720" w:leader="none"/>
        </w:tabs>
        <w:ind w:hanging="360" w:start="720" w:end="0"/>
        <w:rPr>
          <w:rFonts w:ascii="Times New Roman" w:hAnsi="Times New Roman" w:cs="Times New Roman"/>
          <w:sz w:val="22"/>
          <w:szCs w:val="22"/>
        </w:rPr>
      </w:pPr>
      <w:r>
        <w:rPr>
          <w:rFonts w:cs="Times New Roman" w:ascii="Times New Roman" w:hAnsi="Times New Roman"/>
          <w:sz w:val="22"/>
          <w:szCs w:val="22"/>
        </w:rPr>
        <w:t>Pens</w:t>
      </w:r>
    </w:p>
    <w:p>
      <w:pPr>
        <w:pStyle w:val="Para"/>
        <w:numPr>
          <w:ilvl w:val="0"/>
          <w:numId w:val="9"/>
        </w:numPr>
        <w:tabs>
          <w:tab w:val="left" w:pos="720" w:leader="none"/>
        </w:tabs>
        <w:ind w:hanging="360" w:start="720" w:end="0"/>
        <w:rPr>
          <w:rFonts w:ascii="Times New Roman" w:hAnsi="Times New Roman" w:cs="Times New Roman"/>
          <w:sz w:val="22"/>
          <w:szCs w:val="22"/>
        </w:rPr>
      </w:pPr>
      <w:r>
        <w:rPr>
          <w:rFonts w:cs="Times New Roman" w:ascii="Times New Roman" w:hAnsi="Times New Roman"/>
          <w:sz w:val="22"/>
          <w:szCs w:val="22"/>
        </w:rPr>
        <w:t>Finger rubbers</w:t>
      </w:r>
    </w:p>
    <w:p>
      <w:pPr>
        <w:pStyle w:val="Para"/>
        <w:numPr>
          <w:ilvl w:val="0"/>
          <w:numId w:val="9"/>
        </w:numPr>
        <w:tabs>
          <w:tab w:val="left" w:pos="720" w:leader="none"/>
        </w:tabs>
        <w:ind w:hanging="360" w:start="720" w:end="0"/>
        <w:rPr>
          <w:rFonts w:ascii="Times New Roman" w:hAnsi="Times New Roman" w:cs="Times New Roman"/>
          <w:sz w:val="22"/>
          <w:szCs w:val="22"/>
        </w:rPr>
      </w:pPr>
      <w:r>
        <w:rPr>
          <w:rFonts w:cs="Times New Roman" w:ascii="Times New Roman" w:hAnsi="Times New Roman"/>
          <w:sz w:val="22"/>
          <w:szCs w:val="22"/>
        </w:rPr>
        <w:t>Rubber bands (for batching vouchers)</w:t>
      </w:r>
    </w:p>
    <w:p>
      <w:pPr>
        <w:pStyle w:val="Para"/>
        <w:numPr>
          <w:ilvl w:val="0"/>
          <w:numId w:val="9"/>
        </w:numPr>
        <w:tabs>
          <w:tab w:val="left" w:pos="720" w:leader="none"/>
        </w:tabs>
        <w:ind w:hanging="360" w:start="720" w:end="0"/>
        <w:rPr>
          <w:rFonts w:ascii="Times New Roman" w:hAnsi="Times New Roman" w:cs="Times New Roman"/>
          <w:sz w:val="22"/>
          <w:szCs w:val="22"/>
        </w:rPr>
      </w:pPr>
      <w:r>
        <w:rPr>
          <w:rFonts w:cs="Times New Roman" w:ascii="Times New Roman" w:hAnsi="Times New Roman"/>
          <w:sz w:val="22"/>
          <w:szCs w:val="22"/>
        </w:rPr>
        <w:t>Boxes or bags in which to secure vouchers for transport</w:t>
      </w:r>
    </w:p>
    <w:p>
      <w:pPr>
        <w:pStyle w:val="Para"/>
        <w:ind w:start="0" w:end="0"/>
        <w:rPr>
          <w:rFonts w:ascii="Times New Roman" w:hAnsi="Times New Roman" w:cs="Times New Roman"/>
          <w:sz w:val="22"/>
          <w:szCs w:val="22"/>
        </w:rPr>
      </w:pPr>
      <w:r>
        <w:rPr>
          <w:rFonts w:cs="Times New Roman" w:ascii="Times New Roman" w:hAnsi="Times New Roman"/>
          <w:sz w:val="22"/>
          <w:szCs w:val="22"/>
        </w:rPr>
        <w:t>Site 2</w:t>
      </w:r>
    </w:p>
    <w:p>
      <w:pPr>
        <w:pStyle w:val="Para"/>
        <w:numPr>
          <w:ilvl w:val="0"/>
          <w:numId w:val="6"/>
        </w:numPr>
        <w:tabs>
          <w:tab w:val="left" w:pos="720" w:leader="none"/>
        </w:tabs>
        <w:ind w:hanging="360" w:start="720" w:end="0"/>
        <w:rPr>
          <w:rFonts w:ascii="Times New Roman" w:hAnsi="Times New Roman" w:cs="Times New Roman"/>
          <w:sz w:val="22"/>
          <w:szCs w:val="22"/>
        </w:rPr>
      </w:pPr>
      <w:r>
        <w:rPr>
          <w:rFonts w:cs="Times New Roman" w:ascii="Times New Roman" w:hAnsi="Times New Roman"/>
          <w:sz w:val="22"/>
          <w:szCs w:val="22"/>
        </w:rPr>
        <w:t>Accommodation for at least 10 staff (table space will suffice)</w:t>
      </w:r>
    </w:p>
    <w:p>
      <w:pPr>
        <w:pStyle w:val="Para"/>
        <w:numPr>
          <w:ilvl w:val="0"/>
          <w:numId w:val="6"/>
        </w:numPr>
        <w:tabs>
          <w:tab w:val="left" w:pos="720" w:leader="none"/>
        </w:tabs>
        <w:ind w:hanging="360" w:start="720" w:end="0"/>
        <w:rPr>
          <w:rFonts w:ascii="Times New Roman" w:hAnsi="Times New Roman" w:cs="Times New Roman"/>
          <w:sz w:val="22"/>
          <w:szCs w:val="22"/>
        </w:rPr>
      </w:pPr>
      <w:r>
        <w:rPr>
          <w:rFonts w:cs="Times New Roman" w:ascii="Times New Roman" w:hAnsi="Times New Roman"/>
          <w:sz w:val="22"/>
          <w:szCs w:val="22"/>
        </w:rPr>
        <w:t>9 Desktop PCs</w:t>
      </w:r>
    </w:p>
    <w:p>
      <w:pPr>
        <w:pStyle w:val="Para"/>
        <w:numPr>
          <w:ilvl w:val="0"/>
          <w:numId w:val="6"/>
        </w:numPr>
        <w:tabs>
          <w:tab w:val="left" w:pos="720" w:leader="none"/>
        </w:tabs>
        <w:ind w:hanging="360" w:start="720" w:end="0"/>
        <w:rPr>
          <w:rFonts w:ascii="Times New Roman" w:hAnsi="Times New Roman" w:cs="Times New Roman"/>
          <w:sz w:val="22"/>
          <w:szCs w:val="22"/>
        </w:rPr>
      </w:pPr>
      <w:r>
        <w:rPr>
          <w:rFonts w:cs="Times New Roman" w:ascii="Times New Roman" w:hAnsi="Times New Roman"/>
          <w:sz w:val="22"/>
          <w:szCs w:val="22"/>
        </w:rPr>
        <w:t>1 printer</w:t>
      </w:r>
    </w:p>
    <w:p>
      <w:pPr>
        <w:pStyle w:val="Para"/>
        <w:numPr>
          <w:ilvl w:val="0"/>
          <w:numId w:val="6"/>
        </w:numPr>
        <w:tabs>
          <w:tab w:val="left" w:pos="720" w:leader="none"/>
        </w:tabs>
        <w:ind w:hanging="360" w:start="720" w:end="0"/>
        <w:rPr>
          <w:rFonts w:ascii="Times New Roman" w:hAnsi="Times New Roman" w:cs="Times New Roman"/>
          <w:sz w:val="22"/>
          <w:szCs w:val="22"/>
        </w:rPr>
      </w:pPr>
      <w:r>
        <w:rPr>
          <w:rFonts w:cs="Times New Roman" w:ascii="Times New Roman" w:hAnsi="Times New Roman"/>
          <w:sz w:val="22"/>
          <w:szCs w:val="22"/>
        </w:rPr>
        <w:t>12-port hub (if not enough comms. sockets in room)</w:t>
      </w:r>
    </w:p>
    <w:p>
      <w:pPr>
        <w:pStyle w:val="Para"/>
        <w:numPr>
          <w:ilvl w:val="0"/>
          <w:numId w:val="6"/>
        </w:numPr>
        <w:tabs>
          <w:tab w:val="left" w:pos="720" w:leader="none"/>
        </w:tabs>
        <w:ind w:hanging="360" w:start="720" w:end="0"/>
        <w:rPr>
          <w:rFonts w:ascii="Times New Roman" w:hAnsi="Times New Roman" w:cs="Times New Roman"/>
          <w:sz w:val="22"/>
          <w:szCs w:val="22"/>
        </w:rPr>
      </w:pPr>
      <w:r>
        <w:rPr>
          <w:rFonts w:cs="Times New Roman" w:ascii="Times New Roman" w:hAnsi="Times New Roman"/>
          <w:sz w:val="22"/>
          <w:szCs w:val="22"/>
        </w:rPr>
        <w:t>Network cables for PCs</w:t>
      </w:r>
    </w:p>
    <w:p>
      <w:pPr>
        <w:pStyle w:val="Para"/>
        <w:numPr>
          <w:ilvl w:val="0"/>
          <w:numId w:val="6"/>
        </w:numPr>
        <w:tabs>
          <w:tab w:val="left" w:pos="720" w:leader="none"/>
        </w:tabs>
        <w:ind w:hanging="360" w:start="720" w:end="0"/>
        <w:rPr>
          <w:rFonts w:ascii="Times New Roman" w:hAnsi="Times New Roman" w:cs="Times New Roman"/>
          <w:sz w:val="22"/>
          <w:szCs w:val="22"/>
        </w:rPr>
      </w:pPr>
      <w:r>
        <w:rPr>
          <w:rFonts w:cs="Times New Roman" w:ascii="Times New Roman" w:hAnsi="Times New Roman"/>
          <w:sz w:val="22"/>
          <w:szCs w:val="22"/>
        </w:rPr>
        <w:t>1 Kodak 4500-D scanner (from Site 2 voucher team)</w:t>
      </w:r>
    </w:p>
    <w:p>
      <w:pPr>
        <w:pStyle w:val="Para"/>
        <w:numPr>
          <w:ilvl w:val="0"/>
          <w:numId w:val="6"/>
        </w:numPr>
        <w:tabs>
          <w:tab w:val="left" w:pos="720" w:leader="none"/>
        </w:tabs>
        <w:ind w:hanging="360" w:start="720" w:end="0"/>
        <w:rPr>
          <w:rFonts w:ascii="Times New Roman" w:hAnsi="Times New Roman" w:cs="Times New Roman"/>
          <w:sz w:val="22"/>
          <w:szCs w:val="22"/>
        </w:rPr>
      </w:pPr>
      <w:r>
        <w:rPr>
          <w:rFonts w:cs="Times New Roman" w:ascii="Times New Roman" w:hAnsi="Times New Roman"/>
          <w:sz w:val="22"/>
          <w:szCs w:val="22"/>
        </w:rPr>
        <w:t>1 flatbed scanner (missing image scans)</w:t>
      </w:r>
    </w:p>
    <w:p>
      <w:pPr>
        <w:pStyle w:val="Para"/>
        <w:numPr>
          <w:ilvl w:val="0"/>
          <w:numId w:val="6"/>
        </w:numPr>
        <w:tabs>
          <w:tab w:val="left" w:pos="720" w:leader="none"/>
        </w:tabs>
        <w:ind w:hanging="360" w:start="720" w:end="0"/>
        <w:rPr>
          <w:rFonts w:ascii="Times New Roman" w:hAnsi="Times New Roman" w:cs="Times New Roman"/>
          <w:sz w:val="22"/>
          <w:szCs w:val="22"/>
        </w:rPr>
      </w:pPr>
      <w:r>
        <w:rPr>
          <w:rFonts w:cs="Times New Roman" w:ascii="Times New Roman" w:hAnsi="Times New Roman"/>
          <w:sz w:val="22"/>
          <w:szCs w:val="22"/>
        </w:rPr>
        <w:t>Sufficient power cabling for all machines</w:t>
      </w:r>
    </w:p>
    <w:p>
      <w:pPr>
        <w:pStyle w:val="Para"/>
        <w:numPr>
          <w:ilvl w:val="0"/>
          <w:numId w:val="6"/>
        </w:numPr>
        <w:tabs>
          <w:tab w:val="left" w:pos="720" w:leader="none"/>
        </w:tabs>
        <w:ind w:hanging="360" w:start="720" w:end="0"/>
        <w:rPr>
          <w:rFonts w:ascii="Times New Roman" w:hAnsi="Times New Roman" w:cs="Times New Roman"/>
          <w:sz w:val="22"/>
          <w:szCs w:val="22"/>
        </w:rPr>
      </w:pPr>
      <w:r>
        <w:rPr>
          <w:rFonts w:cs="Times New Roman" w:ascii="Times New Roman" w:hAnsi="Times New Roman"/>
          <w:sz w:val="22"/>
          <w:szCs w:val="22"/>
        </w:rPr>
        <w:t>1 Server for running the scanning and Adjustment applications</w:t>
      </w:r>
    </w:p>
    <w:p>
      <w:pPr>
        <w:pStyle w:val="Heading1"/>
        <w:ind w:hanging="0" w:start="0"/>
        <w:rPr>
          <w:rFonts w:ascii="Times New Roman" w:hAnsi="Times New Roman" w:cs="Times New Roman"/>
          <w:sz w:val="22"/>
          <w:szCs w:val="22"/>
        </w:rPr>
      </w:pPr>
      <w:r>
        <w:rPr>
          <w:rFonts w:cs="Times New Roman" w:ascii="Times New Roman" w:hAnsi="Times New Roman"/>
          <w:sz w:val="22"/>
          <w:szCs w:val="22"/>
        </w:rPr>
      </w:r>
      <w:bookmarkStart w:id="26" w:name="__RefHeading___Toc113280971"/>
      <w:bookmarkStart w:id="27" w:name="__RefHeading___Toc113280971"/>
    </w:p>
    <w:p>
      <w:pPr>
        <w:pStyle w:val="Heading1"/>
        <w:ind w:hanging="0" w:start="0"/>
        <w:rPr>
          <w:rFonts w:ascii="Times New Roman" w:hAnsi="Times New Roman" w:cs="Times New Roman"/>
          <w:sz w:val="22"/>
          <w:szCs w:val="22"/>
        </w:rPr>
      </w:pPr>
      <w:r>
        <w:rPr>
          <w:rFonts w:cs="Times New Roman" w:ascii="Times New Roman" w:hAnsi="Times New Roman"/>
          <w:sz w:val="22"/>
          <w:szCs w:val="22"/>
        </w:rPr>
      </w:r>
    </w:p>
    <w:p>
      <w:pPr>
        <w:pStyle w:val="Heading1"/>
        <w:ind w:hanging="0" w:start="0"/>
        <w:rPr>
          <w:rFonts w:ascii="Times New Roman" w:hAnsi="Times New Roman" w:cs="Times New Roman"/>
          <w:sz w:val="22"/>
          <w:szCs w:val="22"/>
        </w:rPr>
      </w:pPr>
      <w:r>
        <w:rPr>
          <w:rFonts w:cs="Times New Roman" w:ascii="Times New Roman" w:hAnsi="Times New Roman"/>
          <w:sz w:val="22"/>
          <w:szCs w:val="22"/>
        </w:rPr>
      </w:r>
    </w:p>
    <w:p>
      <w:pPr>
        <w:pStyle w:val="Heading1"/>
        <w:ind w:hanging="0" w:start="0"/>
        <w:rPr>
          <w:rFonts w:ascii="Times New Roman" w:hAnsi="Times New Roman" w:cs="Times New Roman"/>
          <w:sz w:val="22"/>
          <w:szCs w:val="22"/>
        </w:rPr>
      </w:pPr>
      <w:bookmarkStart w:id="28" w:name="__RefHeading___Toc113280971"/>
      <w:r>
        <w:rPr>
          <w:rFonts w:cs="Times New Roman" w:ascii="Times New Roman" w:hAnsi="Times New Roman"/>
          <w:sz w:val="22"/>
          <w:szCs w:val="22"/>
        </w:rPr>
        <w:t xml:space="preserve">Appendix 4 </w:t>
        <w:tab/>
        <w:t>Contact Details</w:t>
      </w:r>
      <w:bookmarkEnd w:id="28"/>
    </w:p>
    <w:p>
      <w:pPr>
        <w:pStyle w:val="Para"/>
        <w:ind w:start="0" w:end="0"/>
        <w:rPr>
          <w:rFonts w:ascii="Times New Roman" w:hAnsi="Times New Roman" w:cs="Times New Roman"/>
          <w:sz w:val="22"/>
          <w:szCs w:val="22"/>
        </w:rPr>
      </w:pPr>
      <w:r>
        <w:rPr>
          <w:rFonts w:cs="Times New Roman" w:ascii="Times New Roman" w:hAnsi="Times New Roman"/>
          <w:sz w:val="22"/>
          <w:szCs w:val="22"/>
        </w:rPr>
        <w:t>The contact details below represent the minimum essential contacts for the Emergency Response Team to be able to operate. A more extensive list of contacts is available in the Neptune’s UK BCP for Site 1.</w:t>
      </w:r>
    </w:p>
    <w:p>
      <w:pPr>
        <w:pStyle w:val="Para"/>
        <w:ind w:start="0" w:end="0"/>
        <w:rPr>
          <w:rFonts w:ascii="Times New Roman" w:hAnsi="Times New Roman" w:cs="Times New Roman"/>
          <w:sz w:val="22"/>
          <w:szCs w:val="22"/>
        </w:rPr>
      </w:pPr>
      <w:r>
        <w:rPr>
          <w:rFonts w:cs="Times New Roman" w:ascii="Times New Roman" w:hAnsi="Times New Roman"/>
          <w:sz w:val="22"/>
          <w:szCs w:val="22"/>
        </w:rPr>
      </w:r>
    </w:p>
    <w:tbl>
      <w:tblPr>
        <w:tblW w:w="8460" w:type="dxa"/>
        <w:jc w:val="start"/>
        <w:tblInd w:w="696" w:type="dxa"/>
        <w:tblLayout w:type="fixed"/>
        <w:tblCellMar>
          <w:top w:w="0" w:type="dxa"/>
          <w:start w:w="108" w:type="dxa"/>
          <w:bottom w:w="0" w:type="dxa"/>
          <w:end w:w="108" w:type="dxa"/>
        </w:tblCellMar>
      </w:tblPr>
      <w:tblGrid>
        <w:gridCol w:w="3466"/>
        <w:gridCol w:w="1214"/>
        <w:gridCol w:w="1260"/>
        <w:gridCol w:w="1260"/>
        <w:gridCol w:w="1260"/>
      </w:tblGrid>
      <w:tr>
        <w:trPr/>
        <w:tc>
          <w:tcPr>
            <w:tcW w:w="3466" w:type="dxa"/>
            <w:tcBorders>
              <w:top w:val="single" w:sz="4" w:space="0" w:color="000000"/>
              <w:start w:val="single" w:sz="4" w:space="0" w:color="000000"/>
              <w:bottom w:val="single" w:sz="4" w:space="0" w:color="000000"/>
              <w:end w:val="single" w:sz="4" w:space="0" w:color="000000"/>
            </w:tcBorders>
          </w:tcPr>
          <w:p>
            <w:pPr>
              <w:pStyle w:val="Para"/>
              <w:spacing w:before="120" w:after="120"/>
              <w:ind w:start="0" w:end="0"/>
              <w:rPr>
                <w:rFonts w:ascii="Times New Roman" w:hAnsi="Times New Roman" w:cs="Times New Roman"/>
                <w:b/>
                <w:bCs/>
                <w:sz w:val="18"/>
                <w:szCs w:val="18"/>
              </w:rPr>
            </w:pPr>
            <w:r>
              <w:rPr>
                <w:rFonts w:cs="Times New Roman" w:ascii="Times New Roman" w:hAnsi="Times New Roman"/>
                <w:b/>
                <w:bCs/>
                <w:sz w:val="18"/>
                <w:szCs w:val="18"/>
              </w:rPr>
              <w:t>Title</w:t>
            </w:r>
          </w:p>
        </w:tc>
        <w:tc>
          <w:tcPr>
            <w:tcW w:w="1214" w:type="dxa"/>
            <w:tcBorders>
              <w:top w:val="single" w:sz="4" w:space="0" w:color="000000"/>
              <w:start w:val="single" w:sz="4" w:space="0" w:color="000000"/>
              <w:bottom w:val="single" w:sz="4" w:space="0" w:color="000000"/>
              <w:end w:val="single" w:sz="4" w:space="0" w:color="000000"/>
            </w:tcBorders>
          </w:tcPr>
          <w:p>
            <w:pPr>
              <w:pStyle w:val="Para"/>
              <w:spacing w:before="120" w:after="120"/>
              <w:ind w:start="0" w:end="0"/>
              <w:rPr>
                <w:rFonts w:ascii="Times New Roman" w:hAnsi="Times New Roman" w:cs="Times New Roman"/>
                <w:b/>
                <w:bCs/>
                <w:sz w:val="18"/>
                <w:szCs w:val="18"/>
              </w:rPr>
            </w:pPr>
            <w:r>
              <w:rPr>
                <w:rFonts w:cs="Times New Roman" w:ascii="Times New Roman" w:hAnsi="Times New Roman"/>
                <w:b/>
                <w:bCs/>
                <w:sz w:val="18"/>
                <w:szCs w:val="18"/>
              </w:rPr>
              <w:t>Name</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120" w:after="120"/>
              <w:ind w:start="0" w:end="0"/>
              <w:rPr>
                <w:rFonts w:ascii="Times New Roman" w:hAnsi="Times New Roman" w:cs="Times New Roman"/>
                <w:b/>
                <w:bCs/>
                <w:sz w:val="18"/>
                <w:szCs w:val="18"/>
              </w:rPr>
            </w:pPr>
            <w:r>
              <w:rPr>
                <w:rFonts w:cs="Times New Roman" w:ascii="Times New Roman" w:hAnsi="Times New Roman"/>
                <w:b/>
                <w:bCs/>
                <w:sz w:val="18"/>
                <w:szCs w:val="18"/>
              </w:rPr>
              <w:t>Office Phone</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120" w:after="120"/>
              <w:ind w:start="0" w:end="0"/>
              <w:rPr>
                <w:rFonts w:ascii="Times New Roman" w:hAnsi="Times New Roman" w:cs="Times New Roman"/>
                <w:b/>
                <w:bCs/>
                <w:sz w:val="18"/>
                <w:szCs w:val="18"/>
              </w:rPr>
            </w:pPr>
            <w:r>
              <w:rPr>
                <w:rFonts w:cs="Times New Roman" w:ascii="Times New Roman" w:hAnsi="Times New Roman"/>
                <w:b/>
                <w:bCs/>
                <w:sz w:val="18"/>
                <w:szCs w:val="18"/>
              </w:rPr>
              <w:t>Mobile</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120" w:after="120"/>
              <w:ind w:start="0" w:end="0"/>
              <w:rPr>
                <w:rFonts w:ascii="Times New Roman" w:hAnsi="Times New Roman" w:cs="Times New Roman"/>
                <w:b/>
                <w:bCs/>
                <w:sz w:val="18"/>
                <w:szCs w:val="18"/>
              </w:rPr>
            </w:pPr>
            <w:r>
              <w:rPr>
                <w:rFonts w:cs="Times New Roman" w:ascii="Times New Roman" w:hAnsi="Times New Roman"/>
                <w:b/>
                <w:bCs/>
                <w:sz w:val="18"/>
                <w:szCs w:val="18"/>
              </w:rPr>
              <w:t>Home</w:t>
            </w:r>
          </w:p>
        </w:tc>
      </w:tr>
      <w:tr>
        <w:trPr>
          <w:cantSplit w:val="true"/>
        </w:trPr>
        <w:tc>
          <w:tcPr>
            <w:tcW w:w="8460" w:type="dxa"/>
            <w:gridSpan w:val="5"/>
            <w:tcBorders>
              <w:top w:val="single" w:sz="4" w:space="0" w:color="000000"/>
              <w:start w:val="single" w:sz="4" w:space="0" w:color="000000"/>
              <w:bottom w:val="single" w:sz="4" w:space="0" w:color="000000"/>
              <w:end w:val="single" w:sz="4" w:space="0" w:color="000000"/>
            </w:tcBorders>
          </w:tcPr>
          <w:p>
            <w:pPr>
              <w:pStyle w:val="Para"/>
              <w:spacing w:before="120" w:after="120"/>
              <w:ind w:start="0" w:end="0"/>
              <w:rPr>
                <w:rFonts w:ascii="Times New Roman" w:hAnsi="Times New Roman" w:cs="Times New Roman"/>
                <w:b/>
                <w:bCs/>
                <w:sz w:val="18"/>
                <w:szCs w:val="18"/>
              </w:rPr>
            </w:pPr>
            <w:r>
              <w:rPr>
                <w:rFonts w:cs="Times New Roman" w:ascii="Times New Roman" w:hAnsi="Times New Roman"/>
                <w:b/>
                <w:bCs/>
                <w:sz w:val="18"/>
                <w:szCs w:val="18"/>
              </w:rPr>
              <w:t>Emergency Response Team</w:t>
            </w:r>
          </w:p>
        </w:tc>
      </w:tr>
      <w:tr>
        <w:trPr/>
        <w:tc>
          <w:tcPr>
            <w:tcW w:w="3466"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Head of Operations</w:t>
            </w:r>
          </w:p>
        </w:tc>
        <w:tc>
          <w:tcPr>
            <w:tcW w:w="1214"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r>
      <w:tr>
        <w:trPr/>
        <w:tc>
          <w:tcPr>
            <w:tcW w:w="3466"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Site Director</w:t>
            </w:r>
          </w:p>
        </w:tc>
        <w:tc>
          <w:tcPr>
            <w:tcW w:w="1214"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r>
      <w:tr>
        <w:trPr/>
        <w:tc>
          <w:tcPr>
            <w:tcW w:w="3466"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Manual Handling Operations Manager</w:t>
            </w:r>
          </w:p>
        </w:tc>
        <w:tc>
          <w:tcPr>
            <w:tcW w:w="1214"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r>
      <w:tr>
        <w:trPr/>
        <w:tc>
          <w:tcPr>
            <w:tcW w:w="3466"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Data Capture Operations Manager</w:t>
            </w:r>
          </w:p>
        </w:tc>
        <w:tc>
          <w:tcPr>
            <w:tcW w:w="1214"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r>
      <w:tr>
        <w:trPr/>
        <w:tc>
          <w:tcPr>
            <w:tcW w:w="3466"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Technical Services Manager</w:t>
            </w:r>
          </w:p>
        </w:tc>
        <w:tc>
          <w:tcPr>
            <w:tcW w:w="1214"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r>
      <w:tr>
        <w:trPr/>
        <w:tc>
          <w:tcPr>
            <w:tcW w:w="3466"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Voucher Preparation Supervisor</w:t>
            </w:r>
          </w:p>
        </w:tc>
        <w:tc>
          <w:tcPr>
            <w:tcW w:w="1214"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r>
      <w:tr>
        <w:trPr/>
        <w:tc>
          <w:tcPr>
            <w:tcW w:w="3466"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Voucher Data Capture Supervisor</w:t>
            </w:r>
          </w:p>
        </w:tc>
        <w:tc>
          <w:tcPr>
            <w:tcW w:w="1214"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r>
      <w:tr>
        <w:trPr>
          <w:cantSplit w:val="true"/>
        </w:trPr>
        <w:tc>
          <w:tcPr>
            <w:tcW w:w="8460" w:type="dxa"/>
            <w:gridSpan w:val="5"/>
            <w:tcBorders>
              <w:top w:val="single" w:sz="4" w:space="0" w:color="000000"/>
              <w:start w:val="single" w:sz="4" w:space="0" w:color="000000"/>
              <w:bottom w:val="single" w:sz="4" w:space="0" w:color="000000"/>
              <w:end w:val="single" w:sz="4" w:space="0" w:color="000000"/>
            </w:tcBorders>
          </w:tcPr>
          <w:p>
            <w:pPr>
              <w:pStyle w:val="Para"/>
              <w:spacing w:before="120" w:after="120"/>
              <w:ind w:start="0" w:end="0"/>
              <w:rPr>
                <w:rFonts w:ascii="Times New Roman" w:hAnsi="Times New Roman" w:cs="Times New Roman"/>
                <w:b/>
                <w:bCs/>
                <w:sz w:val="18"/>
                <w:szCs w:val="18"/>
              </w:rPr>
            </w:pPr>
            <w:r>
              <w:rPr>
                <w:rFonts w:cs="Times New Roman" w:ascii="Times New Roman" w:hAnsi="Times New Roman"/>
                <w:b/>
                <w:bCs/>
                <w:sz w:val="18"/>
                <w:szCs w:val="18"/>
              </w:rPr>
              <w:t>Escalation Contacts – Neptune</w:t>
            </w:r>
          </w:p>
        </w:tc>
      </w:tr>
      <w:tr>
        <w:trPr/>
        <w:tc>
          <w:tcPr>
            <w:tcW w:w="3466"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Head of Centralised Operations</w:t>
            </w:r>
          </w:p>
        </w:tc>
        <w:tc>
          <w:tcPr>
            <w:tcW w:w="1214"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r>
      <w:tr>
        <w:trPr/>
        <w:tc>
          <w:tcPr>
            <w:tcW w:w="3466"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Head of Print &amp; Data Services</w:t>
            </w:r>
          </w:p>
        </w:tc>
        <w:tc>
          <w:tcPr>
            <w:tcW w:w="1214"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r>
      <w:tr>
        <w:trPr/>
        <w:tc>
          <w:tcPr>
            <w:tcW w:w="3466"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RBSG Vouchers Contract Manager</w:t>
            </w:r>
          </w:p>
        </w:tc>
        <w:tc>
          <w:tcPr>
            <w:tcW w:w="1214"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r>
      <w:tr>
        <w:trPr/>
        <w:tc>
          <w:tcPr>
            <w:tcW w:w="3466"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RBSG Vouchers Service Delivery Mgr</w:t>
            </w:r>
          </w:p>
        </w:tc>
        <w:tc>
          <w:tcPr>
            <w:tcW w:w="1214"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r>
      <w:tr>
        <w:trPr/>
        <w:tc>
          <w:tcPr>
            <w:tcW w:w="3466"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Facilities Manager UK</w:t>
            </w:r>
          </w:p>
        </w:tc>
        <w:tc>
          <w:tcPr>
            <w:tcW w:w="1214"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r>
      <w:tr>
        <w:trPr/>
        <w:tc>
          <w:tcPr>
            <w:tcW w:w="3466"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Facilities Manager (Site 1)</w:t>
            </w:r>
          </w:p>
        </w:tc>
        <w:tc>
          <w:tcPr>
            <w:tcW w:w="1214"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r>
      <w:tr>
        <w:trPr/>
        <w:tc>
          <w:tcPr>
            <w:tcW w:w="3466"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Facilities Manager (Site 2)</w:t>
            </w:r>
          </w:p>
        </w:tc>
        <w:tc>
          <w:tcPr>
            <w:tcW w:w="1214"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r>
      <w:tr>
        <w:trPr>
          <w:cantSplit w:val="true"/>
        </w:trPr>
        <w:tc>
          <w:tcPr>
            <w:tcW w:w="8460" w:type="dxa"/>
            <w:gridSpan w:val="5"/>
            <w:tcBorders>
              <w:top w:val="single" w:sz="4" w:space="0" w:color="000000"/>
              <w:start w:val="single" w:sz="4" w:space="0" w:color="000000"/>
              <w:bottom w:val="single" w:sz="4" w:space="0" w:color="000000"/>
              <w:end w:val="single" w:sz="4" w:space="0" w:color="000000"/>
            </w:tcBorders>
          </w:tcPr>
          <w:p>
            <w:pPr>
              <w:pStyle w:val="Para"/>
              <w:spacing w:before="120" w:after="120"/>
              <w:ind w:start="0" w:end="0"/>
              <w:rPr>
                <w:rFonts w:ascii="Times New Roman" w:hAnsi="Times New Roman" w:cs="Times New Roman"/>
                <w:b/>
                <w:bCs/>
                <w:sz w:val="18"/>
                <w:szCs w:val="18"/>
              </w:rPr>
            </w:pPr>
            <w:r>
              <w:rPr>
                <w:rFonts w:cs="Times New Roman" w:ascii="Times New Roman" w:hAnsi="Times New Roman"/>
                <w:b/>
                <w:bCs/>
                <w:sz w:val="18"/>
                <w:szCs w:val="18"/>
              </w:rPr>
              <w:t xml:space="preserve">Escalation Contacts – XYZ Client </w:t>
            </w:r>
          </w:p>
        </w:tc>
      </w:tr>
      <w:tr>
        <w:trPr/>
        <w:tc>
          <w:tcPr>
            <w:tcW w:w="3466"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Manager, Merchant Support.</w:t>
            </w:r>
          </w:p>
        </w:tc>
        <w:tc>
          <w:tcPr>
            <w:tcW w:w="1214"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r>
      <w:tr>
        <w:trPr/>
        <w:tc>
          <w:tcPr>
            <w:tcW w:w="3466"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Supplier Manager</w:t>
            </w:r>
          </w:p>
        </w:tc>
        <w:tc>
          <w:tcPr>
            <w:tcW w:w="1214"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r>
      <w:tr>
        <w:trPr/>
        <w:tc>
          <w:tcPr>
            <w:tcW w:w="3466"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Senior Manager</w:t>
            </w:r>
          </w:p>
        </w:tc>
        <w:tc>
          <w:tcPr>
            <w:tcW w:w="1214"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r>
    </w:tbl>
    <w:p>
      <w:pPr>
        <w:pStyle w:val="Normal"/>
        <w:rPr>
          <w:szCs w:val="22"/>
        </w:rPr>
      </w:pPr>
      <w:r>
        <w:rPr>
          <w:szCs w:val="22"/>
        </w:rPr>
      </w:r>
    </w:p>
    <w:tbl>
      <w:tblPr>
        <w:tblW w:w="8460" w:type="dxa"/>
        <w:jc w:val="start"/>
        <w:tblInd w:w="648" w:type="dxa"/>
        <w:tblLayout w:type="fixed"/>
        <w:tblCellMar>
          <w:top w:w="0" w:type="dxa"/>
          <w:start w:w="108" w:type="dxa"/>
          <w:bottom w:w="0" w:type="dxa"/>
          <w:end w:w="108" w:type="dxa"/>
        </w:tblCellMar>
      </w:tblPr>
      <w:tblGrid>
        <w:gridCol w:w="3420"/>
        <w:gridCol w:w="1260"/>
        <w:gridCol w:w="1260"/>
        <w:gridCol w:w="1260"/>
        <w:gridCol w:w="1260"/>
      </w:tblGrid>
      <w:tr>
        <w:trPr>
          <w:cantSplit w:val="true"/>
        </w:trPr>
        <w:tc>
          <w:tcPr>
            <w:tcW w:w="8460" w:type="dxa"/>
            <w:gridSpan w:val="5"/>
            <w:tcBorders>
              <w:top w:val="single" w:sz="4" w:space="0" w:color="000000"/>
              <w:start w:val="single" w:sz="4" w:space="0" w:color="000000"/>
              <w:bottom w:val="single" w:sz="4" w:space="0" w:color="000000"/>
              <w:end w:val="single" w:sz="4" w:space="0" w:color="000000"/>
            </w:tcBorders>
          </w:tcPr>
          <w:p>
            <w:pPr>
              <w:pStyle w:val="Para"/>
              <w:spacing w:before="120" w:after="120"/>
              <w:ind w:start="0" w:end="0"/>
              <w:rPr>
                <w:rFonts w:ascii="Times New Roman" w:hAnsi="Times New Roman" w:cs="Times New Roman"/>
                <w:b/>
                <w:bCs/>
                <w:sz w:val="18"/>
                <w:szCs w:val="18"/>
              </w:rPr>
            </w:pPr>
            <w:r>
              <w:rPr>
                <w:rFonts w:cs="Times New Roman" w:ascii="Times New Roman" w:hAnsi="Times New Roman"/>
                <w:b/>
                <w:bCs/>
                <w:sz w:val="18"/>
                <w:szCs w:val="18"/>
              </w:rPr>
              <w:t>Site 1 Alternate Facilities</w:t>
            </w:r>
          </w:p>
        </w:tc>
      </w:tr>
      <w:tr>
        <w:trPr/>
        <w:tc>
          <w:tcPr>
            <w:tcW w:w="342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Earl Hotel</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r>
      <w:tr>
        <w:trPr/>
        <w:tc>
          <w:tcPr>
            <w:tcW w:w="342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Mount Pleasant Hotel</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r>
      <w:tr>
        <w:trPr/>
        <w:tc>
          <w:tcPr>
            <w:tcW w:w="342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Danum Hotel</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r>
      <w:tr>
        <w:trPr/>
        <w:tc>
          <w:tcPr>
            <w:tcW w:w="342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Regent Hotel</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r>
      <w:tr>
        <w:trPr/>
        <w:tc>
          <w:tcPr>
            <w:tcW w:w="342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Business Centre</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r>
      <w:tr>
        <w:trPr>
          <w:cantSplit w:val="true"/>
        </w:trPr>
        <w:tc>
          <w:tcPr>
            <w:tcW w:w="8460" w:type="dxa"/>
            <w:gridSpan w:val="5"/>
            <w:tcBorders>
              <w:top w:val="single" w:sz="4" w:space="0" w:color="000000"/>
              <w:start w:val="single" w:sz="4" w:space="0" w:color="000000"/>
              <w:bottom w:val="single" w:sz="4" w:space="0" w:color="000000"/>
              <w:end w:val="single" w:sz="4" w:space="0" w:color="000000"/>
            </w:tcBorders>
          </w:tcPr>
          <w:p>
            <w:pPr>
              <w:pStyle w:val="Para"/>
              <w:spacing w:before="120" w:after="120"/>
              <w:ind w:start="0" w:end="0"/>
              <w:rPr>
                <w:rFonts w:ascii="Times New Roman" w:hAnsi="Times New Roman" w:cs="Times New Roman"/>
                <w:b/>
                <w:bCs/>
                <w:sz w:val="18"/>
                <w:szCs w:val="18"/>
              </w:rPr>
            </w:pPr>
            <w:r>
              <w:rPr>
                <w:rFonts w:cs="Times New Roman" w:ascii="Times New Roman" w:hAnsi="Times New Roman"/>
                <w:b/>
                <w:bCs/>
                <w:sz w:val="18"/>
                <w:szCs w:val="18"/>
              </w:rPr>
              <w:t>Transport - Personnel</w:t>
            </w:r>
          </w:p>
        </w:tc>
      </w:tr>
      <w:tr>
        <w:trPr/>
        <w:tc>
          <w:tcPr>
            <w:tcW w:w="3420" w:type="dxa"/>
            <w:tcBorders>
              <w:top w:val="single" w:sz="4" w:space="0" w:color="000000"/>
              <w:start w:val="single" w:sz="4" w:space="0" w:color="000000"/>
              <w:bottom w:val="single" w:sz="4" w:space="0" w:color="000000"/>
              <w:end w:val="single" w:sz="4" w:space="0" w:color="000000"/>
            </w:tcBorders>
            <w:vAlign w:val="center"/>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A1 Taxis (Site 1)</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r>
      <w:tr>
        <w:trPr/>
        <w:tc>
          <w:tcPr>
            <w:tcW w:w="3420" w:type="dxa"/>
            <w:tcBorders>
              <w:top w:val="single" w:sz="4" w:space="0" w:color="000000"/>
              <w:start w:val="single" w:sz="4" w:space="0" w:color="000000"/>
              <w:bottom w:val="single" w:sz="4" w:space="0" w:color="000000"/>
              <w:end w:val="single" w:sz="4" w:space="0" w:color="000000"/>
            </w:tcBorders>
            <w:vAlign w:val="center"/>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Alpha Minicabs (Site 2)</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r>
      <w:tr>
        <w:trPr/>
        <w:tc>
          <w:tcPr>
            <w:tcW w:w="3420" w:type="dxa"/>
            <w:tcBorders>
              <w:top w:val="single" w:sz="4" w:space="0" w:color="000000"/>
              <w:start w:val="single" w:sz="4" w:space="0" w:color="000000"/>
              <w:bottom w:val="single" w:sz="4" w:space="0" w:color="000000"/>
              <w:end w:val="single" w:sz="4" w:space="0" w:color="000000"/>
            </w:tcBorders>
            <w:vAlign w:val="center"/>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Travelgreen Coach / Minibus Hire</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r>
      <w:tr>
        <w:trPr>
          <w:cantSplit w:val="true"/>
        </w:trPr>
        <w:tc>
          <w:tcPr>
            <w:tcW w:w="8460" w:type="dxa"/>
            <w:gridSpan w:val="5"/>
            <w:tcBorders>
              <w:top w:val="single" w:sz="4" w:space="0" w:color="000000"/>
              <w:start w:val="single" w:sz="4" w:space="0" w:color="000000"/>
              <w:bottom w:val="single" w:sz="4" w:space="0" w:color="000000"/>
              <w:end w:val="single" w:sz="4" w:space="0" w:color="000000"/>
            </w:tcBorders>
            <w:vAlign w:val="center"/>
          </w:tcPr>
          <w:p>
            <w:pPr>
              <w:pStyle w:val="Para"/>
              <w:spacing w:before="120" w:after="120"/>
              <w:ind w:start="0" w:end="0"/>
              <w:rPr>
                <w:rFonts w:ascii="Times New Roman" w:hAnsi="Times New Roman" w:cs="Times New Roman"/>
                <w:b/>
                <w:bCs/>
                <w:sz w:val="18"/>
                <w:szCs w:val="18"/>
              </w:rPr>
            </w:pPr>
            <w:r>
              <w:rPr>
                <w:rFonts w:cs="Times New Roman" w:ascii="Times New Roman" w:hAnsi="Times New Roman"/>
                <w:b/>
                <w:bCs/>
                <w:sz w:val="18"/>
                <w:szCs w:val="18"/>
              </w:rPr>
              <w:t>Transport - Cargo</w:t>
            </w:r>
          </w:p>
        </w:tc>
      </w:tr>
      <w:tr>
        <w:trPr/>
        <w:tc>
          <w:tcPr>
            <w:tcW w:w="3420" w:type="dxa"/>
            <w:tcBorders>
              <w:top w:val="single" w:sz="4" w:space="0" w:color="000000"/>
              <w:start w:val="single" w:sz="4" w:space="0" w:color="000000"/>
              <w:bottom w:val="single" w:sz="4" w:space="0" w:color="000000"/>
              <w:end w:val="single" w:sz="4" w:space="0" w:color="000000"/>
            </w:tcBorders>
            <w:vAlign w:val="center"/>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Citylink</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r>
      <w:tr>
        <w:trPr/>
        <w:tc>
          <w:tcPr>
            <w:tcW w:w="3420" w:type="dxa"/>
            <w:tcBorders>
              <w:top w:val="single" w:sz="4" w:space="0" w:color="000000"/>
              <w:start w:val="single" w:sz="4" w:space="0" w:color="000000"/>
              <w:bottom w:val="single" w:sz="4" w:space="0" w:color="000000"/>
              <w:end w:val="single" w:sz="4" w:space="0" w:color="000000"/>
            </w:tcBorders>
            <w:vAlign w:val="center"/>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UPS</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26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r>
      <w:tr>
        <w:trPr/>
        <w:tc>
          <w:tcPr>
            <w:tcW w:w="3420" w:type="dxa"/>
            <w:tcBorders>
              <w:top w:val="single" w:sz="4" w:space="0" w:color="000000"/>
              <w:start w:val="single" w:sz="4" w:space="0" w:color="000000"/>
              <w:bottom w:val="single" w:sz="4" w:space="0" w:color="000000"/>
              <w:end w:val="single" w:sz="4" w:space="0" w:color="000000"/>
            </w:tcBorders>
            <w:vAlign w:val="center"/>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r>
      <w:tr>
        <w:trPr/>
        <w:tc>
          <w:tcPr>
            <w:tcW w:w="3420" w:type="dxa"/>
            <w:tcBorders>
              <w:top w:val="single" w:sz="4" w:space="0" w:color="000000"/>
              <w:start w:val="single" w:sz="4" w:space="0" w:color="000000"/>
              <w:bottom w:val="single" w:sz="4" w:space="0" w:color="000000"/>
              <w:end w:val="single" w:sz="4" w:space="0" w:color="000000"/>
            </w:tcBorders>
            <w:vAlign w:val="center"/>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r>
      <w:tr>
        <w:trPr/>
        <w:tc>
          <w:tcPr>
            <w:tcW w:w="3420" w:type="dxa"/>
            <w:tcBorders>
              <w:top w:val="single" w:sz="4" w:space="0" w:color="000000"/>
              <w:start w:val="single" w:sz="4" w:space="0" w:color="000000"/>
              <w:bottom w:val="single" w:sz="4" w:space="0" w:color="000000"/>
              <w:end w:val="single" w:sz="4" w:space="0" w:color="000000"/>
            </w:tcBorders>
            <w:vAlign w:val="center"/>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r>
    </w:tbl>
    <w:p>
      <w:pPr>
        <w:pStyle w:val="Para"/>
        <w:rPr>
          <w:rFonts w:ascii="Times New Roman" w:hAnsi="Times New Roman" w:cs="Times New Roman"/>
          <w:sz w:val="22"/>
          <w:szCs w:val="22"/>
        </w:rPr>
      </w:pPr>
      <w:r>
        <w:rPr>
          <w:rFonts w:cs="Times New Roman" w:ascii="Times New Roman" w:hAnsi="Times New Roman"/>
          <w:sz w:val="22"/>
          <w:szCs w:val="22"/>
        </w:rPr>
      </w:r>
    </w:p>
    <w:p>
      <w:pPr>
        <w:pStyle w:val="Para"/>
        <w:rPr>
          <w:rFonts w:ascii="Times New Roman" w:hAnsi="Times New Roman" w:cs="Times New Roman"/>
          <w:sz w:val="22"/>
          <w:szCs w:val="22"/>
        </w:rPr>
      </w:pPr>
      <w:r>
        <w:rPr>
          <w:rFonts w:cs="Times New Roman" w:ascii="Times New Roman" w:hAnsi="Times New Roman"/>
          <w:sz w:val="22"/>
          <w:szCs w:val="22"/>
        </w:rPr>
      </w:r>
      <w:r>
        <w:br w:type="page"/>
      </w:r>
    </w:p>
    <w:p>
      <w:pPr>
        <w:pStyle w:val="Heading1"/>
        <w:ind w:hanging="0" w:start="0"/>
        <w:rPr>
          <w:rFonts w:ascii="Times New Roman" w:hAnsi="Times New Roman" w:cs="Times New Roman"/>
          <w:sz w:val="22"/>
          <w:szCs w:val="22"/>
        </w:rPr>
      </w:pPr>
      <w:bookmarkStart w:id="29" w:name="__RefHeading___Toc113280972"/>
      <w:bookmarkEnd w:id="29"/>
      <w:r>
        <w:rPr>
          <w:rFonts w:cs="Times New Roman" w:ascii="Times New Roman" w:hAnsi="Times New Roman"/>
          <w:sz w:val="22"/>
          <w:szCs w:val="22"/>
        </w:rPr>
        <w:t xml:space="preserve">Appendix 5 </w:t>
        <w:tab/>
        <w:t>Key Supplier Details</w:t>
      </w:r>
    </w:p>
    <w:p>
      <w:pPr>
        <w:pStyle w:val="Para"/>
        <w:rPr>
          <w:rFonts w:ascii="Times New Roman" w:hAnsi="Times New Roman" w:cs="Times New Roman"/>
          <w:sz w:val="22"/>
          <w:szCs w:val="22"/>
        </w:rPr>
      </w:pPr>
      <w:r>
        <w:rPr>
          <w:rFonts w:cs="Times New Roman" w:ascii="Times New Roman" w:hAnsi="Times New Roman"/>
          <w:sz w:val="22"/>
          <w:szCs w:val="22"/>
        </w:rPr>
      </w:r>
    </w:p>
    <w:tbl>
      <w:tblPr>
        <w:tblW w:w="10080" w:type="dxa"/>
        <w:jc w:val="start"/>
        <w:tblInd w:w="108" w:type="dxa"/>
        <w:tblLayout w:type="fixed"/>
        <w:tblCellMar>
          <w:top w:w="0" w:type="dxa"/>
          <w:start w:w="108" w:type="dxa"/>
          <w:bottom w:w="0" w:type="dxa"/>
          <w:end w:w="108" w:type="dxa"/>
        </w:tblCellMar>
      </w:tblPr>
      <w:tblGrid>
        <w:gridCol w:w="3600"/>
        <w:gridCol w:w="1620"/>
        <w:gridCol w:w="1620"/>
        <w:gridCol w:w="1620"/>
        <w:gridCol w:w="1620"/>
      </w:tblGrid>
      <w:tr>
        <w:trPr/>
        <w:tc>
          <w:tcPr>
            <w:tcW w:w="3600" w:type="dxa"/>
            <w:tcBorders>
              <w:top w:val="single" w:sz="4" w:space="0" w:color="000000"/>
              <w:start w:val="single" w:sz="4" w:space="0" w:color="000000"/>
              <w:bottom w:val="single" w:sz="4" w:space="0" w:color="000000"/>
              <w:end w:val="single" w:sz="4" w:space="0" w:color="000000"/>
            </w:tcBorders>
          </w:tcPr>
          <w:p>
            <w:pPr>
              <w:pStyle w:val="Para"/>
              <w:spacing w:before="120" w:after="120"/>
              <w:ind w:start="0" w:end="0"/>
              <w:rPr>
                <w:rFonts w:ascii="Times New Roman" w:hAnsi="Times New Roman" w:cs="Times New Roman"/>
                <w:b/>
                <w:bCs/>
                <w:sz w:val="18"/>
                <w:szCs w:val="18"/>
              </w:rPr>
            </w:pPr>
            <w:r>
              <w:rPr>
                <w:rFonts w:cs="Times New Roman" w:ascii="Times New Roman" w:hAnsi="Times New Roman"/>
                <w:b/>
                <w:bCs/>
                <w:sz w:val="18"/>
                <w:szCs w:val="18"/>
              </w:rPr>
              <w:t>Title</w:t>
            </w:r>
          </w:p>
        </w:tc>
        <w:tc>
          <w:tcPr>
            <w:tcW w:w="1620" w:type="dxa"/>
            <w:tcBorders>
              <w:top w:val="single" w:sz="4" w:space="0" w:color="000000"/>
              <w:start w:val="single" w:sz="4" w:space="0" w:color="000000"/>
              <w:bottom w:val="single" w:sz="4" w:space="0" w:color="000000"/>
              <w:end w:val="single" w:sz="4" w:space="0" w:color="000000"/>
            </w:tcBorders>
          </w:tcPr>
          <w:p>
            <w:pPr>
              <w:pStyle w:val="Para"/>
              <w:spacing w:before="120" w:after="120"/>
              <w:ind w:start="0" w:end="0"/>
              <w:rPr>
                <w:rFonts w:ascii="Times New Roman" w:hAnsi="Times New Roman" w:cs="Times New Roman"/>
                <w:b/>
                <w:bCs/>
                <w:sz w:val="18"/>
                <w:szCs w:val="18"/>
              </w:rPr>
            </w:pPr>
            <w:r>
              <w:rPr>
                <w:rFonts w:cs="Times New Roman" w:ascii="Times New Roman" w:hAnsi="Times New Roman"/>
                <w:b/>
                <w:bCs/>
                <w:sz w:val="18"/>
                <w:szCs w:val="18"/>
              </w:rPr>
              <w:t>Name</w:t>
            </w:r>
          </w:p>
        </w:tc>
        <w:tc>
          <w:tcPr>
            <w:tcW w:w="1620" w:type="dxa"/>
            <w:tcBorders>
              <w:top w:val="single" w:sz="4" w:space="0" w:color="000000"/>
              <w:start w:val="single" w:sz="4" w:space="0" w:color="000000"/>
              <w:bottom w:val="single" w:sz="4" w:space="0" w:color="000000"/>
              <w:end w:val="single" w:sz="4" w:space="0" w:color="000000"/>
            </w:tcBorders>
          </w:tcPr>
          <w:p>
            <w:pPr>
              <w:pStyle w:val="Para"/>
              <w:spacing w:before="120" w:after="120"/>
              <w:ind w:start="0" w:end="0"/>
              <w:rPr>
                <w:rFonts w:ascii="Times New Roman" w:hAnsi="Times New Roman" w:cs="Times New Roman"/>
                <w:b/>
                <w:bCs/>
                <w:sz w:val="18"/>
                <w:szCs w:val="18"/>
              </w:rPr>
            </w:pPr>
            <w:r>
              <w:rPr>
                <w:rFonts w:cs="Times New Roman" w:ascii="Times New Roman" w:hAnsi="Times New Roman"/>
                <w:b/>
                <w:bCs/>
                <w:sz w:val="18"/>
                <w:szCs w:val="18"/>
              </w:rPr>
              <w:t>Office Phone</w:t>
            </w:r>
          </w:p>
        </w:tc>
        <w:tc>
          <w:tcPr>
            <w:tcW w:w="1620" w:type="dxa"/>
            <w:tcBorders>
              <w:top w:val="single" w:sz="4" w:space="0" w:color="000000"/>
              <w:start w:val="single" w:sz="4" w:space="0" w:color="000000"/>
              <w:bottom w:val="single" w:sz="4" w:space="0" w:color="000000"/>
              <w:end w:val="single" w:sz="4" w:space="0" w:color="000000"/>
            </w:tcBorders>
          </w:tcPr>
          <w:p>
            <w:pPr>
              <w:pStyle w:val="Para"/>
              <w:spacing w:before="120" w:after="120"/>
              <w:ind w:start="0" w:end="0"/>
              <w:rPr>
                <w:rFonts w:ascii="Times New Roman" w:hAnsi="Times New Roman" w:cs="Times New Roman"/>
                <w:b/>
                <w:bCs/>
                <w:sz w:val="18"/>
                <w:szCs w:val="18"/>
              </w:rPr>
            </w:pPr>
            <w:r>
              <w:rPr>
                <w:rFonts w:cs="Times New Roman" w:ascii="Times New Roman" w:hAnsi="Times New Roman"/>
                <w:b/>
                <w:bCs/>
                <w:sz w:val="18"/>
                <w:szCs w:val="18"/>
              </w:rPr>
              <w:t>Mobile</w:t>
            </w:r>
          </w:p>
        </w:tc>
        <w:tc>
          <w:tcPr>
            <w:tcW w:w="1620" w:type="dxa"/>
            <w:tcBorders>
              <w:top w:val="single" w:sz="4" w:space="0" w:color="000000"/>
              <w:start w:val="single" w:sz="4" w:space="0" w:color="000000"/>
              <w:bottom w:val="single" w:sz="4" w:space="0" w:color="000000"/>
              <w:end w:val="single" w:sz="4" w:space="0" w:color="000000"/>
            </w:tcBorders>
          </w:tcPr>
          <w:p>
            <w:pPr>
              <w:pStyle w:val="Para"/>
              <w:spacing w:before="120" w:after="120"/>
              <w:ind w:start="0" w:end="0"/>
              <w:rPr>
                <w:rFonts w:ascii="Times New Roman" w:hAnsi="Times New Roman" w:cs="Times New Roman"/>
                <w:b/>
                <w:bCs/>
                <w:sz w:val="18"/>
                <w:szCs w:val="18"/>
              </w:rPr>
            </w:pPr>
            <w:r>
              <w:rPr>
                <w:rFonts w:cs="Times New Roman" w:ascii="Times New Roman" w:hAnsi="Times New Roman"/>
                <w:b/>
                <w:bCs/>
                <w:sz w:val="18"/>
                <w:szCs w:val="18"/>
              </w:rPr>
              <w:t>Home</w:t>
            </w:r>
          </w:p>
        </w:tc>
      </w:tr>
      <w:tr>
        <w:trPr>
          <w:cantSplit w:val="true"/>
        </w:trPr>
        <w:tc>
          <w:tcPr>
            <w:tcW w:w="10080" w:type="dxa"/>
            <w:gridSpan w:val="5"/>
            <w:tcBorders>
              <w:top w:val="single" w:sz="4" w:space="0" w:color="000000"/>
              <w:start w:val="single" w:sz="4" w:space="0" w:color="000000"/>
              <w:bottom w:val="single" w:sz="4" w:space="0" w:color="000000"/>
              <w:end w:val="single" w:sz="4" w:space="0" w:color="000000"/>
            </w:tcBorders>
          </w:tcPr>
          <w:p>
            <w:pPr>
              <w:pStyle w:val="Para"/>
              <w:spacing w:before="120" w:after="120"/>
              <w:ind w:start="0" w:end="0"/>
              <w:rPr>
                <w:rFonts w:ascii="Times New Roman" w:hAnsi="Times New Roman" w:cs="Times New Roman"/>
                <w:b/>
                <w:bCs/>
                <w:sz w:val="18"/>
                <w:szCs w:val="18"/>
              </w:rPr>
            </w:pPr>
            <w:r>
              <w:rPr>
                <w:rFonts w:cs="Times New Roman" w:ascii="Times New Roman" w:hAnsi="Times New Roman"/>
                <w:b/>
                <w:bCs/>
                <w:sz w:val="18"/>
                <w:szCs w:val="18"/>
              </w:rPr>
              <w:t>Temporary Staff Agencies</w:t>
            </w:r>
          </w:p>
        </w:tc>
      </w:tr>
      <w:tr>
        <w:trPr/>
        <w:tc>
          <w:tcPr>
            <w:tcW w:w="360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Kelly Services – Site 1</w:t>
            </w:r>
          </w:p>
        </w:tc>
        <w:tc>
          <w:tcPr>
            <w:tcW w:w="162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w:t>
            </w:r>
          </w:p>
        </w:tc>
        <w:tc>
          <w:tcPr>
            <w:tcW w:w="162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xxxxxxxxxxxx</w:t>
            </w:r>
          </w:p>
        </w:tc>
        <w:tc>
          <w:tcPr>
            <w:tcW w:w="162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r>
      <w:tr>
        <w:trPr/>
        <w:tc>
          <w:tcPr>
            <w:tcW w:w="360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Travail</w:t>
            </w:r>
          </w:p>
        </w:tc>
        <w:tc>
          <w:tcPr>
            <w:tcW w:w="162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xxxxxxxxxxxx</w:t>
            </w:r>
          </w:p>
        </w:tc>
        <w:tc>
          <w:tcPr>
            <w:tcW w:w="162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r>
      <w:tr>
        <w:trPr/>
        <w:tc>
          <w:tcPr>
            <w:tcW w:w="360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Prime Time</w:t>
            </w:r>
          </w:p>
        </w:tc>
        <w:tc>
          <w:tcPr>
            <w:tcW w:w="162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xxxxxxxxxxxx</w:t>
            </w:r>
          </w:p>
        </w:tc>
        <w:tc>
          <w:tcPr>
            <w:tcW w:w="162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r>
      <w:tr>
        <w:trPr>
          <w:cantSplit w:val="true"/>
        </w:trPr>
        <w:tc>
          <w:tcPr>
            <w:tcW w:w="10080" w:type="dxa"/>
            <w:gridSpan w:val="5"/>
            <w:tcBorders>
              <w:top w:val="single" w:sz="4" w:space="0" w:color="000000"/>
              <w:start w:val="single" w:sz="4" w:space="0" w:color="000000"/>
              <w:bottom w:val="single" w:sz="4" w:space="0" w:color="000000"/>
              <w:end w:val="single" w:sz="4" w:space="0" w:color="000000"/>
            </w:tcBorders>
          </w:tcPr>
          <w:p>
            <w:pPr>
              <w:pStyle w:val="Para"/>
              <w:spacing w:before="120" w:after="120"/>
              <w:ind w:start="0" w:end="0"/>
              <w:rPr>
                <w:rFonts w:ascii="Times New Roman" w:hAnsi="Times New Roman" w:cs="Times New Roman"/>
                <w:b/>
                <w:bCs/>
                <w:sz w:val="18"/>
                <w:szCs w:val="18"/>
              </w:rPr>
            </w:pPr>
            <w:r>
              <w:rPr>
                <w:rFonts w:cs="Times New Roman" w:ascii="Times New Roman" w:hAnsi="Times New Roman"/>
                <w:b/>
                <w:bCs/>
                <w:sz w:val="18"/>
                <w:szCs w:val="18"/>
              </w:rPr>
              <w:t>Stationery</w:t>
            </w:r>
          </w:p>
        </w:tc>
      </w:tr>
      <w:tr>
        <w:trPr/>
        <w:tc>
          <w:tcPr>
            <w:tcW w:w="360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Staples</w:t>
            </w:r>
          </w:p>
        </w:tc>
        <w:tc>
          <w:tcPr>
            <w:tcW w:w="162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Address</w:t>
            </w:r>
          </w:p>
        </w:tc>
        <w:tc>
          <w:tcPr>
            <w:tcW w:w="162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xxxxxxxxxxxx</w:t>
            </w:r>
          </w:p>
        </w:tc>
        <w:tc>
          <w:tcPr>
            <w:tcW w:w="162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r>
      <w:tr>
        <w:trPr>
          <w:cantSplit w:val="true"/>
        </w:trPr>
        <w:tc>
          <w:tcPr>
            <w:tcW w:w="10080" w:type="dxa"/>
            <w:gridSpan w:val="5"/>
            <w:tcBorders>
              <w:top w:val="single" w:sz="4" w:space="0" w:color="000000"/>
              <w:start w:val="single" w:sz="4" w:space="0" w:color="000000"/>
              <w:bottom w:val="single" w:sz="4" w:space="0" w:color="000000"/>
              <w:end w:val="single" w:sz="4" w:space="0" w:color="000000"/>
            </w:tcBorders>
          </w:tcPr>
          <w:p>
            <w:pPr>
              <w:pStyle w:val="Para"/>
              <w:spacing w:before="120" w:after="120"/>
              <w:ind w:start="0" w:end="0"/>
              <w:rPr>
                <w:rFonts w:ascii="Times New Roman" w:hAnsi="Times New Roman" w:cs="Times New Roman"/>
                <w:b/>
                <w:bCs/>
                <w:sz w:val="18"/>
                <w:szCs w:val="18"/>
              </w:rPr>
            </w:pPr>
            <w:r>
              <w:rPr>
                <w:rFonts w:cs="Times New Roman" w:ascii="Times New Roman" w:hAnsi="Times New Roman"/>
                <w:b/>
                <w:bCs/>
                <w:sz w:val="18"/>
                <w:szCs w:val="18"/>
              </w:rPr>
              <w:t>Computer Hardware</w:t>
            </w:r>
          </w:p>
        </w:tc>
      </w:tr>
      <w:tr>
        <w:trPr/>
        <w:tc>
          <w:tcPr>
            <w:tcW w:w="360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PC World Business Direct</w:t>
            </w:r>
          </w:p>
        </w:tc>
        <w:tc>
          <w:tcPr>
            <w:tcW w:w="162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xxxxxxxxxxxx</w:t>
            </w:r>
          </w:p>
        </w:tc>
        <w:tc>
          <w:tcPr>
            <w:tcW w:w="162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r>
      <w:tr>
        <w:trPr/>
        <w:tc>
          <w:tcPr>
            <w:tcW w:w="360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PC World (Site 1)</w:t>
            </w:r>
          </w:p>
        </w:tc>
        <w:tc>
          <w:tcPr>
            <w:tcW w:w="162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Address</w:t>
            </w:r>
          </w:p>
        </w:tc>
        <w:tc>
          <w:tcPr>
            <w:tcW w:w="162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xxxxxxxxxxxx</w:t>
            </w:r>
          </w:p>
        </w:tc>
        <w:tc>
          <w:tcPr>
            <w:tcW w:w="162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r>
      <w:tr>
        <w:trPr/>
        <w:tc>
          <w:tcPr>
            <w:tcW w:w="360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PC World (Site 2)</w:t>
            </w:r>
          </w:p>
        </w:tc>
        <w:tc>
          <w:tcPr>
            <w:tcW w:w="162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Address</w:t>
            </w:r>
          </w:p>
        </w:tc>
        <w:tc>
          <w:tcPr>
            <w:tcW w:w="162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xxxxxxxxxxxx</w:t>
            </w:r>
          </w:p>
        </w:tc>
        <w:tc>
          <w:tcPr>
            <w:tcW w:w="162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r>
      <w:tr>
        <w:trPr/>
        <w:tc>
          <w:tcPr>
            <w:tcW w:w="360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r>
      <w:tr>
        <w:trPr/>
        <w:tc>
          <w:tcPr>
            <w:tcW w:w="360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Para"/>
              <w:spacing w:before="0" w:after="0"/>
              <w:ind w:start="0" w:end="0"/>
              <w:rPr>
                <w:rFonts w:ascii="Times New Roman" w:hAnsi="Times New Roman" w:cs="Times New Roman"/>
                <w:sz w:val="18"/>
                <w:szCs w:val="18"/>
              </w:rPr>
            </w:pPr>
            <w:r>
              <w:rPr>
                <w:rFonts w:cs="Times New Roman" w:ascii="Times New Roman" w:hAnsi="Times New Roman"/>
                <w:sz w:val="18"/>
                <w:szCs w:val="18"/>
              </w:rPr>
              <w:t xml:space="preserve"> </w:t>
            </w:r>
          </w:p>
        </w:tc>
        <w:tc>
          <w:tcPr>
            <w:tcW w:w="162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Para"/>
              <w:snapToGrid w:val="false"/>
              <w:spacing w:before="0" w:after="0"/>
              <w:ind w:start="0" w:end="0"/>
              <w:rPr>
                <w:rFonts w:ascii="Times New Roman" w:hAnsi="Times New Roman" w:cs="Times New Roman"/>
                <w:sz w:val="18"/>
                <w:szCs w:val="18"/>
              </w:rPr>
            </w:pPr>
            <w:r>
              <w:rPr>
                <w:rFonts w:cs="Times New Roman" w:ascii="Times New Roman" w:hAnsi="Times New Roman"/>
                <w:sz w:val="18"/>
                <w:szCs w:val="18"/>
              </w:rPr>
            </w:r>
          </w:p>
        </w:tc>
      </w:tr>
    </w:tbl>
    <w:p>
      <w:pPr>
        <w:pStyle w:val="Para"/>
        <w:rPr>
          <w:rFonts w:ascii="Times New Roman" w:hAnsi="Times New Roman" w:cs="Times New Roman"/>
          <w:sz w:val="22"/>
          <w:szCs w:val="22"/>
        </w:rPr>
      </w:pPr>
      <w:r>
        <w:rPr>
          <w:rFonts w:cs="Times New Roman" w:ascii="Times New Roman" w:hAnsi="Times New Roman"/>
          <w:sz w:val="22"/>
          <w:szCs w:val="22"/>
        </w:rPr>
      </w:r>
    </w:p>
    <w:p>
      <w:pPr>
        <w:pStyle w:val="Para"/>
        <w:rPr>
          <w:rFonts w:ascii="Times New Roman" w:hAnsi="Times New Roman" w:cs="Times New Roman"/>
          <w:sz w:val="22"/>
          <w:szCs w:val="22"/>
        </w:rPr>
      </w:pPr>
      <w:r>
        <w:rPr>
          <w:rFonts w:cs="Times New Roman" w:ascii="Times New Roman" w:hAnsi="Times New Roman"/>
          <w:sz w:val="22"/>
          <w:szCs w:val="22"/>
        </w:rPr>
      </w:r>
      <w:r>
        <w:br w:type="page"/>
      </w:r>
    </w:p>
    <w:p>
      <w:pPr>
        <w:pStyle w:val="Heading1"/>
        <w:ind w:hanging="0" w:start="0"/>
        <w:rPr>
          <w:rFonts w:ascii="Times New Roman" w:hAnsi="Times New Roman" w:cs="Times New Roman"/>
          <w:sz w:val="22"/>
          <w:szCs w:val="22"/>
        </w:rPr>
      </w:pPr>
      <w:bookmarkStart w:id="30" w:name="__RefHeading___Toc113280973"/>
      <w:bookmarkEnd w:id="30"/>
      <w:r>
        <w:rPr>
          <w:rFonts w:cs="Times New Roman" w:ascii="Times New Roman" w:hAnsi="Times New Roman"/>
          <w:sz w:val="22"/>
          <w:szCs w:val="22"/>
        </w:rPr>
        <w:t xml:space="preserve">Appendix 6 </w:t>
        <w:tab/>
        <w:t>Alternate Host Site Details</w:t>
      </w:r>
    </w:p>
    <w:p>
      <w:pPr>
        <w:pStyle w:val="Para"/>
        <w:ind w:start="0" w:end="0"/>
        <w:rPr>
          <w:rFonts w:ascii="Times New Roman" w:hAnsi="Times New Roman" w:cs="Times New Roman"/>
          <w:sz w:val="22"/>
          <w:szCs w:val="22"/>
        </w:rPr>
      </w:pPr>
      <w:r>
        <w:rPr>
          <w:rFonts w:cs="Times New Roman" w:ascii="Times New Roman" w:hAnsi="Times New Roman"/>
          <w:sz w:val="22"/>
          <w:szCs w:val="22"/>
        </w:rPr>
        <w:t>The alternate host sites for this plan are :</w:t>
      </w:r>
    </w:p>
    <w:p>
      <w:pPr>
        <w:pStyle w:val="bodytextbullet"/>
        <w:numPr>
          <w:ilvl w:val="0"/>
          <w:numId w:val="0"/>
        </w:numPr>
        <w:ind w:hanging="0" w:start="0"/>
        <w:rPr>
          <w:rFonts w:ascii="Times New Roman" w:hAnsi="Times New Roman" w:cs="Times New Roman"/>
          <w:b/>
          <w:bCs/>
          <w:sz w:val="22"/>
          <w:szCs w:val="22"/>
        </w:rPr>
      </w:pPr>
      <w:r>
        <w:rPr>
          <w:rFonts w:cs="Times New Roman" w:ascii="Times New Roman" w:hAnsi="Times New Roman"/>
          <w:b/>
          <w:bCs/>
          <w:sz w:val="22"/>
          <w:szCs w:val="22"/>
        </w:rPr>
        <w:t xml:space="preserve">Site 1 </w:t>
      </w:r>
    </w:p>
    <w:p>
      <w:pPr>
        <w:pStyle w:val="bodytextbullet"/>
        <w:numPr>
          <w:ilvl w:val="0"/>
          <w:numId w:val="0"/>
        </w:numPr>
        <w:ind w:hanging="0" w:start="0"/>
        <w:rPr>
          <w:rFonts w:ascii="Times New Roman" w:hAnsi="Times New Roman" w:cs="Times New Roman"/>
          <w:sz w:val="22"/>
          <w:szCs w:val="22"/>
        </w:rPr>
      </w:pPr>
      <w:r>
        <w:rPr>
          <w:rFonts w:cs="Times New Roman" w:ascii="Times New Roman" w:hAnsi="Times New Roman"/>
          <w:sz w:val="22"/>
          <w:szCs w:val="22"/>
        </w:rPr>
        <w:t>Staff will be redirected to a local hotel or business centre for voucher preparation &amp; batching.</w:t>
      </w:r>
    </w:p>
    <w:p>
      <w:pPr>
        <w:pStyle w:val="bodytextbullet"/>
        <w:numPr>
          <w:ilvl w:val="0"/>
          <w:numId w:val="0"/>
        </w:numPr>
        <w:ind w:hanging="0" w:start="0"/>
        <w:rPr>
          <w:rFonts w:ascii="Times New Roman" w:hAnsi="Times New Roman" w:cs="Times New Roman"/>
          <w:sz w:val="22"/>
          <w:szCs w:val="22"/>
        </w:rPr>
      </w:pPr>
      <w:r>
        <w:rPr>
          <w:rFonts w:cs="Times New Roman" w:ascii="Times New Roman" w:hAnsi="Times New Roman"/>
          <w:sz w:val="22"/>
          <w:szCs w:val="22"/>
        </w:rPr>
        <w:t>The vouchers being delivered in the mornings will also be redirected to the same location.</w:t>
      </w:r>
    </w:p>
    <w:p>
      <w:pPr>
        <w:pStyle w:val="bodytextbullet"/>
        <w:numPr>
          <w:ilvl w:val="0"/>
          <w:numId w:val="0"/>
        </w:numPr>
        <w:ind w:hanging="0" w:start="0"/>
        <w:rPr>
          <w:rFonts w:ascii="Times New Roman" w:hAnsi="Times New Roman" w:cs="Times New Roman"/>
          <w:sz w:val="22"/>
          <w:szCs w:val="22"/>
        </w:rPr>
      </w:pPr>
      <w:r>
        <w:rPr>
          <w:rFonts w:cs="Times New Roman" w:ascii="Times New Roman" w:hAnsi="Times New Roman"/>
          <w:sz w:val="22"/>
          <w:szCs w:val="22"/>
        </w:rPr>
        <w:t>The location of the alternate site will be notified to relocating staff by their manager.</w:t>
      </w:r>
    </w:p>
    <w:p>
      <w:pPr>
        <w:pStyle w:val="bodytextbullet"/>
        <w:numPr>
          <w:ilvl w:val="0"/>
          <w:numId w:val="0"/>
        </w:numPr>
        <w:ind w:hanging="0" w:start="0"/>
        <w:rPr>
          <w:rFonts w:ascii="Times New Roman" w:hAnsi="Times New Roman" w:cs="Times New Roman"/>
          <w:sz w:val="22"/>
          <w:szCs w:val="22"/>
        </w:rPr>
      </w:pPr>
      <w:r>
        <w:rPr>
          <w:rFonts w:cs="Times New Roman" w:ascii="Times New Roman" w:hAnsi="Times New Roman"/>
          <w:sz w:val="22"/>
          <w:szCs w:val="22"/>
        </w:rPr>
      </w:r>
    </w:p>
    <w:p>
      <w:pPr>
        <w:pStyle w:val="bodytextbullet"/>
        <w:numPr>
          <w:ilvl w:val="0"/>
          <w:numId w:val="0"/>
        </w:numPr>
        <w:ind w:hanging="0" w:start="0"/>
        <w:rPr>
          <w:rFonts w:ascii="Times New Roman" w:hAnsi="Times New Roman" w:cs="Times New Roman"/>
          <w:sz w:val="22"/>
          <w:szCs w:val="22"/>
        </w:rPr>
      </w:pPr>
      <w:r>
        <w:rPr>
          <w:rFonts w:cs="Times New Roman" w:ascii="Times New Roman" w:hAnsi="Times New Roman"/>
          <w:sz w:val="22"/>
          <w:szCs w:val="22"/>
        </w:rPr>
      </w:r>
    </w:p>
    <w:p>
      <w:pPr>
        <w:pStyle w:val="bodytextbullet"/>
        <w:numPr>
          <w:ilvl w:val="0"/>
          <w:numId w:val="0"/>
        </w:numPr>
        <w:ind w:hanging="0" w:start="0"/>
        <w:rPr>
          <w:rFonts w:ascii="Times New Roman" w:hAnsi="Times New Roman" w:cs="Times New Roman"/>
          <w:b/>
          <w:bCs/>
          <w:sz w:val="22"/>
          <w:szCs w:val="22"/>
        </w:rPr>
      </w:pPr>
      <w:r>
        <w:rPr>
          <w:rFonts w:cs="Times New Roman" w:ascii="Times New Roman" w:hAnsi="Times New Roman"/>
          <w:b/>
          <w:bCs/>
          <w:sz w:val="22"/>
          <w:szCs w:val="22"/>
        </w:rPr>
        <w:t>Site 2</w:t>
      </w:r>
    </w:p>
    <w:p>
      <w:pPr>
        <w:pStyle w:val="bodytextbullet"/>
        <w:numPr>
          <w:ilvl w:val="0"/>
          <w:numId w:val="0"/>
        </w:numPr>
        <w:ind w:hanging="0" w:start="0"/>
        <w:rPr>
          <w:rFonts w:ascii="Times New Roman" w:hAnsi="Times New Roman" w:cs="Times New Roman"/>
          <w:sz w:val="22"/>
          <w:szCs w:val="22"/>
        </w:rPr>
      </w:pPr>
      <w:r>
        <w:rPr>
          <w:rFonts w:cs="Times New Roman" w:ascii="Times New Roman" w:hAnsi="Times New Roman"/>
          <w:sz w:val="22"/>
          <w:szCs w:val="22"/>
        </w:rPr>
        <w:t>Neptune’s Site 2 will be used for scanning, verification, adjustment and transmission of vouchers.</w:t>
      </w:r>
    </w:p>
    <w:p>
      <w:pPr>
        <w:pStyle w:val="bodytextbullet"/>
        <w:numPr>
          <w:ilvl w:val="0"/>
          <w:numId w:val="0"/>
        </w:numPr>
        <w:ind w:hanging="0" w:start="0"/>
        <w:rPr>
          <w:rFonts w:ascii="Times New Roman" w:hAnsi="Times New Roman" w:cs="Times New Roman"/>
          <w:sz w:val="22"/>
          <w:szCs w:val="22"/>
        </w:rPr>
      </w:pPr>
      <w:r>
        <w:rPr>
          <w:rFonts w:cs="Times New Roman" w:ascii="Times New Roman" w:hAnsi="Times New Roman"/>
          <w:sz w:val="22"/>
          <w:szCs w:val="22"/>
        </w:rPr>
        <w:t>Address:</w:t>
      </w:r>
    </w:p>
    <w:p>
      <w:pPr>
        <w:pStyle w:val="bodytextbullet"/>
        <w:numPr>
          <w:ilvl w:val="0"/>
          <w:numId w:val="0"/>
        </w:numPr>
        <w:ind w:hanging="0" w:start="1134" w:end="0"/>
        <w:rPr>
          <w:rFonts w:ascii="Times New Roman" w:hAnsi="Times New Roman" w:cs="Times New Roman"/>
          <w:sz w:val="22"/>
          <w:szCs w:val="22"/>
        </w:rPr>
      </w:pPr>
      <w:r>
        <w:rPr>
          <w:rFonts w:cs="Times New Roman" w:ascii="Times New Roman" w:hAnsi="Times New Roman"/>
          <w:sz w:val="22"/>
          <w:szCs w:val="22"/>
        </w:rPr>
        <w:t>Xxxxxxxxxx</w:t>
      </w:r>
    </w:p>
    <w:p>
      <w:pPr>
        <w:pStyle w:val="bodytextbullet"/>
        <w:numPr>
          <w:ilvl w:val="0"/>
          <w:numId w:val="0"/>
        </w:numPr>
        <w:ind w:hanging="0" w:start="1134" w:end="0"/>
        <w:rPr>
          <w:rFonts w:ascii="Times New Roman" w:hAnsi="Times New Roman" w:cs="Times New Roman"/>
          <w:sz w:val="22"/>
          <w:szCs w:val="22"/>
        </w:rPr>
      </w:pPr>
      <w:r>
        <w:rPr>
          <w:rFonts w:cs="Times New Roman" w:ascii="Times New Roman" w:hAnsi="Times New Roman"/>
          <w:sz w:val="22"/>
          <w:szCs w:val="22"/>
        </w:rPr>
        <w:t>Xxxxxxxxxx</w:t>
      </w:r>
    </w:p>
    <w:p>
      <w:pPr>
        <w:pStyle w:val="bodytextbullet"/>
        <w:numPr>
          <w:ilvl w:val="0"/>
          <w:numId w:val="0"/>
        </w:numPr>
        <w:ind w:hanging="0" w:start="1134" w:end="0"/>
        <w:rPr>
          <w:rFonts w:ascii="Times New Roman" w:hAnsi="Times New Roman" w:cs="Times New Roman"/>
          <w:sz w:val="22"/>
          <w:szCs w:val="22"/>
        </w:rPr>
      </w:pPr>
      <w:r>
        <w:rPr>
          <w:rFonts w:cs="Times New Roman" w:ascii="Times New Roman" w:hAnsi="Times New Roman"/>
          <w:sz w:val="22"/>
          <w:szCs w:val="22"/>
        </w:rPr>
        <w:t>xxxxxxxxxx</w:t>
      </w:r>
    </w:p>
    <w:p>
      <w:pPr>
        <w:pStyle w:val="Para"/>
        <w:ind w:start="0" w:end="0"/>
        <w:rPr>
          <w:rFonts w:ascii="Times New Roman" w:hAnsi="Times New Roman" w:cs="Times New Roman"/>
          <w:sz w:val="22"/>
          <w:szCs w:val="22"/>
        </w:rPr>
      </w:pPr>
      <w:r>
        <w:rPr>
          <w:rFonts w:cs="Times New Roman" w:ascii="Times New Roman" w:hAnsi="Times New Roman"/>
          <w:sz w:val="22"/>
          <w:szCs w:val="22"/>
        </w:rPr>
      </w:r>
    </w:p>
    <w:p>
      <w:pPr>
        <w:pStyle w:val="Para"/>
        <w:ind w:start="0" w:end="0"/>
        <w:rPr>
          <w:rFonts w:ascii="Times New Roman" w:hAnsi="Times New Roman" w:cs="Times New Roman"/>
          <w:sz w:val="22"/>
          <w:szCs w:val="22"/>
        </w:rPr>
      </w:pPr>
      <w:r>
        <w:rPr>
          <w:rFonts w:cs="Times New Roman" w:ascii="Times New Roman" w:hAnsi="Times New Roman"/>
          <w:sz w:val="22"/>
          <w:szCs w:val="22"/>
        </w:rPr>
        <w:t>Room:</w:t>
        <w:tab/>
        <w:t>Conference Room xxx</w:t>
      </w:r>
    </w:p>
    <w:p>
      <w:pPr>
        <w:pStyle w:val="Para"/>
        <w:ind w:start="0" w:end="0"/>
        <w:rPr>
          <w:rFonts w:ascii="Times New Roman" w:hAnsi="Times New Roman" w:cs="Times New Roman"/>
          <w:sz w:val="22"/>
          <w:szCs w:val="22"/>
        </w:rPr>
      </w:pPr>
      <w:r>
        <w:rPr>
          <w:rFonts w:cs="Times New Roman" w:ascii="Times New Roman" w:hAnsi="Times New Roman"/>
          <w:sz w:val="22"/>
          <w:szCs w:val="22"/>
        </w:rPr>
        <w:tab/>
        <w:tab/>
        <w:tab/>
        <w:t>Conference Room xxx</w:t>
      </w:r>
    </w:p>
    <w:p>
      <w:pPr>
        <w:pStyle w:val="Para"/>
        <w:ind w:start="0" w:end="0"/>
        <w:rPr>
          <w:rFonts w:ascii="Times New Roman" w:hAnsi="Times New Roman" w:cs="Times New Roman"/>
          <w:sz w:val="22"/>
          <w:szCs w:val="22"/>
        </w:rPr>
      </w:pPr>
      <w:r>
        <w:rPr>
          <w:rFonts w:cs="Times New Roman" w:ascii="Times New Roman" w:hAnsi="Times New Roman"/>
          <w:sz w:val="22"/>
          <w:szCs w:val="22"/>
        </w:rPr>
      </w:r>
    </w:p>
    <w:p>
      <w:pPr>
        <w:pStyle w:val="Para"/>
        <w:ind w:start="0" w:end="0"/>
        <w:rPr>
          <w:rFonts w:ascii="Times New Roman" w:hAnsi="Times New Roman" w:cs="Times New Roman"/>
          <w:sz w:val="22"/>
          <w:szCs w:val="22"/>
        </w:rPr>
      </w:pPr>
      <w:r>
        <w:rPr>
          <w:rFonts w:cs="Times New Roman" w:ascii="Times New Roman" w:hAnsi="Times New Roman"/>
          <w:sz w:val="22"/>
          <w:szCs w:val="22"/>
        </w:rPr>
        <w:t>The site Facilities Manager will be responsible for ensuring either of these rooms is made available in the event of an incident requiring relocation from Site 1.</w:t>
      </w:r>
    </w:p>
    <w:p>
      <w:pPr>
        <w:pStyle w:val="BodyText"/>
        <w:ind w:start="0" w:end="0"/>
        <w:rPr>
          <w:rFonts w:ascii="Times New Roman" w:hAnsi="Times New Roman" w:cs="Times New Roman"/>
          <w:sz w:val="22"/>
          <w:szCs w:val="22"/>
          <w:lang w:val="en-GB"/>
        </w:rPr>
      </w:pPr>
      <w:r>
        <w:rPr>
          <w:rFonts w:cs="Times New Roman"/>
          <w:sz w:val="22"/>
          <w:szCs w:val="22"/>
          <w:lang w:val="en-GB"/>
        </w:rPr>
      </w:r>
    </w:p>
    <w:p>
      <w:pPr>
        <w:pStyle w:val="Normal"/>
        <w:spacing w:before="0" w:after="0"/>
        <w:rPr>
          <w:szCs w:val="22"/>
          <w:lang w:val="en-GB"/>
        </w:rPr>
      </w:pPr>
      <w:r>
        <w:rPr>
          <w:szCs w:val="22"/>
          <w:lang w:val="en-GB"/>
        </w:rPr>
      </w:r>
    </w:p>
    <w:sectPr>
      <w:headerReference w:type="default" r:id="rId18"/>
      <w:headerReference w:type="first" r:id="rId19"/>
      <w:footerReference w:type="default" r:id="rId20"/>
      <w:footerReference w:type="first" r:id="rId21"/>
      <w:type w:val="nextPage"/>
      <w:pgSz w:w="11906" w:h="16838"/>
      <w:pgMar w:left="1729" w:right="1729" w:gutter="0" w:header="720" w:top="776" w:footer="720" w:bottom="1094"/>
      <w:pgNumType w:start="1" w:fmt="upperRoman"/>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Wingdings">
    <w:charset w:val="02"/>
    <w:family w:val="auto"/>
    <w:pitch w:val="variable"/>
  </w:font>
  <w:font w:name="Courier New">
    <w:charset w:val="00" w:characterSet="windows-1252"/>
    <w:family w:val="modern"/>
    <w:pitch w:val="default"/>
  </w:font>
  <w:font w:name="Helvetica Neue 55 Roman">
    <w:altName w:val="Times New Roman"/>
    <w:charset w:val="00" w:characterSet="windows-1252"/>
    <w:family w:val="swiss"/>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sz w:val="16"/>
        <w:szCs w:val="16"/>
      </w:rPr>
    </w:pPr>
    <w:r>
      <w:rPr>
        <w:sz w:val="16"/>
        <w:szCs w:val="16"/>
      </w:rPr>
      <w:t>Ops&amp;IT Banking Confidential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i</w:t>
    </w:r>
    <w:r>
      <w:rPr>
        <w:sz w:val="16"/>
        <w:szCs w:val="16"/>
      </w:rPr>
      <w:fldChar w:fldCharType="end"/>
    </w:r>
    <w:r>
      <w:rPr>
        <w:sz w:val="16"/>
        <w:szCs w:val="16"/>
      </w:rPr>
      <w:t xml:space="preserve"> -</w:t>
      <w:tab/>
      <w:t>30/11/2006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sz w:val="16"/>
        <w:szCs w:val="16"/>
      </w:rPr>
    </w:pPr>
    <w:r>
      <w:rPr>
        <w:sz w:val="16"/>
        <w:szCs w:val="16"/>
      </w:rPr>
    </w:r>
  </w:p>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6</w:t>
    </w:r>
    <w:r>
      <w:rPr>
        <w:sz w:val="16"/>
        <w:szCs w:val="16"/>
      </w:rPr>
      <w:fldChar w:fldCharType="end"/>
    </w:r>
    <w:r>
      <w:rPr>
        <w:sz w:val="16"/>
        <w:szCs w:val="16"/>
      </w:rPr>
      <w:t xml:space="preserve"> -</w:t>
      <w:tab/>
      <w:t>30/11/2006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sz w:val="16"/>
        <w:szCs w:val="16"/>
      </w:rPr>
    </w:pPr>
    <w:r>
      <w:rPr>
        <w:sz w:val="16"/>
        <w:szCs w:val="16"/>
      </w:rPr>
    </w:r>
  </w:p>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II</w:t>
    </w:r>
    <w:r>
      <w:rPr>
        <w:sz w:val="16"/>
        <w:szCs w:val="16"/>
      </w:rPr>
      <w:fldChar w:fldCharType="end"/>
    </w:r>
    <w:r>
      <w:rPr>
        <w:sz w:val="16"/>
        <w:szCs w:val="16"/>
      </w:rPr>
      <w:t xml:space="preserve"> -</w:t>
      <w:tab/>
      <w:t>30/11/2006</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sz w:val="16"/>
        <w:szCs w:val="16"/>
      </w:rPr>
    </w:pPr>
    <w:r>
      <w:rPr>
        <w:sz w:val="16"/>
        <w:szCs w:val="16"/>
      </w:rPr>
    </w:r>
  </w:p>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XIII</w:t>
    </w:r>
    <w:r>
      <w:rPr>
        <w:sz w:val="16"/>
        <w:szCs w:val="16"/>
      </w:rPr>
      <w:fldChar w:fldCharType="end"/>
    </w:r>
    <w:r>
      <w:rPr>
        <w:sz w:val="16"/>
        <w:szCs w:val="16"/>
      </w:rPr>
      <w:t xml:space="preserve"> -</w:t>
      <w:tab/>
      <w:t>30/11/2006</w: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1"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15 (BCP &amp; DRP) Final v1.4.doc</w:t>
    </w:r>
    <w:r>
      <w:rPr>
        <w:sz w:val="16"/>
        <w:szCs w:val="16"/>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15 (BCP &amp; DRP) Final v1.4.doc</w:t>
    </w:r>
    <w:r>
      <w:rPr>
        <w:sz w:val="16"/>
        <w:szCs w:val="16"/>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5"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Copy 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15 (BCP &amp; DRP) Final v1.4.doc</w:t>
    </w:r>
    <w:r>
      <w:rPr>
        <w:sz w:val="16"/>
        <w:szCs w:val="16"/>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6" name="Image1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Copy 1 Copy 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15 (BCP &amp; DRP) Final v1.4.doc</w:t>
    </w:r>
    <w:r>
      <w:rPr>
        <w:sz w:val="16"/>
        <w:szCs w:val="16"/>
      </w:rPr>
      <w:fldChar w:fldCharType="end"/>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7" name="Image1 Copy 1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Copy 1 Copy 1 Copy 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15 (BCP &amp; DRP) Final v1.4.doc</w:t>
    </w:r>
    <w:r>
      <w:rPr>
        <w:sz w:val="16"/>
        <w:szCs w:val="16"/>
      </w:rPr>
      <w:fldChar w:fldCharType="end"/>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4"/>
        <w:i w:val="false"/>
        <w:b/>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Bold;Times New Roman" w:hAnsi="Times New Roman Bold;Times New Roman" w:cs="Times New Roman Bold;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3">
    <w:lvl w:ilvl="0">
      <w:start w:val="1"/>
      <w:numFmt w:val="bullet"/>
      <w:lvlText w:val=""/>
      <w:lvlJc w:val="start"/>
      <w:pPr>
        <w:tabs>
          <w:tab w:val="num" w:pos="3582"/>
        </w:tabs>
        <w:ind w:start="3582" w:hanging="567"/>
      </w:pPr>
      <w:rPr>
        <w:rFonts w:ascii="Symbol" w:hAnsi="Symbol" w:cs="Symbol" w:hint="default"/>
      </w:rPr>
    </w:lvl>
  </w:abstractNum>
  <w:abstractNum w:abstractNumId="4">
    <w:lvl w:ilvl="0">
      <w:start w:val="1"/>
      <w:numFmt w:val="bullet"/>
      <w:lvlText w:val=""/>
      <w:lvlJc w:val="start"/>
      <w:pPr>
        <w:tabs>
          <w:tab w:val="num" w:pos="2628"/>
        </w:tabs>
        <w:ind w:start="2628" w:hanging="360"/>
      </w:pPr>
      <w:rPr>
        <w:rFonts w:ascii="Symbol" w:hAnsi="Symbol" w:cs="Symbol" w:hint="default"/>
      </w:rPr>
    </w:lvl>
  </w:abstractNum>
  <w:abstractNum w:abstractNumId="5">
    <w:lvl w:ilvl="0">
      <w:start w:val="1"/>
      <w:numFmt w:val="bullet"/>
      <w:lvlText w:val=""/>
      <w:lvlJc w:val="start"/>
      <w:pPr>
        <w:tabs>
          <w:tab w:val="num" w:pos="1800"/>
        </w:tabs>
        <w:ind w:start="1800" w:hanging="360"/>
      </w:pPr>
      <w:rPr>
        <w:rFonts w:ascii="Symbol" w:hAnsi="Symbol" w:cs="Symbol" w:hint="default"/>
      </w:rPr>
    </w:lvl>
  </w:abstractNum>
  <w:abstractNum w:abstractNumId="6">
    <w:lvl w:ilvl="0">
      <w:start w:val="1"/>
      <w:numFmt w:val="decimal"/>
      <w:lvlText w:val="%1."/>
      <w:lvlJc w:val="start"/>
      <w:pPr>
        <w:tabs>
          <w:tab w:val="num" w:pos="2988"/>
        </w:tabs>
        <w:ind w:start="2988" w:hanging="360"/>
      </w:pPr>
    </w:lvl>
  </w:abstractNum>
  <w:abstractNum w:abstractNumId="7">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8">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9">
    <w:lvl w:ilvl="0">
      <w:start w:val="1"/>
      <w:numFmt w:val="decimal"/>
      <w:lvlText w:val="%1."/>
      <w:lvlJc w:val="start"/>
      <w:pPr>
        <w:tabs>
          <w:tab w:val="num" w:pos="2988"/>
        </w:tabs>
        <w:ind w:start="2988" w:hanging="360"/>
      </w:pPr>
    </w:lvl>
  </w:abstractNum>
  <w:abstractNum w:abstractNumId="10">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tabs>
        <w:tab w:val="clear" w:pos="720"/>
        <w:tab w:val="left" w:pos="360" w:leader="none"/>
      </w:tabs>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5">
    <w:name w:val="heading 5"/>
    <w:basedOn w:val="Normal"/>
    <w:next w:val="Normal"/>
    <w:qFormat/>
    <w:pPr>
      <w:numPr>
        <w:ilvl w:val="4"/>
        <w:numId w:val="1"/>
      </w:numPr>
      <w:tabs>
        <w:tab w:val="clear" w:pos="720"/>
        <w:tab w:val="left" w:pos="360" w:leader="none"/>
      </w:tabs>
      <w:spacing w:before="240" w:after="60"/>
      <w:outlineLvl w:val="4"/>
    </w:pPr>
    <w:rPr>
      <w:b/>
      <w:bCs/>
      <w:i/>
      <w:iCs/>
      <w:sz w:val="26"/>
      <w:szCs w:val="26"/>
    </w:rPr>
  </w:style>
  <w:style w:type="paragraph" w:styleId="Heading6">
    <w:name w:val="heading 6"/>
    <w:basedOn w:val="Normal"/>
    <w:next w:val="Normal"/>
    <w:qFormat/>
    <w:pPr>
      <w:numPr>
        <w:ilvl w:val="5"/>
        <w:numId w:val="1"/>
      </w:numPr>
      <w:tabs>
        <w:tab w:val="clear" w:pos="720"/>
        <w:tab w:val="left" w:pos="360" w:leader="none"/>
      </w:tabs>
      <w:spacing w:before="240" w:after="60"/>
      <w:outlineLvl w:val="5"/>
    </w:pPr>
    <w:rPr>
      <w:b/>
      <w:bCs/>
      <w:szCs w:val="22"/>
    </w:rPr>
  </w:style>
  <w:style w:type="paragraph" w:styleId="Heading7">
    <w:name w:val="heading 7"/>
    <w:basedOn w:val="Normal"/>
    <w:next w:val="Normal"/>
    <w:qFormat/>
    <w:pPr>
      <w:numPr>
        <w:ilvl w:val="6"/>
        <w:numId w:val="1"/>
      </w:numPr>
      <w:tabs>
        <w:tab w:val="clear" w:pos="720"/>
        <w:tab w:val="left" w:pos="360" w:leader="none"/>
      </w:tabs>
      <w:spacing w:before="240" w:after="60"/>
      <w:outlineLvl w:val="6"/>
    </w:pPr>
    <w:rPr>
      <w:sz w:val="24"/>
    </w:rPr>
  </w:style>
  <w:style w:type="paragraph" w:styleId="Heading8">
    <w:name w:val="heading 8"/>
    <w:basedOn w:val="Normal"/>
    <w:next w:val="Normal"/>
    <w:qFormat/>
    <w:pPr>
      <w:numPr>
        <w:ilvl w:val="7"/>
        <w:numId w:val="1"/>
      </w:numPr>
      <w:tabs>
        <w:tab w:val="clear" w:pos="720"/>
        <w:tab w:val="left" w:pos="360" w:leader="none"/>
      </w:tabs>
      <w:spacing w:before="240" w:after="60"/>
      <w:outlineLvl w:val="7"/>
    </w:pPr>
    <w:rPr>
      <w:i/>
      <w:iCs/>
      <w:sz w:val="24"/>
    </w:rPr>
  </w:style>
  <w:style w:type="paragraph" w:styleId="Heading9">
    <w:name w:val="heading 9"/>
    <w:basedOn w:val="Normal"/>
    <w:next w:val="Normal"/>
    <w:qFormat/>
    <w:pPr>
      <w:numPr>
        <w:ilvl w:val="8"/>
        <w:numId w:val="1"/>
      </w:numPr>
      <w:tabs>
        <w:tab w:val="clear" w:pos="720"/>
        <w:tab w:val="left" w:pos="360" w:leader="none"/>
      </w:tabs>
      <w:spacing w:before="240" w:after="60"/>
      <w:outlineLvl w:val="8"/>
    </w:pPr>
    <w:rPr>
      <w:rFonts w:ascii="Arial" w:hAnsi="Arial" w:cs="Arial"/>
      <w:szCs w:val="22"/>
    </w:rPr>
  </w:style>
  <w:style w:type="character" w:styleId="WW8Num1z0">
    <w:name w:val="WW8Num1z0"/>
    <w:qFormat/>
    <w:rPr>
      <w:rFonts w:ascii="Times New Roman Bold;Times New Roman" w:hAnsi="Times New Roman Bold;Times New Roman" w:cs="Times New Roman Bold;Times New Roman"/>
      <w:b/>
      <w:i w:val="false"/>
      <w:sz w:val="22"/>
      <w:szCs w:val="22"/>
    </w:rPr>
  </w:style>
  <w:style w:type="character" w:styleId="WW8Num1z2">
    <w:name w:val="WW8Num1z2"/>
    <w:qFormat/>
    <w:rPr>
      <w:rFonts w:ascii="Times New Roman" w:hAnsi="Times New Roman" w:cs="Times New Roman"/>
      <w:b/>
      <w:i w:val="false"/>
      <w:sz w:val="24"/>
    </w:rPr>
  </w:style>
  <w:style w:type="character" w:styleId="WW8Num1z3">
    <w:name w:val="WW8Num1z3"/>
    <w:qFormat/>
    <w:rPr>
      <w:rFonts w:ascii="Times New Roman Bold;Times New Roman" w:hAnsi="Times New Roman Bold;Times New Roman" w:cs="Times New Roman Bold;Times New Roman"/>
      <w:b/>
      <w:i w:val="false"/>
      <w:sz w:val="24"/>
    </w:rPr>
  </w:style>
  <w:style w:type="character" w:styleId="WW8Num1z4">
    <w:name w:val="WW8Num1z4"/>
    <w:qFormat/>
    <w:rPr>
      <w:rFonts w:ascii="Times New Roman" w:hAnsi="Times New Roman" w:cs="Times New Roman"/>
      <w:b w:val="false"/>
      <w:i w:val="false"/>
      <w:sz w:val="22"/>
    </w:rPr>
  </w:style>
  <w:style w:type="character" w:styleId="WW8Num1z8">
    <w:name w:val="WW8Num1z8"/>
    <w:qFormat/>
    <w:rPr/>
  </w:style>
  <w:style w:type="character" w:styleId="WW8Num2z0">
    <w:name w:val="WW8Num2z0"/>
    <w:qFormat/>
    <w:rPr>
      <w:rFonts w:ascii="Symbol" w:hAnsi="Symbol" w:cs="Symbol"/>
    </w:rPr>
  </w:style>
  <w:style w:type="character" w:styleId="WW8Num2z2">
    <w:name w:val="WW8Num2z2"/>
    <w:qFormat/>
    <w:rPr>
      <w:rFonts w:ascii="Wingdings" w:hAnsi="Wingdings" w:cs="Wingdings"/>
    </w:rPr>
  </w:style>
  <w:style w:type="character" w:styleId="WW8Num2z4">
    <w:name w:val="WW8Num2z4"/>
    <w:qFormat/>
    <w:rPr>
      <w:rFonts w:ascii="Courier New" w:hAnsi="Courier New" w:cs="Courier New"/>
    </w:rPr>
  </w:style>
  <w:style w:type="character" w:styleId="WW8Num3z0">
    <w:name w:val="WW8Num3z0"/>
    <w:qFormat/>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7z0">
    <w:name w:val="WW8Num7z0"/>
    <w:qFormat/>
    <w:rPr>
      <w:rFonts w:ascii="Times New Roman" w:hAnsi="Times New Roman" w:cs="Times New Roman"/>
      <w:b w:val="false"/>
      <w:i w:val="false"/>
      <w:color w:val="000000"/>
      <w:sz w:val="22"/>
    </w:rPr>
  </w:style>
  <w:style w:type="character" w:styleId="WW8Num7z1">
    <w:name w:val="WW8Num7z1"/>
    <w:qFormat/>
    <w:rPr>
      <w:rFonts w:ascii="Times New Roman" w:hAnsi="Times New Roman" w:cs="Times New Roman"/>
      <w:b w:val="false"/>
      <w:i w:val="false"/>
      <w:sz w:val="22"/>
    </w:rPr>
  </w:style>
  <w:style w:type="character" w:styleId="WW8Num7z4">
    <w:name w:val="WW8Num7z4"/>
    <w:qFormat/>
    <w:rPr/>
  </w:style>
  <w:style w:type="character" w:styleId="WW8Num8z0">
    <w:name w:val="WW8Num8z0"/>
    <w:qFormat/>
    <w:rPr>
      <w:rFonts w:ascii="Times New Roman" w:hAnsi="Times New Roman" w:cs="Times New Roman"/>
      <w:b w:val="false"/>
      <w:i w:val="false"/>
      <w:color w:val="000000"/>
      <w:sz w:val="22"/>
    </w:rPr>
  </w:style>
  <w:style w:type="character" w:styleId="WW8Num8z1">
    <w:name w:val="WW8Num8z1"/>
    <w:qFormat/>
    <w:rPr>
      <w:rFonts w:ascii="Times New Roman" w:hAnsi="Times New Roman" w:cs="Times New Roman"/>
      <w:b w:val="false"/>
      <w:i w:val="false"/>
      <w:sz w:val="22"/>
    </w:rPr>
  </w:style>
  <w:style w:type="character" w:styleId="WW8Num8z4">
    <w:name w:val="WW8Num8z4"/>
    <w:qFormat/>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CharChar">
    <w:name w:val=" Char Char"/>
    <w:basedOn w:val="DefaultParagraphFont"/>
    <w:qFormat/>
    <w:rPr>
      <w:rFonts w:ascii="Times New Roman Bold;Times New Roman" w:hAnsi="Times New Roman Bold;Times New Roman" w:cs="Arial"/>
      <w:b/>
      <w:iCs/>
      <w:kern w:val="2"/>
      <w:sz w:val="28"/>
      <w:szCs w:val="28"/>
      <w:lang w:val="en-US" w:bidi="ar-SA"/>
    </w:rPr>
  </w:style>
  <w:style w:type="character" w:styleId="CommentReference">
    <w:name w:val="Comment Reference"/>
    <w:basedOn w:val="DefaultParagraphFont"/>
    <w:qFormat/>
    <w:rPr>
      <w:sz w:val="16"/>
      <w:szCs w:val="16"/>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le">
    <w:name w:val="Title"/>
    <w:basedOn w:val="Normal"/>
    <w:next w:val="BodyText"/>
    <w:qFormat/>
    <w:pPr>
      <w:spacing w:before="240" w:after="240"/>
      <w:jc w:val="center"/>
      <w:outlineLvl w:val="0"/>
    </w:pPr>
    <w:rPr>
      <w:rFonts w:cs="Arial"/>
      <w:b/>
      <w:bCs/>
      <w:caps/>
      <w:kern w:val="2"/>
      <w:sz w:val="32"/>
      <w:szCs w:val="32"/>
    </w:rPr>
  </w:style>
  <w:style w:type="paragraph" w:styleId="TOC1">
    <w:name w:val="toc 1"/>
    <w:basedOn w:val="Normal"/>
    <w:next w:val="Normal"/>
    <w:pPr/>
    <w:rPr>
      <w:b/>
      <w:sz w:val="24"/>
    </w:rPr>
  </w:style>
  <w:style w:type="paragraph" w:styleId="TOC2">
    <w:name w:val="toc 2"/>
    <w:basedOn w:val="Normal"/>
    <w:next w:val="Normal"/>
    <w:pPr>
      <w:ind w:hanging="0" w:start="220" w:end="0"/>
    </w:pPr>
    <w:rPr>
      <w:b/>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Bullet1BodyText">
    <w:name w:val="Bullet 1 Body Text"/>
    <w:basedOn w:val="Normal"/>
    <w:qFormat/>
    <w:pPr>
      <w:numPr>
        <w:ilvl w:val="0"/>
        <w:numId w:val="5"/>
      </w:numPr>
      <w:spacing w:before="240" w:after="240"/>
    </w:pPr>
    <w:rPr/>
  </w:style>
  <w:style w:type="paragraph" w:styleId="TableLevel1Numbered">
    <w:name w:val="Table Level 1 Numbered"/>
    <w:basedOn w:val="Normal"/>
    <w:qFormat/>
    <w:pPr/>
    <w:rPr>
      <w:bCs/>
    </w:rPr>
  </w:style>
  <w:style w:type="paragraph" w:styleId="Bullet1Table">
    <w:name w:val="Bullet 1 Table"/>
    <w:basedOn w:val="Normal"/>
    <w:qFormat/>
    <w:pPr>
      <w:numPr>
        <w:ilvl w:val="0"/>
        <w:numId w:val="10"/>
      </w:numPr>
    </w:pPr>
    <w:rPr/>
  </w:style>
  <w:style w:type="paragraph" w:styleId="Heading1Numbered">
    <w:name w:val="Heading 1 Numbered"/>
    <w:basedOn w:val="Normal"/>
    <w:qFormat/>
    <w:pPr>
      <w:numPr>
        <w:ilvl w:val="0"/>
        <w:numId w:val="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8"/>
      </w:numPr>
    </w:pPr>
    <w:rPr>
      <w:bCs/>
    </w:rPr>
  </w:style>
  <w:style w:type="paragraph" w:styleId="TableLevel3Numbered">
    <w:name w:val="Table Level 3 Numbered"/>
    <w:basedOn w:val="Normal"/>
    <w:qFormat/>
    <w:pPr>
      <w:numPr>
        <w:ilvl w:val="0"/>
        <w:numId w:val="8"/>
      </w:numPr>
    </w:pPr>
    <w:rPr/>
  </w:style>
  <w:style w:type="paragraph" w:styleId="TableLevel4Numbered">
    <w:name w:val="Table Level 4 Numbered"/>
    <w:basedOn w:val="Normal"/>
    <w:qFormat/>
    <w:pPr>
      <w:numPr>
        <w:ilvl w:val="0"/>
        <w:numId w:val="8"/>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7"/>
      </w:numPr>
      <w:spacing w:before="240" w:after="240"/>
    </w:pPr>
    <w:rPr/>
  </w:style>
  <w:style w:type="paragraph" w:styleId="BodyLevel2Numbered">
    <w:name w:val="Body Level 2 Numbered"/>
    <w:basedOn w:val="Normal"/>
    <w:qFormat/>
    <w:pPr>
      <w:numPr>
        <w:ilvl w:val="0"/>
        <w:numId w:val="7"/>
      </w:numPr>
      <w:spacing w:before="240" w:after="240"/>
    </w:pPr>
    <w:rPr/>
  </w:style>
  <w:style w:type="paragraph" w:styleId="BodyLevel3Numbered">
    <w:name w:val="Body Level 3 Numbered"/>
    <w:basedOn w:val="Normal"/>
    <w:qFormat/>
    <w:pPr>
      <w:numPr>
        <w:ilvl w:val="0"/>
        <w:numId w:val="7"/>
      </w:numPr>
      <w:spacing w:before="240" w:after="240"/>
    </w:pPr>
    <w:rPr/>
  </w:style>
  <w:style w:type="paragraph" w:styleId="BodyLevel4Numbered">
    <w:name w:val="Body Level 4 Numbered"/>
    <w:basedOn w:val="Normal"/>
    <w:qFormat/>
    <w:pPr>
      <w:numPr>
        <w:ilvl w:val="0"/>
        <w:numId w:val="7"/>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Bullet1Level1">
    <w:name w:val="Bullet 1 Level 1"/>
    <w:basedOn w:val="Normal"/>
    <w:qFormat/>
    <w:pPr>
      <w:tabs>
        <w:tab w:val="clear" w:pos="720"/>
        <w:tab w:val="left" w:pos="1080" w:leader="none"/>
      </w:tabs>
      <w:ind w:hanging="360" w:start="1080" w:end="0"/>
    </w:pPr>
    <w:rPr/>
  </w:style>
  <w:style w:type="paragraph" w:styleId="Para">
    <w:name w:val="Para"/>
    <w:basedOn w:val="Normal"/>
    <w:qFormat/>
    <w:pPr>
      <w:ind w:hanging="0" w:start="2268" w:end="0"/>
    </w:pPr>
    <w:rPr>
      <w:rFonts w:ascii="Helvetica Neue 55 Roman;Times New Roman" w:hAnsi="Helvetica Neue 55 Roman;Times New Roman" w:cs="Helvetica Neue 55 Roman;Times New Roman"/>
      <w:sz w:val="20"/>
      <w:lang w:val="en-GB"/>
    </w:rPr>
  </w:style>
  <w:style w:type="paragraph" w:styleId="ParaBullet">
    <w:name w:val="Para Bullet"/>
    <w:basedOn w:val="Para"/>
    <w:qFormat/>
    <w:pPr>
      <w:numPr>
        <w:ilvl w:val="0"/>
        <w:numId w:val="3"/>
      </w:numPr>
      <w:tabs>
        <w:tab w:val="clear" w:pos="720"/>
      </w:tabs>
      <w:spacing w:before="60" w:after="60"/>
    </w:pPr>
    <w:rPr/>
  </w:style>
  <w:style w:type="paragraph" w:styleId="bodytextbullet">
    <w:name w:val="body text bullet"/>
    <w:basedOn w:val="BodyText"/>
    <w:qFormat/>
    <w:pPr>
      <w:numPr>
        <w:ilvl w:val="0"/>
        <w:numId w:val="4"/>
      </w:numPr>
      <w:spacing w:before="120" w:after="120"/>
    </w:pPr>
    <w:rPr>
      <w:rFonts w:ascii="Arial" w:hAnsi="Arial" w:cs="Arial"/>
      <w:sz w:val="20"/>
      <w:szCs w:val="20"/>
      <w:lang w:val="en-GB"/>
    </w:rPr>
  </w:style>
  <w:style w:type="paragraph" w:styleId="BalloonText">
    <w:name w:val="Balloon Text"/>
    <w:basedOn w:val="Normal"/>
    <w:qFormat/>
    <w:pPr/>
    <w:rPr>
      <w:rFonts w:ascii="Tahoma" w:hAnsi="Tahoma" w:cs="Tahoma"/>
      <w:sz w:val="16"/>
      <w:szCs w:val="16"/>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2.wmf"/><Relationship Id="rId9" Type="http://schemas.openxmlformats.org/officeDocument/2006/relationships/image" Target="media/image3.wmf"/><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header" Target="header6.xml"/><Relationship Id="rId15" Type="http://schemas.openxmlformats.org/officeDocument/2006/relationships/header" Target="header7.xml"/><Relationship Id="rId16" Type="http://schemas.openxmlformats.org/officeDocument/2006/relationships/footer" Target="footer6.xml"/><Relationship Id="rId17" Type="http://schemas.openxmlformats.org/officeDocument/2006/relationships/footer" Target="footer7.xml"/><Relationship Id="rId18" Type="http://schemas.openxmlformats.org/officeDocument/2006/relationships/header" Target="header8.xml"/><Relationship Id="rId19" Type="http://schemas.openxmlformats.org/officeDocument/2006/relationships/header" Target="header9.xml"/><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2006-11-30T19:43:00Z</dcterms:created>
  <dc:creator> </dc:creator>
  <dc:description/>
  <cp:keywords/>
  <dc:language>en-US</dc:language>
  <cp:lastModifiedBy>Stuart Johnson</cp:lastModifiedBy>
  <cp:lastPrinted>2005-07-04T16:19:00Z</cp:lastPrinted>
  <dcterms:modified xsi:type="dcterms:W3CDTF">2006-11-30T19:44:00Z</dcterms:modified>
  <cp:revision>4</cp:revision>
  <dc:subject/>
  <dc:title> </dc:title>
</cp:coreProperties>
</file>