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17</w:t>
      </w:r>
    </w:p>
    <w:p>
      <w:pPr>
        <w:pStyle w:val="Title"/>
        <w:rPr>
          <w:lang w:val="en-GB"/>
        </w:rPr>
      </w:pPr>
      <w:r>
        <w:rPr>
          <w:lang w:val="en-GB"/>
        </w:rPr>
      </w:r>
    </w:p>
    <w:p>
      <w:pPr>
        <w:pStyle w:val="Title"/>
        <w:rPr>
          <w:lang w:val="en-GB"/>
        </w:rPr>
      </w:pPr>
      <w:r>
        <w:rPr>
          <w:lang w:val="en-GB"/>
        </w:rPr>
        <w:t>EuroBank Policies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49733294">
            <w:r>
              <w:rPr>
                <w:rStyle w:val="IndexLink"/>
                <w:sz w:val="18"/>
                <w:szCs w:val="18"/>
                <w:lang w:val="en-US" w:eastAsia="en-US"/>
              </w:rPr>
              <w:t>1</w:t>
            </w:r>
          </w:hyperlink>
        </w:p>
        <w:p>
          <w:pPr>
            <w:pStyle w:val="TOC1"/>
            <w:tabs>
              <w:tab w:val="clear" w:pos="720"/>
              <w:tab w:val="left" w:pos="440" w:leader="none"/>
              <w:tab w:val="right" w:pos="8441" w:leader="dot"/>
            </w:tabs>
            <w:rPr>
              <w:sz w:val="18"/>
              <w:szCs w:val="18"/>
              <w:lang w:val="en-US" w:eastAsia="en-US"/>
            </w:rPr>
          </w:pPr>
          <w:r>
            <w:rPr>
              <w:b w:val="false"/>
              <w:bCs/>
              <w:sz w:val="18"/>
              <w:szCs w:val="18"/>
              <w:lang w:val="en-GB" w:eastAsia="en-US"/>
            </w:rPr>
            <w:t>2.</w:t>
          </w:r>
          <w:r>
            <w:rPr>
              <w:b w:val="false"/>
              <w:sz w:val="18"/>
              <w:szCs w:val="18"/>
              <w:lang w:val="en-US" w:eastAsia="en-US"/>
            </w:rPr>
            <w:tab/>
          </w:r>
          <w:r>
            <w:rPr>
              <w:b w:val="false"/>
              <w:bCs/>
              <w:sz w:val="18"/>
              <w:szCs w:val="18"/>
              <w:lang w:val="en-GB" w:eastAsia="en-US"/>
            </w:rPr>
            <w:t>COMPLIANCE, SAFETY AND SECURITY</w:t>
          </w:r>
          <w:r>
            <w:rPr>
              <w:b w:val="false"/>
              <w:sz w:val="18"/>
              <w:szCs w:val="18"/>
              <w:lang w:val="en-US" w:eastAsia="en-US"/>
            </w:rPr>
            <w:tab/>
          </w:r>
          <w:hyperlink w:anchor="__RefHeading___Toc149733295">
            <w:r>
              <w:rPr>
                <w:rStyle w:val="IndexLink"/>
                <w:b w:val="false"/>
                <w:sz w:val="18"/>
                <w:szCs w:val="18"/>
                <w:lang w:val="en-US" w:eastAsia="en-US"/>
              </w:rPr>
              <w:t>1</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sz w:val="22"/>
          <w:szCs w:val="22"/>
          <w:lang w:val="en-GB"/>
        </w:rPr>
      </w:pPr>
      <w:bookmarkStart w:id="0" w:name="__RefHeading___Toc149733294"/>
      <w:bookmarkEnd w:id="0"/>
      <w:r>
        <w:rPr>
          <w:rFonts w:cs="Times New Roman" w:ascii="Times New Roman" w:hAnsi="Times New Roman"/>
          <w:sz w:val="22"/>
          <w:szCs w:val="22"/>
          <w:lang w:val="en-GB"/>
        </w:rPr>
        <w:t>INTRODUCTION</w:t>
      </w:r>
    </w:p>
    <w:p>
      <w:pPr>
        <w:pStyle w:val="Normal"/>
        <w:spacing w:before="0" w:after="0"/>
        <w:jc w:val="both"/>
        <w:rPr/>
      </w:pPr>
      <w:r>
        <w:rPr>
          <w:szCs w:val="22"/>
          <w:lang w:val="en-GB"/>
        </w:rPr>
        <w:t>This Exhibit and the Attachments listed below set forth the Policies and additional safety and security requirements that the PST Supplier will follow, as of the Commencement Date unless otherwise specified or agreed to by the parties in writing, for all Services.</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b/>
          <w:szCs w:val="22"/>
          <w:lang w:val="en-GB"/>
        </w:rPr>
        <w:t>Attachment 17-A (</w:t>
      </w:r>
      <w:r>
        <w:rPr>
          <w:b/>
          <w:i/>
          <w:szCs w:val="22"/>
          <w:lang w:val="en-GB"/>
        </w:rPr>
        <w:t>Data Security</w:t>
      </w:r>
      <w:r>
        <w:rPr>
          <w:b/>
          <w:szCs w:val="22"/>
          <w:lang w:val="en-GB"/>
        </w:rPr>
        <w:t>)</w:t>
      </w:r>
      <w:r>
        <w:rPr>
          <w:szCs w:val="22"/>
          <w:lang w:val="en-GB"/>
        </w:rPr>
        <w:t xml:space="preserve"> provides current procedures associated with data security.</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b/>
          <w:szCs w:val="22"/>
          <w:lang w:val="en-GB"/>
        </w:rPr>
        <w:t>Attachment 17-B (</w:t>
      </w:r>
      <w:r>
        <w:rPr>
          <w:b/>
          <w:i/>
          <w:szCs w:val="22"/>
          <w:lang w:val="en-GB"/>
        </w:rPr>
        <w:t>Physical and Personnel Security</w:t>
      </w:r>
      <w:r>
        <w:rPr>
          <w:b/>
          <w:szCs w:val="22"/>
          <w:lang w:val="en-GB"/>
        </w:rPr>
        <w:t>)</w:t>
      </w:r>
      <w:r>
        <w:rPr>
          <w:szCs w:val="22"/>
          <w:lang w:val="en-GB"/>
        </w:rPr>
        <w:t xml:space="preserve"> provides current procedures associated with physical security personnel and personal security.</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b/>
          <w:szCs w:val="22"/>
          <w:lang w:val="en-GB"/>
        </w:rPr>
        <w:t>Attachment 17-C (</w:t>
      </w:r>
      <w:r>
        <w:rPr>
          <w:b/>
          <w:i/>
          <w:szCs w:val="22"/>
          <w:lang w:val="en-GB"/>
        </w:rPr>
        <w:t>Compliance</w:t>
      </w:r>
      <w:r>
        <w:rPr>
          <w:b/>
          <w:szCs w:val="22"/>
          <w:lang w:val="en-GB"/>
        </w:rPr>
        <w:t>)</w:t>
      </w:r>
      <w:r>
        <w:rPr>
          <w:szCs w:val="22"/>
          <w:lang w:val="en-GB"/>
        </w:rPr>
        <w:t xml:space="preserve"> provides current procedures associated with compliance to national and international standards and regulations.</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b/>
          <w:szCs w:val="22"/>
          <w:lang w:val="en-GB"/>
        </w:rPr>
        <w:t>Attachment 17-D (</w:t>
      </w:r>
      <w:r>
        <w:rPr>
          <w:b/>
          <w:i/>
          <w:szCs w:val="22"/>
          <w:lang w:val="en-GB"/>
        </w:rPr>
        <w:t>Policies</w:t>
      </w:r>
      <w:r>
        <w:rPr>
          <w:b/>
          <w:szCs w:val="22"/>
          <w:lang w:val="en-GB"/>
        </w:rPr>
        <w:t>)</w:t>
      </w:r>
      <w:r>
        <w:rPr>
          <w:szCs w:val="22"/>
          <w:lang w:val="en-GB"/>
        </w:rPr>
        <w:t xml:space="preserve"> provides a list of the current Policies (including those set out in Attachments A and B).  The parties acknowledge that in the event that the list of Policies in Attachment 17-D is amended, it shall prevail in the event of any conflict with the Policies set out in Attachments 17-A and 17-B.</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1" w:name="__RefHeading___Toc149733295"/>
      <w:bookmarkEnd w:id="1"/>
      <w:r>
        <w:rPr>
          <w:rFonts w:cs="Times New Roman" w:ascii="Times New Roman" w:hAnsi="Times New Roman"/>
          <w:bCs/>
          <w:sz w:val="22"/>
          <w:szCs w:val="22"/>
          <w:lang w:val="en-GB"/>
        </w:rPr>
        <w:t>COMPLIANCE, SAFETY AND SECURITY</w:t>
      </w:r>
    </w:p>
    <w:p>
      <w:pPr>
        <w:pStyle w:val="Normal"/>
        <w:spacing w:before="0" w:after="0"/>
        <w:jc w:val="both"/>
        <w:rPr>
          <w:i/>
          <w:i/>
          <w:szCs w:val="22"/>
          <w:lang w:val="en-GB"/>
        </w:rPr>
      </w:pPr>
      <w:r>
        <w:rPr>
          <w:i/>
          <w:szCs w:val="22"/>
          <w:lang w:val="en-GB"/>
        </w:rPr>
        <w:t>The following paragraph describes the process, personnel, and tools that the PST Supplier will use to meet the Safety and Security requirements contained in this Exhibit and related Attachments:</w:t>
      </w:r>
    </w:p>
    <w:p>
      <w:pPr>
        <w:pStyle w:val="Normal"/>
        <w:spacing w:before="0" w:after="0"/>
        <w:jc w:val="both"/>
        <w:rPr>
          <w:i/>
          <w:i/>
          <w:szCs w:val="22"/>
          <w:lang w:val="en-GB"/>
        </w:rPr>
      </w:pPr>
      <w:r>
        <w:rPr>
          <w:i/>
          <w:szCs w:val="22"/>
          <w:lang w:val="en-GB"/>
        </w:rPr>
      </w:r>
    </w:p>
    <w:p>
      <w:pPr>
        <w:pStyle w:val="Normal"/>
        <w:spacing w:before="0" w:after="0"/>
        <w:ind w:start="720" w:end="0"/>
        <w:jc w:val="both"/>
        <w:rPr>
          <w:szCs w:val="22"/>
          <w:lang w:val="en-GB"/>
        </w:rPr>
      </w:pPr>
      <w:r>
        <w:rPr>
          <w:szCs w:val="22"/>
          <w:lang w:val="en-GB"/>
        </w:rPr>
        <w:t>Containing a major contributor to the original establishment of BS7799 and having a Council Member in the ISF, PST fully endorses EuroBank's security requirements that are based on ISO17799 and on guidance on security controls from organizations like the ISF. Being subject to SOX regulations themselves and having experience with the implementation of ISO 17799, SOX, ROB and BASEL, PST will comply to relevant requirements.</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The following paragraph provides information from the PST Supplier regarding its views on "best practices" with respect to the above processes, including suggestions on changes (if any) that the PST believes should be made to the current processes. It is not assumed that EuroBank will accept the suggestions or modify its approach accordingly:</w:t>
      </w:r>
    </w:p>
    <w:p>
      <w:pPr>
        <w:pStyle w:val="Normal"/>
        <w:spacing w:before="0" w:after="0"/>
        <w:jc w:val="both"/>
        <w:rPr>
          <w:i/>
          <w:i/>
          <w:szCs w:val="22"/>
          <w:lang w:val="en-GB"/>
        </w:rPr>
      </w:pPr>
      <w:r>
        <w:rPr>
          <w:i/>
          <w:szCs w:val="22"/>
          <w:lang w:val="en-GB"/>
        </w:rPr>
      </w:r>
    </w:p>
    <w:p>
      <w:pPr>
        <w:pStyle w:val="Normal"/>
        <w:spacing w:before="0" w:after="0"/>
        <w:ind w:start="720" w:end="0"/>
        <w:jc w:val="both"/>
        <w:rPr>
          <w:szCs w:val="22"/>
          <w:lang w:val="en-GB"/>
        </w:rPr>
      </w:pPr>
      <w:r>
        <w:rPr>
          <w:szCs w:val="22"/>
          <w:lang w:val="en-GB"/>
        </w:rPr>
        <w:t>Both EuroBank and the PST's views are based on ISO17799. When translating the strategic/tactical requirements into operational implementation, management &amp; control, monitoring and reporting using the PST's best practises, the end-result will be compliant to EuroBank's requirements.</w:t>
      </w:r>
    </w:p>
    <w:p>
      <w:pPr>
        <w:pStyle w:val="Normal"/>
        <w:spacing w:before="0" w:after="0"/>
        <w:jc w:val="both"/>
        <w:rPr>
          <w:szCs w:val="22"/>
          <w:lang w:val="en-GB"/>
        </w:rPr>
      </w:pPr>
      <w:r>
        <w:rPr>
          <w:szCs w:val="22"/>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17 (Policies) Final v1.3.doc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17 (Policies) Final v1.3.doc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17 (Policies) Final v1.3.doc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5"/>
      </w:numPr>
      <w:spacing w:before="240" w:after="240"/>
    </w:pPr>
    <w:rPr/>
  </w:style>
  <w:style w:type="paragraph" w:styleId="BodyLevel2Numbered">
    <w:name w:val="Body Level 2 Numbered"/>
    <w:basedOn w:val="Normal"/>
    <w:qFormat/>
    <w:pPr>
      <w:numPr>
        <w:ilvl w:val="0"/>
        <w:numId w:val="5"/>
      </w:numPr>
      <w:spacing w:before="240" w:after="240"/>
    </w:pPr>
    <w:rPr/>
  </w:style>
  <w:style w:type="paragraph" w:styleId="BodyLevel3Numbered">
    <w:name w:val="Body Level 3 Numbered"/>
    <w:basedOn w:val="Normal"/>
    <w:qFormat/>
    <w:pPr>
      <w:numPr>
        <w:ilvl w:val="0"/>
        <w:numId w:val="5"/>
      </w:numPr>
      <w:spacing w:before="240" w:after="240"/>
    </w:pPr>
    <w:rPr/>
  </w:style>
  <w:style w:type="paragraph" w:styleId="BodyLevel4Numbered">
    <w:name w:val="Body Level 4 Numbered"/>
    <w:basedOn w:val="Normal"/>
    <w:qFormat/>
    <w:pPr>
      <w:numPr>
        <w:ilvl w:val="0"/>
        <w:numId w:val="5"/>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2006-11-30T19:45:00Z</dcterms:created>
  <dc:creator> </dc:creator>
  <dc:description/>
  <cp:keywords/>
  <dc:language>en-US</dc:language>
  <cp:lastModifiedBy>Stuart Johnson</cp:lastModifiedBy>
  <cp:lastPrinted>2006-11-03T14:20:00Z</cp:lastPrinted>
  <dcterms:modified xsi:type="dcterms:W3CDTF">2006-11-30T19:46:00Z</dcterms:modified>
  <cp:revision>4</cp:revision>
  <dc:subject/>
  <dc:title> </dc:title>
</cp:coreProperties>
</file>