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240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  <w:t>EuroBank</w:t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  <w:t>exhibit 18</w:t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  <w:t>Network Services Demarcation</w:t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729" w:right="1729" w:gutter="0" w:header="720" w:top="776" w:footer="720" w:bottom="1094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Title"/>
        <w:rPr/>
      </w:pPr>
      <w:r>
        <w:rPr/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left" w:pos="440" w:leader="none"/>
              <w:tab w:val="right" w:pos="8441" w:leader="dot"/>
            </w:tabs>
            <w:rPr>
              <w:b w:val="false"/>
              <w:sz w:val="18"/>
              <w:szCs w:val="18"/>
              <w:lang w:val="en-US" w:eastAsia="en-US"/>
            </w:rPr>
          </w:pPr>
          <w:r>
            <w:fldChar w:fldCharType="begin"/>
          </w:r>
          <w:r>
            <w:rPr>
              <w:sz w:val="18"/>
              <w:szCs w:val="18"/>
              <w:lang w:val="en-GB" w:eastAsia="en-US"/>
            </w:rPr>
            <w:instrText xml:space="preserve"> TOC \t "Heading 1 Numbered,1,Heading 2 Numbered,2" </w:instrText>
          </w:r>
          <w:r>
            <w:rPr>
              <w:sz w:val="18"/>
              <w:szCs w:val="18"/>
              <w:lang w:val="en-GB" w:eastAsia="en-US"/>
            </w:rPr>
            <w:fldChar w:fldCharType="separate"/>
          </w:r>
          <w:r>
            <w:rPr>
              <w:sz w:val="18"/>
              <w:szCs w:val="18"/>
              <w:lang w:val="en-GB" w:eastAsia="en-US"/>
            </w:rPr>
            <w:t>1.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en-GB" w:eastAsia="en-US"/>
            </w:rPr>
            <w:t>NETWORK SERVICES DEMARCATION</w:t>
          </w:r>
          <w:r>
            <w:rPr>
              <w:sz w:val="18"/>
              <w:szCs w:val="18"/>
              <w:lang w:val="en-US" w:eastAsia="en-US"/>
            </w:rPr>
            <w:tab/>
          </w:r>
          <w:hyperlink w:anchor="__RefHeading___Toc152692757">
            <w:r>
              <w:rPr>
                <w:rStyle w:val="IndexLink"/>
                <w:sz w:val="18"/>
                <w:szCs w:val="18"/>
                <w:lang w:val="en-US" w:eastAsia="en-US"/>
              </w:rPr>
              <w:t>1</w:t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8441" w:leader="dot"/>
            </w:tabs>
            <w:rPr>
              <w:b w:val="false"/>
              <w:sz w:val="18"/>
              <w:szCs w:val="18"/>
              <w:lang w:val="en-US" w:eastAsia="en-US"/>
            </w:rPr>
          </w:pPr>
          <w:r>
            <w:rPr>
              <w:bCs/>
              <w:sz w:val="18"/>
              <w:szCs w:val="18"/>
              <w:lang w:val="en-GB" w:eastAsia="en-US"/>
            </w:rPr>
            <w:t>2.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r>
            <w:rPr>
              <w:bCs/>
              <w:sz w:val="18"/>
              <w:szCs w:val="18"/>
              <w:lang w:val="en-GB" w:eastAsia="en-US"/>
            </w:rPr>
            <w:t>CLARIFICATION OF SCOPE OF LAN SERVICES</w:t>
          </w:r>
          <w:r>
            <w:rPr>
              <w:sz w:val="18"/>
              <w:szCs w:val="18"/>
              <w:lang w:val="en-US" w:eastAsia="en-US"/>
            </w:rPr>
            <w:tab/>
          </w:r>
          <w:hyperlink w:anchor="__RefHeading___Toc152692758">
            <w:r>
              <w:rPr>
                <w:rStyle w:val="IndexLink"/>
                <w:sz w:val="18"/>
                <w:szCs w:val="18"/>
                <w:lang w:val="en-US" w:eastAsia="en-US"/>
              </w:rPr>
              <w:t>2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8441" w:leader="dot"/>
            </w:tabs>
            <w:rPr>
              <w:b w:val="false"/>
              <w:sz w:val="18"/>
              <w:szCs w:val="18"/>
              <w:lang w:val="en-US" w:eastAsia="en-US"/>
            </w:rPr>
          </w:pPr>
          <w:r>
            <w:rPr>
              <w:sz w:val="18"/>
              <w:szCs w:val="18"/>
              <w:lang w:val="en-GB" w:eastAsia="en-US"/>
            </w:rPr>
            <w:t>2.1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en-GB" w:eastAsia="en-US"/>
            </w:rPr>
            <w:t>Introduction</w:t>
          </w:r>
          <w:r>
            <w:rPr>
              <w:sz w:val="18"/>
              <w:szCs w:val="18"/>
              <w:lang w:val="en-US" w:eastAsia="en-US"/>
            </w:rPr>
            <w:tab/>
          </w:r>
          <w:hyperlink w:anchor="__RefHeading___Toc152692759">
            <w:r>
              <w:rPr>
                <w:rStyle w:val="IndexLink"/>
                <w:sz w:val="18"/>
                <w:szCs w:val="18"/>
                <w:lang w:val="en-US" w:eastAsia="en-US"/>
              </w:rPr>
              <w:t>2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8441" w:leader="dot"/>
            </w:tabs>
            <w:rPr>
              <w:b w:val="false"/>
              <w:sz w:val="18"/>
              <w:szCs w:val="18"/>
              <w:lang w:val="en-US" w:eastAsia="en-US"/>
            </w:rPr>
          </w:pPr>
          <w:r>
            <w:rPr>
              <w:bCs/>
              <w:sz w:val="18"/>
              <w:szCs w:val="18"/>
              <w:lang w:val="en-GB" w:eastAsia="en-US"/>
            </w:rPr>
            <w:t>2.2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r>
            <w:rPr>
              <w:bCs/>
              <w:sz w:val="18"/>
              <w:szCs w:val="18"/>
              <w:lang w:val="en-GB" w:eastAsia="en-US"/>
            </w:rPr>
            <w:t>Scope of LAN services for passive components</w:t>
          </w:r>
          <w:r>
            <w:rPr>
              <w:sz w:val="18"/>
              <w:szCs w:val="18"/>
              <w:lang w:val="en-US" w:eastAsia="en-US"/>
            </w:rPr>
            <w:tab/>
          </w:r>
          <w:hyperlink w:anchor="__RefHeading___Toc152692760">
            <w:r>
              <w:rPr>
                <w:rStyle w:val="IndexLink"/>
                <w:sz w:val="18"/>
                <w:szCs w:val="18"/>
                <w:lang w:val="en-US" w:eastAsia="en-US"/>
              </w:rPr>
              <w:t>2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8441" w:leader="dot"/>
            </w:tabs>
            <w:rPr>
              <w:sz w:val="18"/>
              <w:szCs w:val="18"/>
              <w:lang w:val="en-US" w:eastAsia="en-US"/>
            </w:rPr>
          </w:pPr>
          <w:r>
            <w:rPr>
              <w:b w:val="false"/>
              <w:bCs/>
              <w:sz w:val="18"/>
              <w:szCs w:val="18"/>
              <w:lang w:val="en-GB" w:eastAsia="en-US"/>
            </w:rPr>
            <w:t>2.3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r>
            <w:rPr>
              <w:b w:val="false"/>
              <w:bCs/>
              <w:sz w:val="18"/>
              <w:szCs w:val="18"/>
              <w:lang w:val="en-GB" w:eastAsia="en-US"/>
            </w:rPr>
            <w:t>Scope of LAN services for active components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hyperlink w:anchor="__RefHeading___Toc152692761">
            <w:r>
              <w:rPr>
                <w:rStyle w:val="IndexLink"/>
                <w:b w:val="false"/>
                <w:sz w:val="18"/>
                <w:szCs w:val="18"/>
                <w:lang w:val="en-US" w:eastAsia="en-US"/>
              </w:rPr>
              <w:t>3</w:t>
            </w:r>
          </w:hyperlink>
          <w:r>
            <w:rPr>
              <w:rStyle w:val="IndexLink"/>
              <w:sz w:val="18"/>
              <w:b w:val="false"/>
              <w:szCs w:val="18"/>
              <w:lang w:val="en-US" w:eastAsia="en-US"/>
            </w:rPr>
            <w:fldChar w:fldCharType="end"/>
          </w:r>
        </w:p>
      </w:sdtContent>
    </w:sdt>
    <w:p>
      <w:pPr>
        <w:pStyle w:val="Normal"/>
        <w:rPr>
          <w:b/>
          <w:caps/>
          <w:sz w:val="18"/>
          <w:szCs w:val="18"/>
          <w:lang w:val="en-GB" w:eastAsia="en-US"/>
        </w:rPr>
      </w:pPr>
      <w:r>
        <w:rPr>
          <w:b/>
          <w:caps/>
          <w:sz w:val="18"/>
          <w:szCs w:val="18"/>
          <w:lang w:val="en-GB" w:eastAsia="en-US"/>
        </w:rPr>
      </w:r>
    </w:p>
    <w:p>
      <w:pPr>
        <w:pStyle w:val="Normal"/>
        <w:rPr>
          <w:caps/>
          <w:sz w:val="18"/>
          <w:szCs w:val="18"/>
          <w:lang w:val="en-GB"/>
        </w:rPr>
      </w:pPr>
      <w:r>
        <w:rPr>
          <w:caps/>
          <w:sz w:val="18"/>
          <w:szCs w:val="18"/>
          <w:lang w:val="en-GB"/>
        </w:rPr>
      </w:r>
    </w:p>
    <w:p>
      <w:pPr>
        <w:sectPr>
          <w:headerReference w:type="default" r:id="rId4"/>
          <w:headerReference w:type="first" r:id="rId5"/>
          <w:footerReference w:type="default" r:id="rId6"/>
          <w:footerReference w:type="first" r:id="rId7"/>
          <w:type w:val="nextPage"/>
          <w:pgSz w:w="11906" w:h="16838"/>
          <w:pgMar w:left="1729" w:right="1729" w:gutter="0" w:header="720" w:top="776" w:footer="720" w:bottom="1094"/>
          <w:pgNumType w:start="1" w:fmt="lowerRoman"/>
          <w:formProt w:val="false"/>
          <w:textDirection w:val="lrTb"/>
          <w:docGrid w:type="default" w:linePitch="360" w:charSpace="0"/>
        </w:sectPr>
        <w:pStyle w:val="Normal"/>
        <w:rPr>
          <w:caps/>
          <w:sz w:val="18"/>
          <w:szCs w:val="18"/>
          <w:lang w:val="en-GB"/>
        </w:rPr>
      </w:pPr>
      <w:r>
        <w:rPr>
          <w:caps/>
          <w:sz w:val="18"/>
          <w:szCs w:val="18"/>
          <w:lang w:val="en-GB"/>
        </w:rPr>
      </w:r>
    </w:p>
    <w:p>
      <w:pPr>
        <w:pStyle w:val="Heading1Numbered"/>
        <w:numPr>
          <w:ilvl w:val="0"/>
          <w:numId w:val="2"/>
        </w:numPr>
        <w:ind w:hanging="0" w:start="0"/>
        <w:rPr>
          <w:sz w:val="22"/>
          <w:szCs w:val="22"/>
          <w:lang w:val="en-GB"/>
        </w:rPr>
      </w:pPr>
      <w:bookmarkStart w:id="0" w:name="__RefHeading___Toc152692757"/>
      <w:bookmarkEnd w:id="0"/>
      <w:r>
        <w:rPr>
          <w:sz w:val="22"/>
          <w:szCs w:val="22"/>
          <w:lang w:val="en-GB"/>
        </w:rPr>
        <w:t>NETWORK SERVICES DEMARCATION</w:t>
      </w:r>
    </w:p>
    <w:p>
      <w:pPr>
        <w:sectPr>
          <w:headerReference w:type="default" r:id="rId10"/>
          <w:headerReference w:type="first" r:id="rId11"/>
          <w:footerReference w:type="default" r:id="rId12"/>
          <w:footerReference w:type="first" r:id="rId13"/>
          <w:type w:val="nextPage"/>
          <w:pgSz w:orient="landscape" w:w="16838" w:h="11906"/>
          <w:pgMar w:left="720" w:right="1094" w:gutter="0" w:header="720" w:top="1729" w:footer="720" w:bottom="1729"/>
          <w:pgNumType w:start="1" w:fmt="decimal"/>
          <w:formProt w:val="false"/>
          <w:textDirection w:val="lrTb"/>
          <w:docGrid w:type="default" w:linePitch="360" w:charSpace="0"/>
        </w:sectPr>
        <w:pStyle w:val="Normal"/>
        <w:spacing w:before="0" w:after="0"/>
        <w:rPr>
          <w:lang w:val="en-GB"/>
        </w:rPr>
      </w:pPr>
      <w:r>
        <w:rPr>
          <w:lang w:val="en-GB"/>
        </w:rPr>
        <w:tab/>
      </w:r>
      <w:r>
        <w:rPr/>
        <w:object w:dxaOrig="12242" w:dyaOrig="7772">
          <v:shapetype id="_x0000_tole_rId8" coordsize="21600,21600" o:spt="ole_rId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612.15pt;height:388.65pt" filled="f" o:ole="">
            <v:imagedata r:id="rId9" o:title=""/>
          </v:shape>
          <o:OLEObject Type="Embed" ProgID="" ShapeID="ole_rId8" DrawAspect="Content" ObjectID="_1318071603" r:id="rId8"/>
        </w:object>
      </w:r>
    </w:p>
    <w:p>
      <w:pPr>
        <w:pStyle w:val="Heading1Numbered"/>
        <w:numPr>
          <w:ilvl w:val="0"/>
          <w:numId w:val="2"/>
        </w:numPr>
        <w:ind w:hanging="0" w:start="0"/>
        <w:rPr>
          <w:bCs/>
          <w:sz w:val="22"/>
          <w:lang w:val="en-GB"/>
        </w:rPr>
      </w:pPr>
      <w:bookmarkStart w:id="1" w:name="__RefHeading___Toc152692758"/>
      <w:bookmarkEnd w:id="1"/>
      <w:r>
        <w:rPr>
          <w:bCs/>
          <w:sz w:val="22"/>
          <w:lang w:val="en-GB"/>
        </w:rPr>
        <w:t>CLARIFICATION OF SCOPE OF LAN SERVICES</w:t>
      </w:r>
    </w:p>
    <w:p>
      <w:pPr>
        <w:pStyle w:val="Heading2Numbered"/>
        <w:numPr>
          <w:ilvl w:val="1"/>
          <w:numId w:val="2"/>
        </w:numPr>
        <w:ind w:hanging="0" w:start="0"/>
        <w:rPr>
          <w:sz w:val="22"/>
          <w:szCs w:val="22"/>
          <w:lang w:val="en-GB"/>
        </w:rPr>
      </w:pPr>
      <w:bookmarkStart w:id="2" w:name="__RefHeading___Toc152692759"/>
      <w:r>
        <w:rPr>
          <w:sz w:val="22"/>
          <w:szCs w:val="22"/>
          <w:lang w:val="en-GB"/>
        </w:rPr>
        <w:t>Introduction</w:t>
      </w:r>
      <w:bookmarkEnd w:id="2"/>
      <w:r>
        <w:rPr>
          <w:sz w:val="22"/>
          <w:szCs w:val="22"/>
          <w:lang w:val="en-GB"/>
        </w:rPr>
        <w:t xml:space="preserve"> </w:t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  <w:t>In general, the following components are needed for operating a LAN:</w:t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numPr>
          <w:ilvl w:val="0"/>
          <w:numId w:val="8"/>
        </w:numPr>
        <w:spacing w:before="0" w:after="0"/>
        <w:rPr>
          <w:lang w:val="en-GB"/>
        </w:rPr>
      </w:pPr>
      <w:r>
        <w:rPr>
          <w:lang w:val="en-GB"/>
        </w:rPr>
        <w:t>passive components ( cabling, path panels )</w:t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numPr>
          <w:ilvl w:val="0"/>
          <w:numId w:val="8"/>
        </w:numPr>
        <w:spacing w:before="0" w:after="0"/>
        <w:rPr>
          <w:lang w:val="en-GB"/>
        </w:rPr>
      </w:pPr>
      <w:r>
        <w:rPr>
          <w:lang w:val="en-GB"/>
        </w:rPr>
        <w:t>active components (switches/routers)</w:t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numPr>
          <w:ilvl w:val="0"/>
          <w:numId w:val="8"/>
        </w:numPr>
        <w:spacing w:before="0" w:after="0"/>
        <w:rPr>
          <w:lang w:val="en-GB"/>
        </w:rPr>
      </w:pPr>
      <w:r>
        <w:rPr>
          <w:lang w:val="en-GB"/>
        </w:rPr>
        <w:t>network protocol services ( DNS, DHCP, WINS) needed for IP address assignment and name resolution</w:t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Heading2Numbered"/>
        <w:numPr>
          <w:ilvl w:val="1"/>
          <w:numId w:val="2"/>
        </w:numPr>
        <w:ind w:hanging="0" w:start="0"/>
        <w:rPr>
          <w:bCs/>
          <w:sz w:val="22"/>
          <w:lang w:val="en-GB"/>
        </w:rPr>
      </w:pPr>
      <w:bookmarkStart w:id="3" w:name="__RefHeading___Toc152692760"/>
      <w:bookmarkEnd w:id="3"/>
      <w:r>
        <w:rPr>
          <w:bCs/>
          <w:sz w:val="22"/>
          <w:lang w:val="en-GB"/>
        </w:rPr>
        <w:t>Scope of LAN services for passive components</w:t>
      </w:r>
    </w:p>
    <w:p>
      <w:pPr>
        <w:pStyle w:val="Normal"/>
        <w:spacing w:before="0" w:after="0"/>
        <w:rPr/>
      </w:pPr>
      <w:r>
        <w:rPr>
          <w:lang w:val="en-GB"/>
        </w:rPr>
        <w:t>a)</w:t>
        <w:tab/>
        <w:t>The connectivity from an end-user to the LAN environments consists of :</w:t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numPr>
          <w:ilvl w:val="0"/>
          <w:numId w:val="5"/>
        </w:numPr>
        <w:spacing w:before="0" w:after="0"/>
        <w:rPr>
          <w:lang w:val="en-GB"/>
        </w:rPr>
      </w:pPr>
      <w:r>
        <w:rPr>
          <w:i/>
          <w:lang w:val="en-GB"/>
        </w:rPr>
        <w:t>in the office space</w:t>
      </w:r>
      <w:r>
        <w:rPr>
          <w:lang w:val="en-GB"/>
        </w:rPr>
        <w:t xml:space="preserve">: a patch cord A between the network card of the workstation/printer and the floor outlet </w:t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numPr>
          <w:ilvl w:val="0"/>
          <w:numId w:val="5"/>
        </w:numPr>
        <w:spacing w:before="0" w:after="0"/>
        <w:rPr>
          <w:lang w:val="en-GB"/>
        </w:rPr>
      </w:pPr>
      <w:r>
        <w:rPr>
          <w:i/>
          <w:lang w:val="en-GB"/>
        </w:rPr>
        <w:t>in the office space</w:t>
      </w:r>
      <w:r>
        <w:rPr>
          <w:lang w:val="en-GB"/>
        </w:rPr>
        <w:t>: a fixed cable run B between the floor outlet and the patch panel C in the nearest wiring closet</w:t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numPr>
          <w:ilvl w:val="0"/>
          <w:numId w:val="5"/>
        </w:numPr>
        <w:spacing w:before="0" w:after="0"/>
        <w:rPr>
          <w:lang w:val="en-GB"/>
        </w:rPr>
      </w:pPr>
      <w:r>
        <w:rPr>
          <w:i/>
          <w:lang w:val="en-GB"/>
        </w:rPr>
        <w:t>in the wiring closet</w:t>
      </w:r>
      <w:r>
        <w:rPr>
          <w:lang w:val="en-GB"/>
        </w:rPr>
        <w:t>: a patch panel C with a patch cord D to a switch S belonging to the access layer</w:t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numPr>
          <w:ilvl w:val="0"/>
          <w:numId w:val="5"/>
        </w:numPr>
        <w:spacing w:before="0" w:after="0"/>
        <w:rPr>
          <w:lang w:val="en-GB"/>
        </w:rPr>
      </w:pPr>
      <w:r>
        <w:rPr>
          <w:lang w:val="en-GB"/>
        </w:rPr>
        <w:t>patch panels, patch cords and inter-floor cable runs (copper or fibre) between the layers of switches</w:t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  <w:t>b)</w:t>
        <w:tab/>
        <w:t>In scope are the following items and related operational and engineering services:</w:t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numPr>
          <w:ilvl w:val="0"/>
          <w:numId w:val="6"/>
        </w:numPr>
        <w:spacing w:before="0" w:after="0"/>
        <w:rPr>
          <w:lang w:val="en-GB"/>
        </w:rPr>
      </w:pPr>
      <w:r>
        <w:rPr>
          <w:lang w:val="en-GB"/>
        </w:rPr>
        <w:t>the patch cord A</w:t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numPr>
          <w:ilvl w:val="0"/>
          <w:numId w:val="6"/>
        </w:numPr>
        <w:spacing w:before="0" w:after="0"/>
        <w:rPr>
          <w:lang w:val="en-GB"/>
        </w:rPr>
      </w:pPr>
      <w:r>
        <w:rPr>
          <w:lang w:val="en-GB"/>
        </w:rPr>
        <w:t>patch cord D up to the access layer switch S</w:t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numPr>
          <w:ilvl w:val="0"/>
          <w:numId w:val="6"/>
        </w:numPr>
        <w:spacing w:before="0" w:after="0"/>
        <w:rPr>
          <w:lang w:val="en-GB"/>
        </w:rPr>
      </w:pPr>
      <w:r>
        <w:rPr>
          <w:lang w:val="en-GB"/>
        </w:rPr>
        <w:t>registration of patch cords</w:t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numPr>
          <w:ilvl w:val="0"/>
          <w:numId w:val="6"/>
        </w:numPr>
        <w:spacing w:before="0" w:after="0"/>
        <w:rPr>
          <w:lang w:val="en-GB"/>
        </w:rPr>
      </w:pPr>
      <w:r>
        <w:rPr>
          <w:lang w:val="en-GB"/>
        </w:rPr>
        <w:t>cords (copper or fibre) between the layers of switches within the same room</w:t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numPr>
          <w:ilvl w:val="0"/>
          <w:numId w:val="6"/>
        </w:numPr>
        <w:spacing w:before="0" w:after="0"/>
        <w:rPr>
          <w:lang w:val="en-GB"/>
        </w:rPr>
      </w:pPr>
      <w:r>
        <w:rPr>
          <w:lang w:val="en-GB"/>
        </w:rPr>
        <w:t>registration of all cable runs &amp; patches between the layers of switches within the same room</w:t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numPr>
          <w:ilvl w:val="0"/>
          <w:numId w:val="6"/>
        </w:numPr>
        <w:spacing w:before="0" w:after="0"/>
        <w:rPr>
          <w:lang w:val="en-GB"/>
        </w:rPr>
      </w:pPr>
      <w:r>
        <w:rPr>
          <w:lang w:val="en-GB"/>
        </w:rPr>
        <w:t>registration of all patches related to links between layers of switches in separate rooms</w:t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numPr>
          <w:ilvl w:val="0"/>
          <w:numId w:val="6"/>
        </w:numPr>
        <w:spacing w:before="0" w:after="0"/>
        <w:rPr>
          <w:lang w:val="en-GB"/>
        </w:rPr>
      </w:pPr>
      <w:r>
        <w:rPr>
          <w:lang w:val="en-GB"/>
        </w:rPr>
        <w:t>coordination activities with the stakeholders that take care of the out scope items</w:t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ind w:start="720" w:end="0"/>
        <w:rPr>
          <w:lang w:val="en-GB"/>
        </w:rPr>
      </w:pPr>
      <w:r>
        <w:rPr>
          <w:lang w:val="en-GB"/>
        </w:rPr>
        <w:t>(“</w:t>
      </w:r>
      <w:r>
        <w:rPr>
          <w:b/>
          <w:i/>
          <w:lang w:val="en-GB"/>
        </w:rPr>
        <w:t>Registration</w:t>
      </w:r>
      <w:r>
        <w:rPr>
          <w:lang w:val="en-GB"/>
        </w:rPr>
        <w:t>” = keeping track of which patch panel positions are connected by a patch cord</w:t>
      </w:r>
    </w:p>
    <w:p>
      <w:pPr>
        <w:pStyle w:val="Normal"/>
        <w:spacing w:before="0" w:after="0"/>
        <w:ind w:start="720" w:end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/>
        <w:object w:dxaOrig="15664" w:dyaOrig="9995">
          <v:shapetype id="_x0000_tole_rId14" coordsize="21600,21600" o:spt="ole_rId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422.95pt;height:269.85pt" filled="f" o:ole="">
            <v:imagedata r:id="rId15" o:title=""/>
          </v:shape>
          <o:OLEObject Type="Embed" ProgID="" ShapeID="ole_rId14" DrawAspect="Content" ObjectID="_160820330" r:id="rId14"/>
        </w:object>
      </w:r>
    </w:p>
    <w:p>
      <w:pPr>
        <w:pStyle w:val="Heading2Numbered"/>
        <w:numPr>
          <w:ilvl w:val="1"/>
          <w:numId w:val="2"/>
        </w:numPr>
        <w:ind w:hanging="0" w:start="0"/>
        <w:rPr>
          <w:bCs/>
          <w:sz w:val="22"/>
          <w:lang w:val="en-GB"/>
        </w:rPr>
      </w:pPr>
      <w:bookmarkStart w:id="4" w:name="__RefHeading___Toc152692761"/>
      <w:bookmarkEnd w:id="4"/>
      <w:r>
        <w:rPr>
          <w:bCs/>
          <w:sz w:val="22"/>
          <w:lang w:val="en-GB"/>
        </w:rPr>
        <w:t>Scope of LAN services for active components</w:t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  <w:t>A LAN design based on best practices results in a layered approach:</w:t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numPr>
          <w:ilvl w:val="0"/>
          <w:numId w:val="4"/>
        </w:numPr>
        <w:spacing w:before="0" w:after="0"/>
        <w:rPr>
          <w:lang w:val="en-GB"/>
        </w:rPr>
      </w:pPr>
      <w:r>
        <w:rPr>
          <w:lang w:val="en-GB"/>
        </w:rPr>
        <w:t>an access layer to which the end-users are connected</w:t>
      </w:r>
    </w:p>
    <w:p>
      <w:pPr>
        <w:pStyle w:val="Normal"/>
        <w:numPr>
          <w:ilvl w:val="0"/>
          <w:numId w:val="4"/>
        </w:numPr>
        <w:spacing w:before="0" w:after="0"/>
        <w:rPr>
          <w:lang w:val="en-GB"/>
        </w:rPr>
      </w:pPr>
      <w:r>
        <w:rPr>
          <w:lang w:val="en-GB"/>
        </w:rPr>
        <w:t xml:space="preserve">a distribution layer (optional, depends on size of the site)  </w:t>
      </w:r>
    </w:p>
    <w:p>
      <w:pPr>
        <w:pStyle w:val="Normal"/>
        <w:spacing w:before="0" w:after="0"/>
        <w:ind w:hanging="720" w:start="1440" w:end="0"/>
        <w:rPr>
          <w:lang w:val="en-GB"/>
        </w:rPr>
      </w:pPr>
      <w:r>
        <w:rPr>
          <w:lang w:val="en-GB"/>
        </w:rPr>
        <w:t>o</w:t>
        <w:tab/>
        <w:t>which consolidates the access layer</w:t>
      </w:r>
    </w:p>
    <w:p>
      <w:pPr>
        <w:pStyle w:val="Normal"/>
        <w:spacing w:before="0" w:after="0"/>
        <w:ind w:hanging="720" w:start="1440" w:end="0"/>
        <w:rPr>
          <w:lang w:val="en-GB"/>
        </w:rPr>
      </w:pPr>
      <w:r>
        <w:rPr>
          <w:lang w:val="en-GB"/>
        </w:rPr>
        <w:t>o</w:t>
        <w:tab/>
        <w:t>to which non-user-equipment can be connected (server switches, external connection infrastructure)</w:t>
      </w:r>
    </w:p>
    <w:p>
      <w:pPr>
        <w:pStyle w:val="Normal"/>
        <w:spacing w:before="0" w:after="0"/>
        <w:ind w:hanging="720" w:start="1440" w:end="0"/>
        <w:rPr>
          <w:lang w:val="en-GB"/>
        </w:rPr>
      </w:pPr>
      <w:r>
        <w:rPr>
          <w:lang w:val="en-GB"/>
        </w:rPr>
        <w:t>o</w:t>
        <w:tab/>
        <w:t>which in absence of a core layer, assures connectivity to the trusted network outside the building</w:t>
      </w:r>
    </w:p>
    <w:p>
      <w:pPr>
        <w:pStyle w:val="Normal"/>
        <w:numPr>
          <w:ilvl w:val="0"/>
          <w:numId w:val="11"/>
        </w:numPr>
        <w:spacing w:before="0" w:after="0"/>
        <w:rPr>
          <w:lang w:val="en-GB"/>
        </w:rPr>
      </w:pPr>
      <w:r>
        <w:rPr>
          <w:lang w:val="en-GB"/>
        </w:rPr>
        <w:t xml:space="preserve">a core layer (optional, depends on size and demarcation technique of the site) </w:t>
      </w:r>
    </w:p>
    <w:p>
      <w:pPr>
        <w:pStyle w:val="Normal"/>
        <w:spacing w:before="0" w:after="0"/>
        <w:ind w:start="720" w:end="0"/>
        <w:rPr>
          <w:lang w:val="en-GB"/>
        </w:rPr>
      </w:pPr>
      <w:r>
        <w:rPr>
          <w:lang w:val="en-GB"/>
        </w:rPr>
        <w:t>o</w:t>
        <w:tab/>
        <w:t>assures connectivity to the trusted network outside the building</w:t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  <w:t>EuroBank has defined each of these layers and these have been combined and described in functional building blocks referred to as BLC cat 0…cat 4.</w:t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/>
      </w:pPr>
      <w:r>
        <w:rPr>
          <w:lang w:val="en-GB"/>
        </w:rPr>
        <w:t>For smaller offices (e.g. BLC0 and 1) the demarcation boundary is the access switch (access layer in scope). For larger offices (e.g. BLC 2, 3 and 4) the boundary is the distribution switch (access layer and distribution layer in scope).</w:t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  <w:t>The core layer within a BLC 4 building only has layer 3 functionality, it has only routed links towards the distribution layer and is not part of the VTP domain of the BLC3 building blocks.</w:t>
      </w:r>
    </w:p>
    <w:p>
      <w:pPr>
        <w:pStyle w:val="Heading2Numbered"/>
        <w:numPr>
          <w:ilvl w:val="0"/>
          <w:numId w:val="0"/>
        </w:numPr>
        <w:spacing w:before="240" w:after="240"/>
        <w:ind w:hanging="0" w:start="0"/>
        <w:rPr>
          <w:lang w:val="en-GB"/>
        </w:rPr>
      </w:pPr>
      <w:r>
        <w:rPr>
          <w:lang w:val="en-GB"/>
        </w:rPr>
      </w:r>
    </w:p>
    <w:sectPr>
      <w:headerReference w:type="default" r:id="rId16"/>
      <w:headerReference w:type="first" r:id="rId17"/>
      <w:footerReference w:type="default" r:id="rId18"/>
      <w:footerReference w:type="first" r:id="rId19"/>
      <w:type w:val="nextPage"/>
      <w:pgSz w:w="11906" w:h="16838"/>
      <w:pgMar w:left="1729" w:right="1729" w:gutter="0" w:header="720" w:top="776" w:footer="720" w:bottom="109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 Bold">
    <w:altName w:val="Times New Roman"/>
    <w:charset w:val="00" w:characterSet="windows-1252"/>
    <w:family w:val="roman"/>
    <w:pitch w:val="default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120"/>
      <w:rPr>
        <w:sz w:val="16"/>
        <w:szCs w:val="16"/>
      </w:rPr>
    </w:pPr>
    <w:r>
      <w:rPr>
        <w:sz w:val="16"/>
        <w:szCs w:val="16"/>
      </w:rPr>
      <w:t>Ops&amp;IT Banking Confidential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640"/>
        <w:tab w:val="left" w:pos="4320" w:leader="none"/>
        <w:tab w:val="left" w:pos="7560" w:leader="none"/>
      </w:tabs>
      <w:spacing w:before="120" w:after="120"/>
      <w:rPr/>
    </w:pPr>
    <w:r>
      <w:rPr>
        <w:sz w:val="16"/>
        <w:szCs w:val="16"/>
      </w:rPr>
      <w:t>Ops&amp;IT Banking Confidential</w:t>
      <w:tab/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i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  <w:tab/>
      <w:t>30/11/2006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640"/>
        <w:tab w:val="left" w:pos="4320" w:leader="none"/>
        <w:tab w:val="left" w:pos="6840" w:leader="none"/>
        <w:tab w:val="left" w:pos="13680" w:leader="none"/>
      </w:tabs>
      <w:spacing w:before="120" w:after="120"/>
      <w:rPr/>
    </w:pPr>
    <w:r>
      <w:rPr>
        <w:sz w:val="16"/>
        <w:szCs w:val="16"/>
      </w:rPr>
      <w:t>Ops&amp;IT Banking Confidential</w:t>
      <w:tab/>
      <w:tab/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  <w:tab/>
      <w:t>30/11/2006</w: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640"/>
        <w:tab w:val="left" w:pos="4320" w:leader="none"/>
        <w:tab w:val="left" w:pos="7380" w:leader="none"/>
        <w:tab w:val="left" w:pos="13680" w:leader="none"/>
      </w:tabs>
      <w:spacing w:before="120" w:after="120"/>
      <w:rPr/>
    </w:pPr>
    <w:r>
      <w:rPr>
        <w:sz w:val="16"/>
        <w:szCs w:val="16"/>
      </w:rPr>
      <w:t>Ops&amp;IT Banking Confidential</w:t>
      <w:tab/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4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  <w:tab/>
      <w:t>30/11/2006</w: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8640"/>
        <w:tab w:val="center" w:pos="4320" w:leader="none"/>
        <w:tab w:val="right" w:pos="8460" w:leader="none"/>
      </w:tabs>
      <w:spacing w:before="120" w:after="120"/>
      <w:rPr/>
    </w:pPr>
    <w:r>
      <w:rPr>
        <w:sz w:val="20"/>
      </w:rPr>
      <w:drawing>
        <wp:inline distT="0" distB="0" distL="0" distR="0">
          <wp:extent cx="965200" cy="284480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97" r="-28" b="-97"/>
                  <a:stretch>
                    <a:fillRect/>
                  </a:stretch>
                </pic:blipFill>
                <pic:spPr bwMode="auto">
                  <a:xfrm>
                    <a:off x="0" y="0"/>
                    <a:ext cx="965200" cy="284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sz w:val="20"/>
      </w:rPr>
      <w:tab/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Exhibit 18 (Network Services Demaraction) Final v1.7.doc</w:t>
    </w:r>
    <w:r>
      <w:rPr>
        <w:sz w:val="16"/>
        <w:szCs w:val="16"/>
      </w:rPr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8640"/>
        <w:tab w:val="center" w:pos="4320" w:leader="none"/>
        <w:tab w:val="right" w:pos="8460" w:leader="none"/>
      </w:tabs>
      <w:spacing w:before="120" w:after="120"/>
      <w:rPr/>
    </w:pPr>
    <w:r>
      <w:rPr>
        <w:sz w:val="20"/>
      </w:rPr>
      <w:drawing>
        <wp:inline distT="0" distB="0" distL="0" distR="0">
          <wp:extent cx="965200" cy="28448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97" r="-28" b="-97"/>
                  <a:stretch>
                    <a:fillRect/>
                  </a:stretch>
                </pic:blipFill>
                <pic:spPr bwMode="auto">
                  <a:xfrm>
                    <a:off x="0" y="0"/>
                    <a:ext cx="965200" cy="284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sz w:val="20"/>
      </w:rPr>
      <w:tab/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Exhibit 18 (Network Services Demaraction) Final v1.7.doc</w:t>
    </w:r>
    <w:r>
      <w:rPr>
        <w:sz w:val="16"/>
        <w:szCs w:val="16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8640"/>
        <w:tab w:val="center" w:pos="4320" w:leader="none"/>
        <w:tab w:val="right" w:pos="14760" w:leader="none"/>
      </w:tabs>
      <w:spacing w:before="120" w:after="120"/>
      <w:rPr/>
    </w:pPr>
    <w:r>
      <w:rPr>
        <w:sz w:val="20"/>
      </w:rPr>
      <w:drawing>
        <wp:inline distT="0" distB="0" distL="0" distR="0">
          <wp:extent cx="965200" cy="284480"/>
          <wp:effectExtent l="0" t="0" r="0" b="0"/>
          <wp:docPr id="3" name="Image3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97" r="-28" b="-97"/>
                  <a:stretch>
                    <a:fillRect/>
                  </a:stretch>
                </pic:blipFill>
                <pic:spPr bwMode="auto">
                  <a:xfrm>
                    <a:off x="0" y="0"/>
                    <a:ext cx="965200" cy="284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sz w:val="20"/>
      </w:rPr>
      <w:tab/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Exhibit 18 (Network Services Demaraction) Final v1.7.doc</w:t>
    </w:r>
    <w:r>
      <w:rPr>
        <w:sz w:val="16"/>
        <w:szCs w:val="16"/>
      </w:rPr>
      <w:fldChar w:fldCharType="end"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8640"/>
        <w:tab w:val="center" w:pos="4320" w:leader="none"/>
        <w:tab w:val="right" w:pos="8280" w:leader="none"/>
      </w:tabs>
      <w:spacing w:before="120" w:after="120"/>
      <w:rPr/>
    </w:pPr>
    <w:r>
      <w:rPr>
        <w:sz w:val="20"/>
      </w:rPr>
      <w:drawing>
        <wp:inline distT="0" distB="0" distL="0" distR="0">
          <wp:extent cx="965200" cy="284480"/>
          <wp:effectExtent l="0" t="0" r="0" b="0"/>
          <wp:docPr id="4" name="Image4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4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97" r="-28" b="-97"/>
                  <a:stretch>
                    <a:fillRect/>
                  </a:stretch>
                </pic:blipFill>
                <pic:spPr bwMode="auto">
                  <a:xfrm>
                    <a:off x="0" y="0"/>
                    <a:ext cx="965200" cy="284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sz w:val="20"/>
      </w:rPr>
      <w:tab/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Exhibit 18 (Network Services Demaraction) Final v1.7.doc</w:t>
    </w:r>
    <w:r>
      <w:rPr>
        <w:sz w:val="16"/>
        <w:szCs w:val="16"/>
      </w:rPr>
      <w:fldChar w:fldCharType="end"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>
        <w:sz w:val="22"/>
        <w:i w:val="false"/>
        <w:b/>
        <w:szCs w:val="22"/>
        <w:rFonts w:ascii="Times New Roman Bold;Times New Roman" w:hAnsi="Times New Roman Bold;Times New Roman" w:cs="Times New Roman Bold;Times New Roman"/>
      </w:rPr>
    </w:lvl>
    <w:lvl w:ilvl="1">
      <w:start w:val="1"/>
      <w:numFmt w:val="decimal"/>
      <w:lvlText w:val="%1.%2"/>
      <w:lvlJc w:val="start"/>
      <w:pPr>
        <w:tabs>
          <w:tab w:val="num" w:pos="720"/>
        </w:tabs>
        <w:ind w:start="720" w:hanging="720"/>
      </w:pPr>
      <w:rPr>
        <w:sz w:val="22"/>
        <w:i w:val="false"/>
        <w:b/>
        <w:szCs w:val="22"/>
        <w:rFonts w:ascii="Times New Roman Bold;Times New Roman" w:hAnsi="Times New Roman Bold;Times New Roman" w:cs="Times New Roman Bold;Times New Roman"/>
      </w:r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  <w:rPr>
        <w:sz w:val="24"/>
        <w:i w:val="false"/>
        <w:b/>
        <w:rFonts w:ascii="Times New Roman" w:hAnsi="Times New Roman" w:cs="Times New Roman"/>
      </w:rPr>
    </w:lvl>
    <w:lvl w:ilvl="3">
      <w:start w:val="1"/>
      <w:numFmt w:val="decimal"/>
      <w:lvlText w:val="%1.%2.%3.%4"/>
      <w:lvlJc w:val="start"/>
      <w:pPr>
        <w:tabs>
          <w:tab w:val="num" w:pos="720"/>
        </w:tabs>
        <w:ind w:start="720" w:hanging="720"/>
      </w:pPr>
      <w:rPr>
        <w:sz w:val="24"/>
        <w:i w:val="false"/>
        <w:b/>
        <w:rFonts w:ascii="Times New Roman Bold;Times New Roman" w:hAnsi="Times New Roman Bold;Times New Roman" w:cs="Times New Roman Bold;Times New Roman"/>
      </w:rPr>
    </w:lvl>
    <w:lvl w:ilvl="4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8">
      <w:start w:val="1"/>
      <w:numFmt w:val="none"/>
      <w:suff w:val="nothing"/>
      <w:lvlText w:val="%8"/>
      <w:lvlJc w:val="start"/>
      <w:pPr>
        <w:tabs>
          <w:tab w:val="num" w:pos="4320"/>
        </w:tabs>
        <w:ind w:start="4320" w:hanging="144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>
        <w:sz w:val="22"/>
        <w:i w:val="false"/>
        <w:b w:val="false"/>
        <w:rFonts w:ascii="Times New Roman" w:hAnsi="Times New Roman" w:cs="Times New Roman"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1728"/>
        </w:tabs>
        <w:ind w:start="1728" w:hanging="619"/>
      </w:pPr>
      <w:rPr>
        <w:sz w:val="22"/>
        <w:i w:val="false"/>
        <w:b w:val="false"/>
        <w:rFonts w:ascii="Times New Roman" w:hAnsi="Times New Roman" w:cs="Times New Roman"/>
      </w:rPr>
    </w:lvl>
    <w:lvl w:ilvl="2">
      <w:start w:val="1"/>
      <w:numFmt w:val="decimal"/>
      <w:lvlText w:val="%1.%2.%3."/>
      <w:lvlJc w:val="start"/>
      <w:pPr>
        <w:tabs>
          <w:tab w:val="num" w:pos="2016"/>
        </w:tabs>
        <w:ind w:start="2016" w:hanging="878"/>
      </w:pPr>
      <w:rPr>
        <w:sz w:val="22"/>
        <w:i w:val="false"/>
        <w:b w:val="false"/>
        <w:rFonts w:ascii="Times New Roman" w:hAnsi="Times New Roman" w:cs="Times New Roman"/>
      </w:rPr>
    </w:lvl>
    <w:lvl w:ilvl="3">
      <w:start w:val="1"/>
      <w:numFmt w:val="decimal"/>
      <w:lvlText w:val="%1.%2.%3.%4."/>
      <w:lvlJc w:val="start"/>
      <w:pPr>
        <w:tabs>
          <w:tab w:val="num" w:pos="2304"/>
        </w:tabs>
        <w:ind w:start="2304" w:hanging="1138"/>
      </w:pPr>
      <w:rPr>
        <w:sz w:val="22"/>
        <w:i w:val="false"/>
        <w:b w:val="false"/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2"/>
        <w:i w:val="false"/>
        <w:b w:val="false"/>
        <w:rFonts w:ascii="Times New Roman" w:hAnsi="Times New Roman" w:cs="Times New Roman"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1008"/>
        </w:tabs>
        <w:ind w:start="1008" w:hanging="619"/>
      </w:pPr>
      <w:rPr>
        <w:sz w:val="22"/>
        <w:i w:val="false"/>
        <w:b w:val="false"/>
        <w:rFonts w:ascii="Times New Roman" w:hAnsi="Times New Roman" w:cs="Times New Roman"/>
      </w:rPr>
    </w:lvl>
    <w:lvl w:ilvl="2">
      <w:start w:val="1"/>
      <w:numFmt w:val="decimal"/>
      <w:lvlText w:val="%1.%2.%3."/>
      <w:lvlJc w:val="start"/>
      <w:pPr>
        <w:tabs>
          <w:tab w:val="num" w:pos="1296"/>
        </w:tabs>
        <w:ind w:start="1296" w:hanging="878"/>
      </w:pPr>
      <w:rPr>
        <w:sz w:val="22"/>
        <w:i w:val="false"/>
        <w:b w:val="false"/>
        <w:rFonts w:ascii="Times New Roman" w:hAnsi="Times New Roman" w:cs="Times New Roman"/>
      </w:rPr>
    </w:lvl>
    <w:lvl w:ilvl="3">
      <w:start w:val="1"/>
      <w:numFmt w:val="decimal"/>
      <w:lvlText w:val="%1.%2.%3.%4."/>
      <w:lvlJc w:val="start"/>
      <w:pPr>
        <w:tabs>
          <w:tab w:val="num" w:pos="1440"/>
        </w:tabs>
        <w:ind w:start="1440" w:hanging="994"/>
      </w:pPr>
      <w:rPr>
        <w:sz w:val="22"/>
        <w:i w:val="false"/>
        <w:b w:val="false"/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120"/>
    </w:pPr>
    <w:rPr>
      <w:rFonts w:ascii="Times New Roman" w:hAnsi="Times New Roman" w:eastAsia="Times New Roman" w:cs="Times New Roman"/>
      <w:color w:val="auto"/>
      <w:sz w:val="22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tabs>
        <w:tab w:val="clear" w:pos="720"/>
        <w:tab w:val="left" w:pos="360" w:leader="none"/>
      </w:tabs>
      <w:spacing w:before="240" w:after="240"/>
      <w:outlineLvl w:val="0"/>
    </w:pPr>
    <w:rPr>
      <w:rFonts w:ascii="Times New Roman Bold;Times New Roman" w:hAnsi="Times New Roman Bold;Times New Roman" w:cs="Arial"/>
      <w:b/>
      <w:bCs/>
      <w:caps/>
      <w:kern w:val="2"/>
      <w:sz w:val="28"/>
      <w:szCs w:val="32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outlineLvl w:val="1"/>
    </w:pPr>
    <w:rPr>
      <w:bCs w:val="false"/>
      <w:iCs/>
      <w:caps w:val="false"/>
      <w:smallCaps w:val="false"/>
      <w:szCs w:val="28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>
      <w:bCs/>
      <w:sz w:val="24"/>
      <w:szCs w:val="26"/>
    </w:rPr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>
      <w:bCs w:val="false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tabs>
        <w:tab w:val="clear" w:pos="720"/>
        <w:tab w:val="left" w:pos="360" w:leader="none"/>
      </w:tabs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tabs>
        <w:tab w:val="clear" w:pos="720"/>
        <w:tab w:val="left" w:pos="360" w:leader="none"/>
      </w:tabs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tabs>
        <w:tab w:val="clear" w:pos="720"/>
        <w:tab w:val="left" w:pos="360" w:leader="none"/>
      </w:tabs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tabs>
        <w:tab w:val="clear" w:pos="720"/>
        <w:tab w:val="left" w:pos="360" w:leader="none"/>
      </w:tabs>
      <w:spacing w:before="240" w:after="60"/>
      <w:outlineLvl w:val="7"/>
    </w:pPr>
    <w:rPr>
      <w:i/>
      <w:iCs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tabs>
        <w:tab w:val="clear" w:pos="720"/>
        <w:tab w:val="left" w:pos="360" w:leader="none"/>
      </w:tabs>
      <w:spacing w:before="240" w:after="60"/>
      <w:outlineLvl w:val="8"/>
    </w:pPr>
    <w:rPr>
      <w:rFonts w:ascii="Arial" w:hAnsi="Arial" w:cs="Arial"/>
      <w:szCs w:val="22"/>
    </w:rPr>
  </w:style>
  <w:style w:type="character" w:styleId="WW8Num1z0">
    <w:name w:val="WW8Num1z0"/>
    <w:qFormat/>
    <w:rPr>
      <w:rFonts w:ascii="Times New Roman Bold;Times New Roman" w:hAnsi="Times New Roman Bold;Times New Roman" w:cs="Times New Roman Bold;Times New Roman"/>
      <w:b/>
      <w:i w:val="false"/>
      <w:sz w:val="22"/>
      <w:szCs w:val="22"/>
    </w:rPr>
  </w:style>
  <w:style w:type="character" w:styleId="WW8Num1z2">
    <w:name w:val="WW8Num1z2"/>
    <w:qFormat/>
    <w:rPr>
      <w:rFonts w:ascii="Times New Roman" w:hAnsi="Times New Roman" w:cs="Times New Roman"/>
      <w:b/>
      <w:i w:val="false"/>
      <w:sz w:val="24"/>
    </w:rPr>
  </w:style>
  <w:style w:type="character" w:styleId="WW8Num1z3">
    <w:name w:val="WW8Num1z3"/>
    <w:qFormat/>
    <w:rPr>
      <w:rFonts w:ascii="Times New Roman Bold;Times New Roman" w:hAnsi="Times New Roman Bold;Times New Roman" w:cs="Times New Roman Bold;Times New Roman"/>
      <w:b/>
      <w:i w:val="false"/>
      <w:sz w:val="24"/>
    </w:rPr>
  </w:style>
  <w:style w:type="character" w:styleId="WW8Num1z4">
    <w:name w:val="WW8Num1z4"/>
    <w:qFormat/>
    <w:rPr>
      <w:rFonts w:ascii="Times New Roman" w:hAnsi="Times New Roman" w:cs="Times New Roman"/>
      <w:b w:val="false"/>
      <w:i w:val="false"/>
      <w:sz w:val="22"/>
    </w:rPr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color w:val="000000"/>
      <w:sz w:val="22"/>
    </w:rPr>
  </w:style>
  <w:style w:type="character" w:styleId="WW8Num6z1">
    <w:name w:val="WW8Num6z1"/>
    <w:qFormat/>
    <w:rPr>
      <w:rFonts w:ascii="Times New Roman" w:hAnsi="Times New Roman" w:cs="Times New Roman"/>
      <w:b w:val="false"/>
      <w:i w:val="false"/>
      <w:sz w:val="22"/>
    </w:rPr>
  </w:style>
  <w:style w:type="character" w:styleId="WW8Num6z4">
    <w:name w:val="WW8Num6z4"/>
    <w:qFormat/>
    <w:rPr/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color w:val="000000"/>
      <w:sz w:val="22"/>
    </w:rPr>
  </w:style>
  <w:style w:type="character" w:styleId="WW8Num8z1">
    <w:name w:val="WW8Num8z1"/>
    <w:qFormat/>
    <w:rPr>
      <w:rFonts w:ascii="Times New Roman" w:hAnsi="Times New Roman" w:cs="Times New Roman"/>
      <w:b w:val="false"/>
      <w:i w:val="false"/>
      <w:sz w:val="22"/>
    </w:rPr>
  </w:style>
  <w:style w:type="character" w:styleId="WW8Num8z4">
    <w:name w:val="WW8Num8z4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CharChar">
    <w:name w:val=" Char Char"/>
    <w:basedOn w:val="DefaultParagraphFont"/>
    <w:qFormat/>
    <w:rPr>
      <w:rFonts w:ascii="Times New Roman Bold;Times New Roman" w:hAnsi="Times New Roman Bold;Times New Roman" w:cs="Arial"/>
      <w:b/>
      <w:iCs/>
      <w:kern w:val="2"/>
      <w:sz w:val="28"/>
      <w:szCs w:val="28"/>
      <w:lang w:val="en-US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spacing w:before="240" w:after="120"/>
      <w:jc w:val="center"/>
    </w:pPr>
    <w:rPr>
      <w:b/>
      <w:caps/>
      <w:sz w:val="28"/>
    </w:rPr>
  </w:style>
  <w:style w:type="paragraph" w:styleId="BodyText">
    <w:name w:val="Body Text"/>
    <w:basedOn w:val="Normal"/>
    <w:pPr>
      <w:spacing w:before="360" w:after="360"/>
      <w:ind w:hanging="0" w:start="720" w:end="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BodyText"/>
    <w:pPr>
      <w:ind w:hanging="0" w:start="108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left" w:pos="4320" w:leader="none"/>
        <w:tab w:val="right" w:pos="8640" w:leader="none"/>
      </w:tabs>
    </w:pPr>
    <w:rPr>
      <w:sz w:val="12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sz w:val="18"/>
    </w:rPr>
  </w:style>
  <w:style w:type="paragraph" w:styleId="HeadingTable">
    <w:name w:val="Heading Table"/>
    <w:basedOn w:val="Normal"/>
    <w:qFormat/>
    <w:pPr>
      <w:jc w:val="center"/>
    </w:pPr>
    <w:rPr>
      <w:rFonts w:ascii="Times New Roman Bold;Times New Roman" w:hAnsi="Times New Roman Bold;Times New Roman" w:cs="Times New Roman Bold;Times New Roman"/>
      <w:b/>
    </w:rPr>
  </w:style>
  <w:style w:type="paragraph" w:styleId="Title">
    <w:name w:val="Title"/>
    <w:basedOn w:val="Normal"/>
    <w:next w:val="BodyText"/>
    <w:qFormat/>
    <w:pPr>
      <w:spacing w:before="240" w:after="240"/>
      <w:jc w:val="center"/>
      <w:outlineLvl w:val="0"/>
    </w:pPr>
    <w:rPr>
      <w:rFonts w:cs="Arial"/>
      <w:b/>
      <w:bCs/>
      <w:caps/>
      <w:kern w:val="2"/>
      <w:sz w:val="32"/>
      <w:szCs w:val="32"/>
    </w:rPr>
  </w:style>
  <w:style w:type="paragraph" w:styleId="TOC1">
    <w:name w:val="toc 1"/>
    <w:basedOn w:val="Normal"/>
    <w:next w:val="Normal"/>
    <w:pPr/>
    <w:rPr>
      <w:b/>
      <w:sz w:val="24"/>
    </w:rPr>
  </w:style>
  <w:style w:type="paragraph" w:styleId="TOC2">
    <w:name w:val="toc 2"/>
    <w:basedOn w:val="Normal"/>
    <w:next w:val="Normal"/>
    <w:pPr>
      <w:ind w:hanging="0" w:start="220" w:end="0"/>
    </w:pPr>
    <w:rPr>
      <w:b/>
    </w:rPr>
  </w:style>
  <w:style w:type="paragraph" w:styleId="TOC3">
    <w:name w:val="toc 3"/>
    <w:basedOn w:val="Normal"/>
    <w:next w:val="Normal"/>
    <w:pPr>
      <w:ind w:hanging="0" w:start="440" w:end="0"/>
    </w:pPr>
    <w:rPr/>
  </w:style>
  <w:style w:type="paragraph" w:styleId="TOC4">
    <w:name w:val="toc 4"/>
    <w:basedOn w:val="Normal"/>
    <w:next w:val="Normal"/>
    <w:pPr>
      <w:ind w:hanging="0" w:start="660" w:end="0"/>
    </w:pPr>
    <w:rPr/>
  </w:style>
  <w:style w:type="paragraph" w:styleId="Subtitle">
    <w:name w:val="Subtitle"/>
    <w:basedOn w:val="Normal"/>
    <w:next w:val="BodyText"/>
    <w:qFormat/>
    <w:pPr>
      <w:spacing w:before="240" w:after="240"/>
    </w:pPr>
    <w:rPr>
      <w:rFonts w:ascii="Times New Roman Bold;Times New Roman" w:hAnsi="Times New Roman Bold;Times New Roman" w:cs="Arial"/>
      <w:b/>
      <w:sz w:val="28"/>
    </w:rPr>
  </w:style>
  <w:style w:type="paragraph" w:styleId="TOC5">
    <w:name w:val="toc 5"/>
    <w:basedOn w:val="Normal"/>
    <w:next w:val="Normal"/>
    <w:pPr>
      <w:ind w:hanging="0" w:start="880" w:end="0"/>
    </w:pPr>
    <w:rPr/>
  </w:style>
  <w:style w:type="paragraph" w:styleId="TOC6">
    <w:name w:val="toc 6"/>
    <w:basedOn w:val="Normal"/>
    <w:next w:val="Normal"/>
    <w:pPr>
      <w:ind w:hanging="0" w:start="1100" w:end="0"/>
    </w:pPr>
    <w:rPr/>
  </w:style>
  <w:style w:type="paragraph" w:styleId="TOC7">
    <w:name w:val="toc 7"/>
    <w:basedOn w:val="Normal"/>
    <w:next w:val="Normal"/>
    <w:pPr>
      <w:ind w:hanging="0" w:start="1320" w:end="0"/>
    </w:pPr>
    <w:rPr/>
  </w:style>
  <w:style w:type="paragraph" w:styleId="TOC8">
    <w:name w:val="toc 8"/>
    <w:basedOn w:val="Normal"/>
    <w:next w:val="Normal"/>
    <w:pPr>
      <w:ind w:hanging="0" w:start="1540" w:end="0"/>
    </w:pPr>
    <w:rPr/>
  </w:style>
  <w:style w:type="paragraph" w:styleId="TOC9">
    <w:name w:val="toc 9"/>
    <w:basedOn w:val="Normal"/>
    <w:next w:val="Normal"/>
    <w:pPr>
      <w:ind w:hanging="0" w:start="1760" w:end="0"/>
    </w:pPr>
    <w:rPr/>
  </w:style>
  <w:style w:type="paragraph" w:styleId="Bullet1BodyText">
    <w:name w:val="Bullet 1 Body Text"/>
    <w:basedOn w:val="Normal"/>
    <w:qFormat/>
    <w:pPr>
      <w:numPr>
        <w:ilvl w:val="0"/>
        <w:numId w:val="3"/>
      </w:numPr>
      <w:spacing w:before="240" w:after="240"/>
    </w:pPr>
    <w:rPr/>
  </w:style>
  <w:style w:type="paragraph" w:styleId="TableLevel1Numbered">
    <w:name w:val="Table Level 1 Numbered"/>
    <w:basedOn w:val="Normal"/>
    <w:qFormat/>
    <w:pPr/>
    <w:rPr>
      <w:bCs/>
    </w:rPr>
  </w:style>
  <w:style w:type="paragraph" w:styleId="Bullet1Table">
    <w:name w:val="Bullet 1 Table"/>
    <w:basedOn w:val="Normal"/>
    <w:qFormat/>
    <w:pPr>
      <w:numPr>
        <w:ilvl w:val="0"/>
        <w:numId w:val="10"/>
      </w:numPr>
    </w:pPr>
    <w:rPr/>
  </w:style>
  <w:style w:type="paragraph" w:styleId="Heading1Numbered">
    <w:name w:val="Heading 1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caps/>
      <w:sz w:val="28"/>
    </w:rPr>
  </w:style>
  <w:style w:type="paragraph" w:styleId="Heading2Numbered">
    <w:name w:val="Heading 2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sz w:val="28"/>
    </w:rPr>
  </w:style>
  <w:style w:type="paragraph" w:styleId="Heading3Numbered">
    <w:name w:val="Heading 3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sz w:val="24"/>
    </w:rPr>
  </w:style>
  <w:style w:type="paragraph" w:styleId="Heading4Numbered">
    <w:name w:val="Heading 4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sz w:val="24"/>
    </w:rPr>
  </w:style>
  <w:style w:type="paragraph" w:styleId="TableText">
    <w:name w:val="Table Text"/>
    <w:basedOn w:val="Normal"/>
    <w:qFormat/>
    <w:pPr/>
    <w:rPr/>
  </w:style>
  <w:style w:type="paragraph" w:styleId="TableLevel2Numbered">
    <w:name w:val="Table Level 2 Numbered"/>
    <w:basedOn w:val="Normal"/>
    <w:qFormat/>
    <w:pPr>
      <w:numPr>
        <w:ilvl w:val="0"/>
        <w:numId w:val="9"/>
      </w:numPr>
    </w:pPr>
    <w:rPr>
      <w:bCs/>
    </w:rPr>
  </w:style>
  <w:style w:type="paragraph" w:styleId="TableLevel3Numbered">
    <w:name w:val="Table Level 3 Numbered"/>
    <w:basedOn w:val="Normal"/>
    <w:qFormat/>
    <w:pPr>
      <w:numPr>
        <w:ilvl w:val="0"/>
        <w:numId w:val="9"/>
      </w:numPr>
    </w:pPr>
    <w:rPr/>
  </w:style>
  <w:style w:type="paragraph" w:styleId="TableLevel4Numbered">
    <w:name w:val="Table Level 4 Numbered"/>
    <w:basedOn w:val="Normal"/>
    <w:qFormat/>
    <w:pPr>
      <w:numPr>
        <w:ilvl w:val="0"/>
        <w:numId w:val="9"/>
      </w:numPr>
    </w:pPr>
    <w:rPr/>
  </w:style>
  <w:style w:type="paragraph" w:styleId="TableLevel1Text">
    <w:name w:val="Table Level 1 Text"/>
    <w:basedOn w:val="BodyText"/>
    <w:qFormat/>
    <w:pPr/>
    <w:rPr>
      <w:iCs/>
    </w:rPr>
  </w:style>
  <w:style w:type="paragraph" w:styleId="TableLevel2Text">
    <w:name w:val="Table Level 2 Text"/>
    <w:basedOn w:val="BodyText"/>
    <w:qFormat/>
    <w:pPr>
      <w:ind w:hanging="0" w:start="1008" w:end="0"/>
    </w:pPr>
    <w:rPr/>
  </w:style>
  <w:style w:type="paragraph" w:styleId="TableLevel3Text">
    <w:name w:val="Table Level 3 Text"/>
    <w:basedOn w:val="BodyText"/>
    <w:qFormat/>
    <w:pPr>
      <w:ind w:hanging="0" w:start="1296" w:end="0"/>
    </w:pPr>
    <w:rPr/>
  </w:style>
  <w:style w:type="paragraph" w:styleId="TableLevel4Text">
    <w:name w:val="Table Level 4 Text"/>
    <w:basedOn w:val="BodyText"/>
    <w:qFormat/>
    <w:pPr>
      <w:ind w:hanging="0" w:start="1440" w:end="0"/>
    </w:pPr>
    <w:rPr/>
  </w:style>
  <w:style w:type="paragraph" w:styleId="BodyLevel1Numbered">
    <w:name w:val="Body Level 1 Numbered"/>
    <w:basedOn w:val="Normal"/>
    <w:qFormat/>
    <w:pPr>
      <w:numPr>
        <w:ilvl w:val="0"/>
        <w:numId w:val="7"/>
      </w:numPr>
      <w:spacing w:before="240" w:after="240"/>
    </w:pPr>
    <w:rPr/>
  </w:style>
  <w:style w:type="paragraph" w:styleId="BodyLevel2Numbered">
    <w:name w:val="Body Level 2 Numbered"/>
    <w:basedOn w:val="Normal"/>
    <w:qFormat/>
    <w:pPr>
      <w:numPr>
        <w:ilvl w:val="0"/>
        <w:numId w:val="7"/>
      </w:numPr>
      <w:spacing w:before="240" w:after="240"/>
    </w:pPr>
    <w:rPr/>
  </w:style>
  <w:style w:type="paragraph" w:styleId="BodyLevel3Numbered">
    <w:name w:val="Body Level 3 Numbered"/>
    <w:basedOn w:val="Normal"/>
    <w:qFormat/>
    <w:pPr>
      <w:numPr>
        <w:ilvl w:val="0"/>
        <w:numId w:val="7"/>
      </w:numPr>
      <w:spacing w:before="240" w:after="240"/>
    </w:pPr>
    <w:rPr/>
  </w:style>
  <w:style w:type="paragraph" w:styleId="BodyLevel4Numbered">
    <w:name w:val="Body Level 4 Numbered"/>
    <w:basedOn w:val="Normal"/>
    <w:qFormat/>
    <w:pPr>
      <w:numPr>
        <w:ilvl w:val="0"/>
        <w:numId w:val="7"/>
      </w:numPr>
      <w:spacing w:before="240" w:after="240"/>
    </w:pPr>
    <w:rPr/>
  </w:style>
  <w:style w:type="paragraph" w:styleId="BodyLevel1Text">
    <w:name w:val="Body Level 1 Text"/>
    <w:basedOn w:val="BodyText"/>
    <w:qFormat/>
    <w:pPr>
      <w:ind w:hanging="0" w:start="1440" w:end="0"/>
    </w:pPr>
    <w:rPr/>
  </w:style>
  <w:style w:type="paragraph" w:styleId="BodyLevel2Text">
    <w:name w:val="Body Level 2 Text"/>
    <w:basedOn w:val="BodyText"/>
    <w:qFormat/>
    <w:pPr>
      <w:ind w:hanging="0" w:start="1728" w:end="0"/>
    </w:pPr>
    <w:rPr/>
  </w:style>
  <w:style w:type="paragraph" w:styleId="BodyLevel3Text">
    <w:name w:val="Body Level 3 Text"/>
    <w:basedOn w:val="BodyText"/>
    <w:qFormat/>
    <w:pPr>
      <w:ind w:hanging="0" w:start="2016" w:end="0"/>
    </w:pPr>
    <w:rPr/>
  </w:style>
  <w:style w:type="paragraph" w:styleId="BodyLevel4Text">
    <w:name w:val="Body Level 4 Text"/>
    <w:basedOn w:val="BodyText"/>
    <w:qFormat/>
    <w:pPr>
      <w:ind w:hanging="0" w:start="2304" w:end="0"/>
    </w:pPr>
    <w:rPr/>
  </w:style>
  <w:style w:type="paragraph" w:styleId="Bullet1Level1">
    <w:name w:val="Bullet 1 Level 1"/>
    <w:basedOn w:val="Normal"/>
    <w:qFormat/>
    <w:pPr>
      <w:tabs>
        <w:tab w:val="clear" w:pos="720"/>
        <w:tab w:val="left" w:pos="1080" w:leader="none"/>
      </w:tabs>
      <w:ind w:hanging="360" w:start="1080" w:end="0"/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oleObject" Target="embeddings/oleObject1.bin"/><Relationship Id="rId9" Type="http://schemas.openxmlformats.org/officeDocument/2006/relationships/image" Target="media/image2.wmf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oleObject" Target="embeddings/oleObject2.bin"/><Relationship Id="rId15" Type="http://schemas.openxmlformats.org/officeDocument/2006/relationships/image" Target="media/image3.wmf"/><Relationship Id="rId16" Type="http://schemas.openxmlformats.org/officeDocument/2006/relationships/header" Target="header6.xml"/><Relationship Id="rId17" Type="http://schemas.openxmlformats.org/officeDocument/2006/relationships/header" Target="header7.xml"/><Relationship Id="rId18" Type="http://schemas.openxmlformats.org/officeDocument/2006/relationships/footer" Target="footer6.xml"/><Relationship Id="rId19" Type="http://schemas.openxmlformats.org/officeDocument/2006/relationships/footer" Target="footer7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11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2006-12-01T03:31:00Z</dcterms:created>
  <dc:creator> </dc:creator>
  <dc:description/>
  <cp:keywords/>
  <dc:language>en-US</dc:language>
  <cp:lastModifiedBy>Stuart Johnson</cp:lastModifiedBy>
  <cp:lastPrinted>2006-11-20T09:02:00Z</cp:lastPrinted>
  <dcterms:modified xsi:type="dcterms:W3CDTF">2006-12-01T04:01:00Z</dcterms:modified>
  <cp:revision>6</cp:revision>
  <dc:subject/>
  <dc:title>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r8>-1496874977</vt:r8>
  </property>
  <property fmtid="{D5CDD505-2E9C-101B-9397-08002B2CF9AE}" pid="3" name="_AuthorEmail">
    <vt:lpwstr>Albert.Jans@mail.ing.nl</vt:lpwstr>
  </property>
  <property fmtid="{D5CDD505-2E9C-101B-9397-08002B2CF9AE}" pid="4" name="_AuthorEmailDisplayName">
    <vt:lpwstr>Jans, A.H.A. (Albert)</vt:lpwstr>
  </property>
  <property fmtid="{D5CDD505-2E9C-101B-9397-08002B2CF9AE}" pid="5" name="_EmailSubject">
    <vt:lpwstr>Exhibit 18 (Network Services Demaraction) AJ v1.7</vt:lpwstr>
  </property>
  <property fmtid="{D5CDD505-2E9C-101B-9397-08002B2CF9AE}" pid="6" name="_PreviousAdHocReviewCycleID">
    <vt:r8>-1007177712</vt:r8>
  </property>
  <property fmtid="{D5CDD505-2E9C-101B-9397-08002B2CF9AE}" pid="7" name="_ReviewingToolsShownOnce">
    <vt:lpwstr/>
  </property>
</Properties>
</file>