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jc w:val="both"/>
        <w:rPr>
          <w:rFonts w:cs="Times New Roman"/>
          <w:sz w:val="22"/>
          <w:szCs w:val="22"/>
          <w:lang w:val="en-GB"/>
        </w:rPr>
      </w:pPr>
      <w:r>
        <w:rPr>
          <w:rFonts w:cs="Times New Roman"/>
          <w:sz w:val="22"/>
          <w:szCs w:val="22"/>
          <w:lang w:val="en-GB"/>
        </w:rPr>
      </w:r>
    </w:p>
    <w:p>
      <w:pPr>
        <w:pStyle w:val="Title"/>
        <w:jc w:val="both"/>
        <w:rPr>
          <w:rFonts w:cs="Times New Roman"/>
          <w:sz w:val="22"/>
          <w:szCs w:val="22"/>
          <w:lang w:val="en-GB"/>
        </w:rPr>
      </w:pPr>
      <w:r>
        <w:rPr>
          <w:rFonts w:cs="Times New Roman"/>
          <w:sz w:val="22"/>
          <w:szCs w:val="22"/>
          <w:lang w:val="en-GB"/>
        </w:rPr>
      </w:r>
    </w:p>
    <w:p>
      <w:pPr>
        <w:pStyle w:val="Title"/>
        <w:jc w:val="both"/>
        <w:rPr>
          <w:rFonts w:cs="Times New Roman"/>
          <w:sz w:val="22"/>
          <w:szCs w:val="22"/>
          <w:lang w:val="en-GB"/>
        </w:rPr>
      </w:pPr>
      <w:r>
        <w:rPr>
          <w:rFonts w:cs="Times New Roman"/>
          <w:sz w:val="22"/>
          <w:szCs w:val="22"/>
          <w:lang w:val="en-GB"/>
        </w:rPr>
      </w:r>
    </w:p>
    <w:p>
      <w:pPr>
        <w:pStyle w:val="Title"/>
        <w:jc w:val="both"/>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lang w:val="en-GB"/>
        </w:rPr>
      </w:pPr>
      <w:r>
        <w:rPr>
          <w:rFonts w:cs="Times New Roman"/>
          <w:lang w:val="en-GB"/>
        </w:rPr>
        <w:t>EuroBank</w:t>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t>exhibit 2.0</w:t>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t>Statement of Work</w:t>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jc w:val="both"/>
        <w:rPr>
          <w:rFonts w:cs="Times New Roman"/>
          <w:sz w:val="22"/>
          <w:szCs w:val="22"/>
          <w:lang w:val="en-GB"/>
        </w:rPr>
      </w:pPr>
      <w:r>
        <w:rPr>
          <w:rFonts w:cs="Times New Roman"/>
          <w:sz w:val="22"/>
          <w:szCs w:val="22"/>
          <w:lang w:val="en-GB"/>
        </w:rPr>
      </w:r>
    </w:p>
    <w:p>
      <w:pPr>
        <w:pStyle w:val="Normal"/>
        <w:jc w:val="both"/>
        <w:rPr>
          <w:szCs w:val="22"/>
          <w:lang w:val="en-GB"/>
        </w:rPr>
      </w:pPr>
      <w:r>
        <w:rPr>
          <w:szCs w:val="22"/>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6"/>
              <w:szCs w:val="16"/>
              <w:lang w:val="en-US" w:eastAsia="en-US"/>
            </w:rPr>
          </w:pPr>
          <w:r>
            <w:fldChar w:fldCharType="begin"/>
          </w:r>
          <w:r>
            <w:rPr>
              <w:sz w:val="16"/>
              <w:szCs w:val="16"/>
              <w:lang w:val="en-GB" w:eastAsia="en-US"/>
            </w:rPr>
            <w:instrText xml:space="preserve"> TOC \o "3-9" \t "Heading 1 Numbered,1,Heading 2 Numbered,2" </w:instrText>
          </w:r>
          <w:r>
            <w:rPr>
              <w:sz w:val="16"/>
              <w:szCs w:val="16"/>
              <w:lang w:val="en-GB" w:eastAsia="en-US"/>
            </w:rPr>
            <w:fldChar w:fldCharType="separate"/>
          </w:r>
          <w:r>
            <w:rPr>
              <w:sz w:val="16"/>
              <w:szCs w:val="16"/>
              <w:lang w:val="en-GB" w:eastAsia="en-US"/>
            </w:rPr>
            <w:t>1.</w:t>
          </w:r>
          <w:r>
            <w:rPr>
              <w:b w:val="false"/>
              <w:sz w:val="16"/>
              <w:szCs w:val="16"/>
              <w:lang w:val="en-US" w:eastAsia="en-US"/>
            </w:rPr>
            <w:tab/>
          </w:r>
          <w:r>
            <w:rPr>
              <w:sz w:val="16"/>
              <w:szCs w:val="16"/>
              <w:lang w:val="en-GB" w:eastAsia="en-US"/>
            </w:rPr>
            <w:t>GENERAL</w:t>
          </w:r>
          <w:r>
            <w:rPr>
              <w:sz w:val="16"/>
              <w:szCs w:val="16"/>
              <w:lang w:val="en-US" w:eastAsia="en-US"/>
            </w:rPr>
            <w:tab/>
          </w:r>
          <w:hyperlink w:anchor="__RefHeading___Toc148668798">
            <w:r>
              <w:rPr>
                <w:rStyle w:val="IndexLink"/>
                <w:sz w:val="16"/>
                <w:szCs w:val="16"/>
                <w:lang w:val="en-US" w:eastAsia="en-US"/>
              </w:rPr>
              <w:t>1</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1.1</w:t>
          </w:r>
          <w:r>
            <w:rPr>
              <w:b w:val="false"/>
              <w:sz w:val="16"/>
              <w:szCs w:val="16"/>
              <w:lang w:val="en-US" w:eastAsia="en-US"/>
            </w:rPr>
            <w:tab/>
          </w:r>
          <w:r>
            <w:rPr>
              <w:sz w:val="16"/>
              <w:szCs w:val="16"/>
              <w:lang w:val="en-GB" w:eastAsia="en-US"/>
            </w:rPr>
            <w:t>INTRODUCTION</w:t>
          </w:r>
          <w:r>
            <w:rPr>
              <w:sz w:val="16"/>
              <w:szCs w:val="16"/>
              <w:lang w:val="en-US" w:eastAsia="en-US"/>
            </w:rPr>
            <w:tab/>
          </w:r>
          <w:hyperlink w:anchor="__RefHeading___Toc148668799">
            <w:r>
              <w:rPr>
                <w:rStyle w:val="IndexLink"/>
                <w:sz w:val="16"/>
                <w:szCs w:val="16"/>
                <w:lang w:val="en-US" w:eastAsia="en-US"/>
              </w:rPr>
              <w:t>1</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1.2</w:t>
          </w:r>
          <w:r>
            <w:rPr>
              <w:b w:val="false"/>
              <w:sz w:val="16"/>
              <w:szCs w:val="16"/>
              <w:lang w:val="en-US" w:eastAsia="en-US"/>
            </w:rPr>
            <w:tab/>
          </w:r>
          <w:r>
            <w:rPr>
              <w:sz w:val="16"/>
              <w:szCs w:val="16"/>
              <w:lang w:val="en-GB" w:eastAsia="en-US"/>
            </w:rPr>
            <w:t>SITES</w:t>
          </w:r>
          <w:r>
            <w:rPr>
              <w:sz w:val="16"/>
              <w:szCs w:val="16"/>
              <w:lang w:val="en-US" w:eastAsia="en-US"/>
            </w:rPr>
            <w:tab/>
          </w:r>
          <w:hyperlink w:anchor="__RefHeading___Toc148668801">
            <w:r>
              <w:rPr>
                <w:rStyle w:val="IndexLink"/>
                <w:sz w:val="16"/>
                <w:szCs w:val="16"/>
                <w:lang w:val="en-US" w:eastAsia="en-US"/>
              </w:rPr>
              <w:t>8</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1.3</w:t>
          </w:r>
          <w:r>
            <w:rPr>
              <w:b w:val="false"/>
              <w:sz w:val="16"/>
              <w:szCs w:val="16"/>
              <w:lang w:val="en-US" w:eastAsia="en-US"/>
            </w:rPr>
            <w:tab/>
          </w:r>
          <w:r>
            <w:rPr>
              <w:sz w:val="16"/>
              <w:szCs w:val="16"/>
              <w:lang w:val="en-GB" w:eastAsia="en-US"/>
            </w:rPr>
            <w:t>SCOPE OF SERVICES</w:t>
          </w:r>
          <w:r>
            <w:rPr>
              <w:sz w:val="16"/>
              <w:szCs w:val="16"/>
              <w:lang w:val="en-US" w:eastAsia="en-US"/>
            </w:rPr>
            <w:tab/>
          </w:r>
          <w:hyperlink w:anchor="__RefHeading___Toc148668802">
            <w:r>
              <w:rPr>
                <w:rStyle w:val="IndexLink"/>
                <w:sz w:val="16"/>
                <w:szCs w:val="16"/>
                <w:lang w:val="en-US" w:eastAsia="en-US"/>
              </w:rPr>
              <w:t>8</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1.4</w:t>
          </w:r>
          <w:r>
            <w:rPr>
              <w:b w:val="false"/>
              <w:sz w:val="16"/>
              <w:szCs w:val="16"/>
              <w:lang w:val="en-US" w:eastAsia="en-US"/>
            </w:rPr>
            <w:tab/>
          </w:r>
          <w:r>
            <w:rPr>
              <w:sz w:val="16"/>
              <w:szCs w:val="16"/>
              <w:lang w:val="en-GB" w:eastAsia="en-US"/>
            </w:rPr>
            <w:t>METHODOLOGIES, TOOLS, AND PRACTICES</w:t>
          </w:r>
          <w:r>
            <w:rPr>
              <w:sz w:val="16"/>
              <w:szCs w:val="16"/>
              <w:lang w:val="en-US" w:eastAsia="en-US"/>
            </w:rPr>
            <w:tab/>
          </w:r>
          <w:hyperlink w:anchor="__RefHeading___Toc148668803">
            <w:r>
              <w:rPr>
                <w:rStyle w:val="IndexLink"/>
                <w:sz w:val="16"/>
                <w:szCs w:val="16"/>
                <w:lang w:val="en-US" w:eastAsia="en-US"/>
              </w:rPr>
              <w:t>9</w:t>
            </w:r>
          </w:hyperlink>
        </w:p>
        <w:p>
          <w:pPr>
            <w:pStyle w:val="TOC1"/>
            <w:tabs>
              <w:tab w:val="clear" w:pos="720"/>
              <w:tab w:val="left" w:pos="440" w:leader="none"/>
              <w:tab w:val="right" w:pos="8441" w:leader="dot"/>
            </w:tabs>
            <w:rPr>
              <w:b w:val="false"/>
              <w:sz w:val="16"/>
              <w:szCs w:val="16"/>
              <w:lang w:val="en-US" w:eastAsia="en-US"/>
            </w:rPr>
          </w:pPr>
          <w:r>
            <w:rPr>
              <w:sz w:val="16"/>
              <w:szCs w:val="16"/>
              <w:lang w:val="en-GB" w:eastAsia="en-US"/>
            </w:rPr>
            <w:t>2.</w:t>
          </w:r>
          <w:r>
            <w:rPr>
              <w:b w:val="false"/>
              <w:sz w:val="16"/>
              <w:szCs w:val="16"/>
              <w:lang w:val="en-US" w:eastAsia="en-US"/>
            </w:rPr>
            <w:tab/>
          </w:r>
          <w:r>
            <w:rPr>
              <w:sz w:val="16"/>
              <w:szCs w:val="16"/>
              <w:lang w:val="en-GB" w:eastAsia="en-US"/>
            </w:rPr>
            <w:t>TOUCH POINTS WITH 2IM SERVICE MANAGEMENT</w:t>
          </w:r>
          <w:r>
            <w:rPr>
              <w:sz w:val="16"/>
              <w:szCs w:val="16"/>
              <w:lang w:val="en-US" w:eastAsia="en-US"/>
            </w:rPr>
            <w:tab/>
          </w:r>
          <w:hyperlink w:anchor="__RefHeading___Toc148668804">
            <w:r>
              <w:rPr>
                <w:rStyle w:val="IndexLink"/>
                <w:sz w:val="16"/>
                <w:szCs w:val="16"/>
                <w:lang w:val="en-US" w:eastAsia="en-US"/>
              </w:rPr>
              <w:t>10</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2.1</w:t>
          </w:r>
          <w:r>
            <w:rPr>
              <w:b w:val="false"/>
              <w:sz w:val="16"/>
              <w:szCs w:val="16"/>
              <w:lang w:val="en-US" w:eastAsia="en-US"/>
            </w:rPr>
            <w:tab/>
          </w:r>
          <w:r>
            <w:rPr>
              <w:sz w:val="16"/>
              <w:szCs w:val="16"/>
              <w:lang w:val="en-GB" w:eastAsia="en-US"/>
            </w:rPr>
            <w:t>SERVICE LEVEL MANAGEMENT</w:t>
          </w:r>
          <w:r>
            <w:rPr>
              <w:sz w:val="16"/>
              <w:szCs w:val="16"/>
              <w:lang w:val="en-US" w:eastAsia="en-US"/>
            </w:rPr>
            <w:tab/>
          </w:r>
          <w:hyperlink w:anchor="__RefHeading___Toc148668805">
            <w:r>
              <w:rPr>
                <w:rStyle w:val="IndexLink"/>
                <w:sz w:val="16"/>
                <w:szCs w:val="16"/>
                <w:lang w:val="en-US" w:eastAsia="en-US"/>
              </w:rPr>
              <w:t>10</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2.2</w:t>
          </w:r>
          <w:r>
            <w:rPr>
              <w:b w:val="false"/>
              <w:sz w:val="16"/>
              <w:szCs w:val="16"/>
              <w:lang w:val="en-US" w:eastAsia="en-US"/>
            </w:rPr>
            <w:tab/>
          </w:r>
          <w:r>
            <w:rPr>
              <w:sz w:val="16"/>
              <w:szCs w:val="16"/>
              <w:lang w:val="en-GB" w:eastAsia="en-US"/>
            </w:rPr>
            <w:t>BUSINESS CONTINUITY AND DISASTER RECOVERY SERVICES</w:t>
          </w:r>
          <w:r>
            <w:rPr>
              <w:sz w:val="16"/>
              <w:szCs w:val="16"/>
              <w:lang w:val="en-US" w:eastAsia="en-US"/>
            </w:rPr>
            <w:tab/>
          </w:r>
          <w:hyperlink w:anchor="__RefHeading___Toc148668807">
            <w:r>
              <w:rPr>
                <w:rStyle w:val="IndexLink"/>
                <w:sz w:val="16"/>
                <w:szCs w:val="16"/>
                <w:lang w:val="en-US" w:eastAsia="en-US"/>
              </w:rPr>
              <w:t>10</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2.3</w:t>
          </w:r>
          <w:r>
            <w:rPr>
              <w:b w:val="false"/>
              <w:sz w:val="16"/>
              <w:szCs w:val="16"/>
              <w:lang w:val="en-US" w:eastAsia="en-US"/>
            </w:rPr>
            <w:tab/>
          </w:r>
          <w:r>
            <w:rPr>
              <w:sz w:val="16"/>
              <w:szCs w:val="16"/>
              <w:lang w:val="en-GB" w:eastAsia="en-US"/>
            </w:rPr>
            <w:t>CAPACITY MANAGEMENT</w:t>
          </w:r>
          <w:r>
            <w:rPr>
              <w:sz w:val="16"/>
              <w:szCs w:val="16"/>
              <w:lang w:val="en-US" w:eastAsia="en-US"/>
            </w:rPr>
            <w:tab/>
          </w:r>
          <w:hyperlink w:anchor="__RefHeading___Toc148668808">
            <w:r>
              <w:rPr>
                <w:rStyle w:val="IndexLink"/>
                <w:sz w:val="16"/>
                <w:szCs w:val="16"/>
                <w:lang w:val="en-US" w:eastAsia="en-US"/>
              </w:rPr>
              <w:t>10</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2.4</w:t>
          </w:r>
          <w:r>
            <w:rPr>
              <w:b w:val="false"/>
              <w:sz w:val="16"/>
              <w:szCs w:val="16"/>
              <w:lang w:val="en-US" w:eastAsia="en-US"/>
            </w:rPr>
            <w:tab/>
          </w:r>
          <w:r>
            <w:rPr>
              <w:sz w:val="16"/>
              <w:szCs w:val="16"/>
              <w:lang w:val="en-GB" w:eastAsia="en-US"/>
            </w:rPr>
            <w:t>AVAILABILITY MANAGEMENT</w:t>
          </w:r>
          <w:r>
            <w:rPr>
              <w:sz w:val="16"/>
              <w:szCs w:val="16"/>
              <w:lang w:val="en-US" w:eastAsia="en-US"/>
            </w:rPr>
            <w:tab/>
          </w:r>
          <w:hyperlink w:anchor="__RefHeading___Toc148668809">
            <w:r>
              <w:rPr>
                <w:rStyle w:val="IndexLink"/>
                <w:sz w:val="16"/>
                <w:szCs w:val="16"/>
                <w:lang w:val="en-US" w:eastAsia="en-US"/>
              </w:rPr>
              <w:t>10</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2.5</w:t>
          </w:r>
          <w:r>
            <w:rPr>
              <w:b w:val="false"/>
              <w:sz w:val="16"/>
              <w:szCs w:val="16"/>
              <w:lang w:val="en-US" w:eastAsia="en-US"/>
            </w:rPr>
            <w:tab/>
          </w:r>
          <w:r>
            <w:rPr>
              <w:sz w:val="16"/>
              <w:szCs w:val="16"/>
              <w:lang w:val="en-GB" w:eastAsia="en-US"/>
            </w:rPr>
            <w:t>GOVERNANCE</w:t>
          </w:r>
          <w:r>
            <w:rPr>
              <w:sz w:val="16"/>
              <w:szCs w:val="16"/>
              <w:lang w:val="en-US" w:eastAsia="en-US"/>
            </w:rPr>
            <w:tab/>
          </w:r>
          <w:hyperlink w:anchor="__RefHeading___Toc148668810">
            <w:r>
              <w:rPr>
                <w:rStyle w:val="IndexLink"/>
                <w:sz w:val="16"/>
                <w:szCs w:val="16"/>
                <w:lang w:val="en-US" w:eastAsia="en-US"/>
              </w:rPr>
              <w:t>10</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2.6</w:t>
          </w:r>
          <w:r>
            <w:rPr>
              <w:b w:val="false"/>
              <w:sz w:val="16"/>
              <w:szCs w:val="16"/>
              <w:lang w:val="en-US" w:eastAsia="en-US"/>
            </w:rPr>
            <w:tab/>
          </w:r>
          <w:r>
            <w:rPr>
              <w:sz w:val="16"/>
              <w:szCs w:val="16"/>
              <w:lang w:val="en-GB" w:eastAsia="en-US"/>
            </w:rPr>
            <w:t>QUALITY ASSURANCE</w:t>
          </w:r>
          <w:r>
            <w:rPr>
              <w:sz w:val="16"/>
              <w:szCs w:val="16"/>
              <w:lang w:val="en-US" w:eastAsia="en-US"/>
            </w:rPr>
            <w:tab/>
          </w:r>
          <w:hyperlink w:anchor="__RefHeading___Toc148668811">
            <w:r>
              <w:rPr>
                <w:rStyle w:val="IndexLink"/>
                <w:sz w:val="16"/>
                <w:szCs w:val="16"/>
                <w:lang w:val="en-US" w:eastAsia="en-US"/>
              </w:rPr>
              <w:t>10</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2.7</w:t>
          </w:r>
          <w:r>
            <w:rPr>
              <w:b w:val="false"/>
              <w:sz w:val="16"/>
              <w:szCs w:val="16"/>
              <w:lang w:val="en-US" w:eastAsia="en-US"/>
            </w:rPr>
            <w:tab/>
          </w:r>
          <w:r>
            <w:rPr>
              <w:sz w:val="16"/>
              <w:szCs w:val="16"/>
              <w:lang w:val="en-GB" w:eastAsia="en-US"/>
            </w:rPr>
            <w:t>EFFECTIVE USE OF EQUIPMENT AND SOFTWARE</w:t>
          </w:r>
          <w:r>
            <w:rPr>
              <w:sz w:val="16"/>
              <w:szCs w:val="16"/>
              <w:lang w:val="en-US" w:eastAsia="en-US"/>
            </w:rPr>
            <w:tab/>
          </w:r>
          <w:hyperlink w:anchor="__RefHeading___Toc148668812">
            <w:r>
              <w:rPr>
                <w:rStyle w:val="IndexLink"/>
                <w:sz w:val="16"/>
                <w:szCs w:val="16"/>
                <w:lang w:val="en-US" w:eastAsia="en-US"/>
              </w:rPr>
              <w:t>10</w:t>
            </w:r>
          </w:hyperlink>
        </w:p>
        <w:p>
          <w:pPr>
            <w:pStyle w:val="TOC1"/>
            <w:tabs>
              <w:tab w:val="clear" w:pos="720"/>
              <w:tab w:val="left" w:pos="440" w:leader="none"/>
              <w:tab w:val="right" w:pos="8441" w:leader="dot"/>
            </w:tabs>
            <w:rPr>
              <w:b w:val="false"/>
              <w:sz w:val="16"/>
              <w:szCs w:val="16"/>
              <w:lang w:val="en-US" w:eastAsia="en-US"/>
            </w:rPr>
          </w:pPr>
          <w:r>
            <w:rPr>
              <w:sz w:val="16"/>
              <w:szCs w:val="16"/>
              <w:lang w:val="en-GB" w:eastAsia="en-US"/>
            </w:rPr>
            <w:t>3.</w:t>
          </w:r>
          <w:r>
            <w:rPr>
              <w:b w:val="false"/>
              <w:sz w:val="16"/>
              <w:szCs w:val="16"/>
              <w:lang w:val="en-US" w:eastAsia="en-US"/>
            </w:rPr>
            <w:tab/>
          </w:r>
          <w:r>
            <w:rPr>
              <w:sz w:val="16"/>
              <w:szCs w:val="16"/>
              <w:lang w:val="en-GB" w:eastAsia="en-US"/>
            </w:rPr>
            <w:t>TOUCH POINTS WITH 2IM SERVICE SUPPORT</w:t>
          </w:r>
          <w:r>
            <w:rPr>
              <w:sz w:val="16"/>
              <w:szCs w:val="16"/>
              <w:lang w:val="en-US" w:eastAsia="en-US"/>
            </w:rPr>
            <w:tab/>
          </w:r>
          <w:hyperlink w:anchor="__RefHeading___Toc148668813">
            <w:r>
              <w:rPr>
                <w:rStyle w:val="IndexLink"/>
                <w:sz w:val="16"/>
                <w:szCs w:val="16"/>
                <w:lang w:val="en-US" w:eastAsia="en-US"/>
              </w:rPr>
              <w:t>10</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3.1</w:t>
          </w:r>
          <w:r>
            <w:rPr>
              <w:b w:val="false"/>
              <w:sz w:val="16"/>
              <w:szCs w:val="16"/>
              <w:lang w:val="en-US" w:eastAsia="en-US"/>
            </w:rPr>
            <w:tab/>
          </w:r>
          <w:r>
            <w:rPr>
              <w:sz w:val="16"/>
              <w:szCs w:val="16"/>
              <w:lang w:val="en-GB" w:eastAsia="en-US"/>
            </w:rPr>
            <w:t>SERVICE CATALOGUE</w:t>
          </w:r>
          <w:r>
            <w:rPr>
              <w:sz w:val="16"/>
              <w:szCs w:val="16"/>
              <w:lang w:val="en-US" w:eastAsia="en-US"/>
            </w:rPr>
            <w:tab/>
          </w:r>
          <w:hyperlink w:anchor="__RefHeading___Toc148668815">
            <w:r>
              <w:rPr>
                <w:rStyle w:val="IndexLink"/>
                <w:sz w:val="16"/>
                <w:szCs w:val="16"/>
                <w:lang w:val="en-US" w:eastAsia="en-US"/>
              </w:rPr>
              <w:t>10</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3.2</w:t>
          </w:r>
          <w:r>
            <w:rPr>
              <w:b w:val="false"/>
              <w:sz w:val="16"/>
              <w:szCs w:val="16"/>
              <w:lang w:val="en-US" w:eastAsia="en-US"/>
            </w:rPr>
            <w:tab/>
          </w:r>
          <w:r>
            <w:rPr>
              <w:sz w:val="16"/>
              <w:szCs w:val="16"/>
              <w:lang w:val="en-GB" w:eastAsia="en-US"/>
            </w:rPr>
            <w:t>PROCUREMENT CATALOGUE</w:t>
          </w:r>
          <w:r>
            <w:rPr>
              <w:sz w:val="16"/>
              <w:szCs w:val="16"/>
              <w:lang w:val="en-US" w:eastAsia="en-US"/>
            </w:rPr>
            <w:tab/>
          </w:r>
          <w:hyperlink w:anchor="__RefHeading___Toc148668816">
            <w:r>
              <w:rPr>
                <w:rStyle w:val="IndexLink"/>
                <w:sz w:val="16"/>
                <w:szCs w:val="16"/>
                <w:lang w:val="en-US" w:eastAsia="en-US"/>
              </w:rPr>
              <w:t>11</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3.3</w:t>
          </w:r>
          <w:r>
            <w:rPr>
              <w:b w:val="false"/>
              <w:sz w:val="16"/>
              <w:szCs w:val="16"/>
              <w:lang w:val="en-US" w:eastAsia="en-US"/>
            </w:rPr>
            <w:tab/>
          </w:r>
          <w:r>
            <w:rPr>
              <w:sz w:val="16"/>
              <w:szCs w:val="16"/>
              <w:lang w:val="en-GB" w:eastAsia="en-US"/>
            </w:rPr>
            <w:t>RELEASE MANAGEMENT</w:t>
          </w:r>
          <w:r>
            <w:rPr>
              <w:sz w:val="16"/>
              <w:szCs w:val="16"/>
              <w:lang w:val="en-US" w:eastAsia="en-US"/>
            </w:rPr>
            <w:tab/>
          </w:r>
          <w:hyperlink w:anchor="__RefHeading___Toc148668817">
            <w:r>
              <w:rPr>
                <w:rStyle w:val="IndexLink"/>
                <w:sz w:val="16"/>
                <w:szCs w:val="16"/>
                <w:lang w:val="en-US" w:eastAsia="en-US"/>
              </w:rPr>
              <w:t>13</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3.4</w:t>
          </w:r>
          <w:r>
            <w:rPr>
              <w:b w:val="false"/>
              <w:sz w:val="16"/>
              <w:szCs w:val="16"/>
              <w:lang w:val="en-US" w:eastAsia="en-US"/>
            </w:rPr>
            <w:tab/>
          </w:r>
          <w:r>
            <w:rPr>
              <w:sz w:val="16"/>
              <w:szCs w:val="16"/>
              <w:lang w:val="en-GB" w:eastAsia="en-US"/>
            </w:rPr>
            <w:t>CONFIGURATION MANAGEMENT</w:t>
          </w:r>
          <w:r>
            <w:rPr>
              <w:sz w:val="16"/>
              <w:szCs w:val="16"/>
              <w:lang w:val="en-US" w:eastAsia="en-US"/>
            </w:rPr>
            <w:tab/>
          </w:r>
          <w:hyperlink w:anchor="__RefHeading___Toc148668818">
            <w:r>
              <w:rPr>
                <w:rStyle w:val="IndexLink"/>
                <w:sz w:val="16"/>
                <w:szCs w:val="16"/>
                <w:lang w:val="en-US" w:eastAsia="en-US"/>
              </w:rPr>
              <w:t>13</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3.5</w:t>
          </w:r>
          <w:r>
            <w:rPr>
              <w:b w:val="false"/>
              <w:sz w:val="16"/>
              <w:szCs w:val="16"/>
              <w:lang w:val="en-US" w:eastAsia="en-US"/>
            </w:rPr>
            <w:tab/>
          </w:r>
          <w:r>
            <w:rPr>
              <w:sz w:val="16"/>
              <w:szCs w:val="16"/>
              <w:lang w:val="en-GB" w:eastAsia="en-US"/>
            </w:rPr>
            <w:t>ASSET INVENTORY AND MANAGEMENT</w:t>
          </w:r>
          <w:r>
            <w:rPr>
              <w:sz w:val="16"/>
              <w:szCs w:val="16"/>
              <w:lang w:val="en-US" w:eastAsia="en-US"/>
            </w:rPr>
            <w:tab/>
          </w:r>
          <w:hyperlink w:anchor="__RefHeading___Toc148668819">
            <w:r>
              <w:rPr>
                <w:rStyle w:val="IndexLink"/>
                <w:sz w:val="16"/>
                <w:szCs w:val="16"/>
                <w:lang w:val="en-US" w:eastAsia="en-US"/>
              </w:rPr>
              <w:t>13</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3.6</w:t>
          </w:r>
          <w:r>
            <w:rPr>
              <w:b w:val="false"/>
              <w:sz w:val="16"/>
              <w:szCs w:val="16"/>
              <w:lang w:val="en-US" w:eastAsia="en-US"/>
            </w:rPr>
            <w:tab/>
          </w:r>
          <w:r>
            <w:rPr>
              <w:sz w:val="16"/>
              <w:szCs w:val="16"/>
              <w:lang w:val="en-GB" w:eastAsia="en-US"/>
            </w:rPr>
            <w:t>LICENSE MANAGEMENT AND COMPLIANCE</w:t>
          </w:r>
          <w:r>
            <w:rPr>
              <w:sz w:val="16"/>
              <w:szCs w:val="16"/>
              <w:lang w:val="en-US" w:eastAsia="en-US"/>
            </w:rPr>
            <w:tab/>
          </w:r>
          <w:hyperlink w:anchor="__RefHeading___Toc148668820">
            <w:r>
              <w:rPr>
                <w:rStyle w:val="IndexLink"/>
                <w:sz w:val="16"/>
                <w:szCs w:val="16"/>
                <w:lang w:val="en-US" w:eastAsia="en-US"/>
              </w:rPr>
              <w:t>13</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3.7</w:t>
          </w:r>
          <w:r>
            <w:rPr>
              <w:b w:val="false"/>
              <w:sz w:val="16"/>
              <w:szCs w:val="16"/>
              <w:lang w:val="en-US" w:eastAsia="en-US"/>
            </w:rPr>
            <w:tab/>
          </w:r>
          <w:r>
            <w:rPr>
              <w:sz w:val="16"/>
              <w:szCs w:val="16"/>
              <w:lang w:val="en-GB" w:eastAsia="en-US"/>
            </w:rPr>
            <w:t>PROCUREMENT SERVICES</w:t>
          </w:r>
          <w:r>
            <w:rPr>
              <w:sz w:val="16"/>
              <w:szCs w:val="16"/>
              <w:lang w:val="en-US" w:eastAsia="en-US"/>
            </w:rPr>
            <w:tab/>
          </w:r>
          <w:hyperlink w:anchor="__RefHeading___Toc148668821">
            <w:r>
              <w:rPr>
                <w:rStyle w:val="IndexLink"/>
                <w:sz w:val="16"/>
                <w:szCs w:val="16"/>
                <w:lang w:val="en-US" w:eastAsia="en-US"/>
              </w:rPr>
              <w:t>14</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3.8</w:t>
          </w:r>
          <w:r>
            <w:rPr>
              <w:b w:val="false"/>
              <w:sz w:val="16"/>
              <w:szCs w:val="16"/>
              <w:lang w:val="en-US" w:eastAsia="en-US"/>
            </w:rPr>
            <w:tab/>
          </w:r>
          <w:r>
            <w:rPr>
              <w:sz w:val="16"/>
              <w:szCs w:val="16"/>
              <w:lang w:val="en-GB" w:eastAsia="en-US"/>
            </w:rPr>
            <w:t>FACILITIES MANAGEMENT AND SUPPORT</w:t>
          </w:r>
          <w:r>
            <w:rPr>
              <w:sz w:val="16"/>
              <w:szCs w:val="16"/>
              <w:lang w:val="en-US" w:eastAsia="en-US"/>
            </w:rPr>
            <w:tab/>
          </w:r>
          <w:hyperlink w:anchor="__RefHeading___Toc148668822">
            <w:r>
              <w:rPr>
                <w:rStyle w:val="IndexLink"/>
                <w:sz w:val="16"/>
                <w:szCs w:val="16"/>
                <w:lang w:val="en-US" w:eastAsia="en-US"/>
              </w:rPr>
              <w:t>14</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3.9</w:t>
          </w:r>
          <w:r>
            <w:rPr>
              <w:b w:val="false"/>
              <w:sz w:val="16"/>
              <w:szCs w:val="16"/>
              <w:lang w:val="en-US" w:eastAsia="en-US"/>
            </w:rPr>
            <w:tab/>
          </w:r>
          <w:r>
            <w:rPr>
              <w:sz w:val="16"/>
              <w:szCs w:val="16"/>
              <w:lang w:val="en-GB" w:eastAsia="en-US"/>
            </w:rPr>
            <w:t>LIFE CYCLE MANAGEMENT</w:t>
          </w:r>
          <w:r>
            <w:rPr>
              <w:sz w:val="16"/>
              <w:szCs w:val="16"/>
              <w:lang w:val="en-US" w:eastAsia="en-US"/>
            </w:rPr>
            <w:tab/>
          </w:r>
          <w:hyperlink w:anchor="__RefHeading___Toc148668823">
            <w:r>
              <w:rPr>
                <w:rStyle w:val="IndexLink"/>
                <w:sz w:val="16"/>
                <w:szCs w:val="16"/>
                <w:lang w:val="en-US" w:eastAsia="en-US"/>
              </w:rPr>
              <w:t>14</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3.10</w:t>
          </w:r>
          <w:r>
            <w:rPr>
              <w:b w:val="false"/>
              <w:sz w:val="16"/>
              <w:szCs w:val="16"/>
              <w:lang w:val="en-US" w:eastAsia="en-US"/>
            </w:rPr>
            <w:tab/>
          </w:r>
          <w:r>
            <w:rPr>
              <w:sz w:val="16"/>
              <w:szCs w:val="16"/>
              <w:lang w:val="en-GB" w:eastAsia="en-US"/>
            </w:rPr>
            <w:t>TRAINING AND EDUCATION</w:t>
          </w:r>
          <w:r>
            <w:rPr>
              <w:sz w:val="16"/>
              <w:szCs w:val="16"/>
              <w:lang w:val="en-US" w:eastAsia="en-US"/>
            </w:rPr>
            <w:tab/>
          </w:r>
          <w:hyperlink w:anchor="__RefHeading___Toc148668824">
            <w:r>
              <w:rPr>
                <w:rStyle w:val="IndexLink"/>
                <w:sz w:val="16"/>
                <w:szCs w:val="16"/>
                <w:lang w:val="en-US" w:eastAsia="en-US"/>
              </w:rPr>
              <w:t>14</w:t>
            </w:r>
          </w:hyperlink>
        </w:p>
        <w:p>
          <w:pPr>
            <w:pStyle w:val="TOC1"/>
            <w:tabs>
              <w:tab w:val="clear" w:pos="720"/>
              <w:tab w:val="left" w:pos="440" w:leader="none"/>
              <w:tab w:val="right" w:pos="8441" w:leader="dot"/>
            </w:tabs>
            <w:rPr>
              <w:b w:val="false"/>
              <w:sz w:val="16"/>
              <w:szCs w:val="16"/>
              <w:lang w:val="en-US" w:eastAsia="en-US"/>
            </w:rPr>
          </w:pPr>
          <w:r>
            <w:rPr>
              <w:sz w:val="16"/>
              <w:szCs w:val="16"/>
              <w:lang w:val="en-GB" w:eastAsia="en-US"/>
            </w:rPr>
            <w:t>4.</w:t>
          </w:r>
          <w:r>
            <w:rPr>
              <w:b w:val="false"/>
              <w:sz w:val="16"/>
              <w:szCs w:val="16"/>
              <w:lang w:val="en-US" w:eastAsia="en-US"/>
            </w:rPr>
            <w:tab/>
          </w:r>
          <w:r>
            <w:rPr>
              <w:sz w:val="16"/>
              <w:szCs w:val="16"/>
              <w:lang w:val="en-GB" w:eastAsia="en-US"/>
            </w:rPr>
            <w:t>OTHER 2IM TOUCH POINTS</w:t>
          </w:r>
          <w:r>
            <w:rPr>
              <w:sz w:val="16"/>
              <w:szCs w:val="16"/>
              <w:lang w:val="en-US" w:eastAsia="en-US"/>
            </w:rPr>
            <w:tab/>
          </w:r>
          <w:hyperlink w:anchor="__RefHeading___Toc148668825">
            <w:r>
              <w:rPr>
                <w:rStyle w:val="IndexLink"/>
                <w:sz w:val="16"/>
                <w:szCs w:val="16"/>
                <w:lang w:val="en-US" w:eastAsia="en-US"/>
              </w:rPr>
              <w:t>14</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4.1</w:t>
          </w:r>
          <w:r>
            <w:rPr>
              <w:b w:val="false"/>
              <w:sz w:val="16"/>
              <w:szCs w:val="16"/>
              <w:lang w:val="en-US" w:eastAsia="en-US"/>
            </w:rPr>
            <w:tab/>
          </w:r>
          <w:r>
            <w:rPr>
              <w:sz w:val="16"/>
              <w:szCs w:val="16"/>
              <w:lang w:val="en-GB" w:eastAsia="en-US"/>
            </w:rPr>
            <w:t>INTEGRATOR MANAGEMENT TOOLS, OPERATIONS AND MAINTENANCE</w:t>
          </w:r>
          <w:r>
            <w:rPr>
              <w:sz w:val="16"/>
              <w:szCs w:val="16"/>
              <w:lang w:val="en-US" w:eastAsia="en-US"/>
            </w:rPr>
            <w:tab/>
          </w:r>
          <w:hyperlink w:anchor="__RefHeading___Toc148668826">
            <w:r>
              <w:rPr>
                <w:rStyle w:val="IndexLink"/>
                <w:sz w:val="16"/>
                <w:szCs w:val="16"/>
                <w:lang w:val="en-US" w:eastAsia="en-US"/>
              </w:rPr>
              <w:t>14</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4.2</w:t>
          </w:r>
          <w:r>
            <w:rPr>
              <w:b w:val="false"/>
              <w:sz w:val="16"/>
              <w:szCs w:val="16"/>
              <w:lang w:val="en-US" w:eastAsia="en-US"/>
            </w:rPr>
            <w:tab/>
          </w:r>
          <w:r>
            <w:rPr>
              <w:sz w:val="16"/>
              <w:szCs w:val="16"/>
              <w:lang w:val="en-GB" w:eastAsia="en-US"/>
            </w:rPr>
            <w:t>INFRASTRUCTURE AND ARCHITECTURE SUPPORT</w:t>
          </w:r>
          <w:r>
            <w:rPr>
              <w:sz w:val="16"/>
              <w:szCs w:val="16"/>
              <w:lang w:val="en-US" w:eastAsia="en-US"/>
            </w:rPr>
            <w:tab/>
          </w:r>
          <w:hyperlink w:anchor="__RefHeading___Toc148668827">
            <w:r>
              <w:rPr>
                <w:rStyle w:val="IndexLink"/>
                <w:sz w:val="16"/>
                <w:szCs w:val="16"/>
                <w:lang w:val="en-US" w:eastAsia="en-US"/>
              </w:rPr>
              <w:t>14</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4.3</w:t>
          </w:r>
          <w:r>
            <w:rPr>
              <w:b w:val="false"/>
              <w:sz w:val="16"/>
              <w:szCs w:val="16"/>
              <w:lang w:val="en-US" w:eastAsia="en-US"/>
            </w:rPr>
            <w:tab/>
          </w:r>
          <w:r>
            <w:rPr>
              <w:sz w:val="16"/>
              <w:szCs w:val="16"/>
              <w:lang w:val="en-GB" w:eastAsia="en-US"/>
            </w:rPr>
            <w:t>GENERAL SECURITY MANAGEMENT</w:t>
          </w:r>
          <w:r>
            <w:rPr>
              <w:sz w:val="16"/>
              <w:szCs w:val="16"/>
              <w:lang w:val="en-US" w:eastAsia="en-US"/>
            </w:rPr>
            <w:tab/>
          </w:r>
          <w:hyperlink w:anchor="__RefHeading___Toc148668828">
            <w:r>
              <w:rPr>
                <w:rStyle w:val="IndexLink"/>
                <w:sz w:val="16"/>
                <w:szCs w:val="16"/>
                <w:lang w:val="en-US" w:eastAsia="en-US"/>
              </w:rPr>
              <w:t>14</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4.4</w:t>
          </w:r>
          <w:r>
            <w:rPr>
              <w:b w:val="false"/>
              <w:sz w:val="16"/>
              <w:szCs w:val="16"/>
              <w:lang w:val="en-US" w:eastAsia="en-US"/>
            </w:rPr>
            <w:tab/>
          </w:r>
          <w:r>
            <w:rPr>
              <w:sz w:val="16"/>
              <w:szCs w:val="16"/>
              <w:lang w:val="en-GB" w:eastAsia="en-US"/>
            </w:rPr>
            <w:t>OPERATIONS MONITORING</w:t>
          </w:r>
          <w:r>
            <w:rPr>
              <w:sz w:val="16"/>
              <w:szCs w:val="16"/>
              <w:lang w:val="en-US" w:eastAsia="en-US"/>
            </w:rPr>
            <w:tab/>
          </w:r>
          <w:hyperlink w:anchor="__RefHeading___Toc148668829">
            <w:r>
              <w:rPr>
                <w:rStyle w:val="IndexLink"/>
                <w:sz w:val="16"/>
                <w:szCs w:val="16"/>
                <w:lang w:val="en-US" w:eastAsia="en-US"/>
              </w:rPr>
              <w:t>14</w:t>
            </w:r>
          </w:hyperlink>
        </w:p>
        <w:p>
          <w:pPr>
            <w:pStyle w:val="TOC1"/>
            <w:tabs>
              <w:tab w:val="clear" w:pos="720"/>
              <w:tab w:val="left" w:pos="440" w:leader="none"/>
              <w:tab w:val="right" w:pos="8441" w:leader="dot"/>
            </w:tabs>
            <w:rPr>
              <w:b w:val="false"/>
              <w:sz w:val="16"/>
              <w:szCs w:val="16"/>
              <w:lang w:val="en-US" w:eastAsia="en-US"/>
            </w:rPr>
          </w:pPr>
          <w:r>
            <w:rPr>
              <w:sz w:val="16"/>
              <w:szCs w:val="16"/>
              <w:lang w:val="en-GB" w:eastAsia="en-US"/>
            </w:rPr>
            <w:t>5.</w:t>
          </w:r>
          <w:r>
            <w:rPr>
              <w:b w:val="false"/>
              <w:sz w:val="16"/>
              <w:szCs w:val="16"/>
              <w:lang w:val="en-US" w:eastAsia="en-US"/>
            </w:rPr>
            <w:tab/>
          </w:r>
          <w:r>
            <w:rPr>
              <w:sz w:val="16"/>
              <w:szCs w:val="16"/>
              <w:lang w:val="en-GB" w:eastAsia="en-US"/>
            </w:rPr>
            <w:t>GENERAL APPROACH TO IMACS</w:t>
          </w:r>
          <w:r>
            <w:rPr>
              <w:sz w:val="16"/>
              <w:szCs w:val="16"/>
              <w:lang w:val="en-US" w:eastAsia="en-US"/>
            </w:rPr>
            <w:tab/>
          </w:r>
          <w:hyperlink w:anchor="__RefHeading___Toc148668830">
            <w:r>
              <w:rPr>
                <w:rStyle w:val="IndexLink"/>
                <w:sz w:val="16"/>
                <w:szCs w:val="16"/>
                <w:lang w:val="en-US" w:eastAsia="en-US"/>
              </w:rPr>
              <w:t>15</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5.1</w:t>
          </w:r>
          <w:r>
            <w:rPr>
              <w:b w:val="false"/>
              <w:sz w:val="16"/>
              <w:szCs w:val="16"/>
              <w:lang w:val="en-US" w:eastAsia="en-US"/>
            </w:rPr>
            <w:tab/>
          </w:r>
          <w:r>
            <w:rPr>
              <w:sz w:val="16"/>
              <w:szCs w:val="16"/>
              <w:lang w:val="en-GB" w:eastAsia="en-US"/>
            </w:rPr>
            <w:t>GENERAL</w:t>
          </w:r>
          <w:r>
            <w:rPr>
              <w:sz w:val="16"/>
              <w:szCs w:val="16"/>
              <w:lang w:val="en-US" w:eastAsia="en-US"/>
            </w:rPr>
            <w:tab/>
          </w:r>
          <w:hyperlink w:anchor="__RefHeading___Toc148668833">
            <w:r>
              <w:rPr>
                <w:rStyle w:val="IndexLink"/>
                <w:sz w:val="16"/>
                <w:szCs w:val="16"/>
                <w:lang w:val="en-US" w:eastAsia="en-US"/>
              </w:rPr>
              <w:t>15</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5.2</w:t>
          </w:r>
          <w:r>
            <w:rPr>
              <w:b w:val="false"/>
              <w:sz w:val="16"/>
              <w:szCs w:val="16"/>
              <w:lang w:val="en-US" w:eastAsia="en-US"/>
            </w:rPr>
            <w:tab/>
          </w:r>
          <w:r>
            <w:rPr>
              <w:sz w:val="16"/>
              <w:szCs w:val="16"/>
              <w:lang w:val="en-GB" w:eastAsia="en-US"/>
            </w:rPr>
            <w:t>IMAC PRE-EXECUTION</w:t>
          </w:r>
          <w:r>
            <w:rPr>
              <w:sz w:val="16"/>
              <w:szCs w:val="16"/>
              <w:lang w:val="en-US" w:eastAsia="en-US"/>
            </w:rPr>
            <w:tab/>
          </w:r>
          <w:hyperlink w:anchor="__RefHeading___Toc148668834">
            <w:r>
              <w:rPr>
                <w:rStyle w:val="IndexLink"/>
                <w:sz w:val="16"/>
                <w:szCs w:val="16"/>
                <w:lang w:val="en-US" w:eastAsia="en-US"/>
              </w:rPr>
              <w:t>15</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5.3</w:t>
          </w:r>
          <w:r>
            <w:rPr>
              <w:b w:val="false"/>
              <w:sz w:val="16"/>
              <w:szCs w:val="16"/>
              <w:lang w:val="en-US" w:eastAsia="en-US"/>
            </w:rPr>
            <w:tab/>
          </w:r>
          <w:r>
            <w:rPr>
              <w:sz w:val="16"/>
              <w:szCs w:val="16"/>
              <w:lang w:val="en-GB" w:eastAsia="en-US"/>
            </w:rPr>
            <w:t>IMAC EXECUTION</w:t>
          </w:r>
          <w:r>
            <w:rPr>
              <w:sz w:val="16"/>
              <w:szCs w:val="16"/>
              <w:lang w:val="en-US" w:eastAsia="en-US"/>
            </w:rPr>
            <w:tab/>
          </w:r>
          <w:hyperlink w:anchor="__RefHeading___Toc148668835">
            <w:r>
              <w:rPr>
                <w:rStyle w:val="IndexLink"/>
                <w:sz w:val="16"/>
                <w:szCs w:val="16"/>
                <w:lang w:val="en-US" w:eastAsia="en-US"/>
              </w:rPr>
              <w:t>16</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5.4</w:t>
          </w:r>
          <w:r>
            <w:rPr>
              <w:b w:val="false"/>
              <w:sz w:val="16"/>
              <w:szCs w:val="16"/>
              <w:lang w:val="en-US" w:eastAsia="en-US"/>
            </w:rPr>
            <w:tab/>
          </w:r>
          <w:r>
            <w:rPr>
              <w:sz w:val="16"/>
              <w:szCs w:val="16"/>
              <w:lang w:val="en-GB" w:eastAsia="en-US"/>
            </w:rPr>
            <w:t>PROJECT IMACS</w:t>
          </w:r>
          <w:r>
            <w:rPr>
              <w:sz w:val="16"/>
              <w:szCs w:val="16"/>
              <w:lang w:val="en-US" w:eastAsia="en-US"/>
            </w:rPr>
            <w:tab/>
          </w:r>
          <w:hyperlink w:anchor="__RefHeading___Toc148668836">
            <w:r>
              <w:rPr>
                <w:rStyle w:val="IndexLink"/>
                <w:sz w:val="16"/>
                <w:szCs w:val="16"/>
                <w:lang w:val="en-US" w:eastAsia="en-US"/>
              </w:rPr>
              <w:t>19</w:t>
            </w:r>
          </w:hyperlink>
        </w:p>
        <w:p>
          <w:pPr>
            <w:pStyle w:val="TOC1"/>
            <w:tabs>
              <w:tab w:val="clear" w:pos="720"/>
              <w:tab w:val="left" w:pos="440" w:leader="none"/>
              <w:tab w:val="right" w:pos="8441" w:leader="dot"/>
            </w:tabs>
            <w:rPr>
              <w:b w:val="false"/>
              <w:sz w:val="16"/>
              <w:szCs w:val="16"/>
              <w:lang w:val="en-US" w:eastAsia="en-US"/>
            </w:rPr>
          </w:pPr>
          <w:r>
            <w:rPr>
              <w:sz w:val="16"/>
              <w:szCs w:val="16"/>
              <w:lang w:val="en-GB" w:eastAsia="en-US"/>
            </w:rPr>
            <w:t>6.</w:t>
          </w:r>
          <w:r>
            <w:rPr>
              <w:b w:val="false"/>
              <w:sz w:val="16"/>
              <w:szCs w:val="16"/>
              <w:lang w:val="en-US" w:eastAsia="en-US"/>
            </w:rPr>
            <w:tab/>
          </w:r>
          <w:r>
            <w:rPr>
              <w:sz w:val="16"/>
              <w:szCs w:val="16"/>
              <w:lang w:val="en-GB" w:eastAsia="en-US"/>
            </w:rPr>
            <w:t>GENERAL APPROACH TO PROJECT MANAGEMENT AND SUPPORT</w:t>
          </w:r>
          <w:r>
            <w:rPr>
              <w:sz w:val="16"/>
              <w:szCs w:val="16"/>
              <w:lang w:val="en-US" w:eastAsia="en-US"/>
            </w:rPr>
            <w:tab/>
          </w:r>
          <w:hyperlink w:anchor="__RefHeading___Toc148668837">
            <w:r>
              <w:rPr>
                <w:rStyle w:val="IndexLink"/>
                <w:sz w:val="16"/>
                <w:szCs w:val="16"/>
                <w:lang w:val="en-US" w:eastAsia="en-US"/>
              </w:rPr>
              <w:t>19</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6.1</w:t>
          </w:r>
          <w:r>
            <w:rPr>
              <w:b w:val="false"/>
              <w:sz w:val="16"/>
              <w:szCs w:val="16"/>
              <w:lang w:val="en-US" w:eastAsia="en-US"/>
            </w:rPr>
            <w:tab/>
          </w:r>
          <w:r>
            <w:rPr>
              <w:sz w:val="16"/>
              <w:szCs w:val="16"/>
              <w:lang w:val="en-GB" w:eastAsia="en-US"/>
            </w:rPr>
            <w:t>PROJECT PLANNING</w:t>
          </w:r>
          <w:r>
            <w:rPr>
              <w:sz w:val="16"/>
              <w:szCs w:val="16"/>
              <w:lang w:val="en-US" w:eastAsia="en-US"/>
            </w:rPr>
            <w:tab/>
          </w:r>
          <w:hyperlink w:anchor="__RefHeading___Toc148668838">
            <w:r>
              <w:rPr>
                <w:rStyle w:val="IndexLink"/>
                <w:sz w:val="16"/>
                <w:szCs w:val="16"/>
                <w:lang w:val="en-US" w:eastAsia="en-US"/>
              </w:rPr>
              <w:t>20</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6.2</w:t>
          </w:r>
          <w:r>
            <w:rPr>
              <w:b w:val="false"/>
              <w:sz w:val="16"/>
              <w:szCs w:val="16"/>
              <w:lang w:val="en-US" w:eastAsia="en-US"/>
            </w:rPr>
            <w:tab/>
          </w:r>
          <w:r>
            <w:rPr>
              <w:sz w:val="16"/>
              <w:szCs w:val="16"/>
              <w:lang w:val="en-GB" w:eastAsia="en-US"/>
            </w:rPr>
            <w:t>PROJECT IMPLEMENTATION</w:t>
          </w:r>
          <w:r>
            <w:rPr>
              <w:sz w:val="16"/>
              <w:szCs w:val="16"/>
              <w:lang w:val="en-US" w:eastAsia="en-US"/>
            </w:rPr>
            <w:tab/>
          </w:r>
          <w:hyperlink w:anchor="__RefHeading___Toc148668839">
            <w:r>
              <w:rPr>
                <w:rStyle w:val="IndexLink"/>
                <w:sz w:val="16"/>
                <w:szCs w:val="16"/>
                <w:lang w:val="en-US" w:eastAsia="en-US"/>
              </w:rPr>
              <w:t>21</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6.3</w:t>
          </w:r>
          <w:r>
            <w:rPr>
              <w:b w:val="false"/>
              <w:sz w:val="16"/>
              <w:szCs w:val="16"/>
              <w:lang w:val="en-US" w:eastAsia="en-US"/>
            </w:rPr>
            <w:tab/>
          </w:r>
          <w:r>
            <w:rPr>
              <w:sz w:val="16"/>
              <w:szCs w:val="16"/>
              <w:lang w:val="en-GB" w:eastAsia="en-US"/>
            </w:rPr>
            <w:t>CURRENT AND ONGOING PROJECTS</w:t>
          </w:r>
          <w:r>
            <w:rPr>
              <w:sz w:val="16"/>
              <w:szCs w:val="16"/>
              <w:lang w:val="en-US" w:eastAsia="en-US"/>
            </w:rPr>
            <w:tab/>
          </w:r>
          <w:hyperlink w:anchor="__RefHeading___Toc148668840">
            <w:r>
              <w:rPr>
                <w:rStyle w:val="IndexLink"/>
                <w:sz w:val="16"/>
                <w:szCs w:val="16"/>
                <w:lang w:val="en-US" w:eastAsia="en-US"/>
              </w:rPr>
              <w:t>21</w:t>
            </w:r>
          </w:hyperlink>
        </w:p>
        <w:p>
          <w:pPr>
            <w:pStyle w:val="TOC2"/>
            <w:tabs>
              <w:tab w:val="clear" w:pos="720"/>
              <w:tab w:val="left" w:pos="880" w:leader="none"/>
              <w:tab w:val="right" w:pos="8441" w:leader="dot"/>
            </w:tabs>
            <w:rPr>
              <w:b w:val="false"/>
              <w:sz w:val="16"/>
              <w:szCs w:val="16"/>
              <w:lang w:val="en-US" w:eastAsia="en-US"/>
            </w:rPr>
          </w:pPr>
          <w:r>
            <w:rPr>
              <w:sz w:val="16"/>
              <w:szCs w:val="16"/>
              <w:lang w:val="en-GB" w:eastAsia="en-US"/>
            </w:rPr>
            <w:t>6.4</w:t>
          </w:r>
          <w:r>
            <w:rPr>
              <w:b w:val="false"/>
              <w:sz w:val="16"/>
              <w:szCs w:val="16"/>
              <w:lang w:val="en-US" w:eastAsia="en-US"/>
            </w:rPr>
            <w:tab/>
          </w:r>
          <w:r>
            <w:rPr>
              <w:sz w:val="16"/>
              <w:szCs w:val="16"/>
              <w:lang w:val="en-GB" w:eastAsia="en-US"/>
            </w:rPr>
            <w:t>LONG RANGE PLANNING</w:t>
          </w:r>
          <w:r>
            <w:rPr>
              <w:sz w:val="16"/>
              <w:szCs w:val="16"/>
              <w:lang w:val="en-US" w:eastAsia="en-US"/>
            </w:rPr>
            <w:tab/>
          </w:r>
          <w:hyperlink w:anchor="__RefHeading___Toc148668841">
            <w:r>
              <w:rPr>
                <w:rStyle w:val="IndexLink"/>
                <w:sz w:val="16"/>
                <w:szCs w:val="16"/>
                <w:lang w:val="en-US" w:eastAsia="en-US"/>
              </w:rPr>
              <w:t>21</w:t>
            </w:r>
          </w:hyperlink>
        </w:p>
        <w:p>
          <w:pPr>
            <w:pStyle w:val="TOC1"/>
            <w:tabs>
              <w:tab w:val="clear" w:pos="720"/>
              <w:tab w:val="left" w:pos="440" w:leader="none"/>
              <w:tab w:val="right" w:pos="8441" w:leader="dot"/>
            </w:tabs>
            <w:rPr>
              <w:b w:val="false"/>
              <w:sz w:val="16"/>
              <w:szCs w:val="16"/>
              <w:lang w:val="en-US" w:eastAsia="en-US"/>
            </w:rPr>
          </w:pPr>
          <w:r>
            <w:rPr>
              <w:sz w:val="16"/>
              <w:szCs w:val="16"/>
              <w:lang w:val="en-GB" w:eastAsia="en-US"/>
            </w:rPr>
            <w:t>7.</w:t>
          </w:r>
          <w:r>
            <w:rPr>
              <w:b w:val="false"/>
              <w:sz w:val="16"/>
              <w:szCs w:val="16"/>
              <w:lang w:val="en-US" w:eastAsia="en-US"/>
            </w:rPr>
            <w:tab/>
          </w:r>
          <w:r>
            <w:rPr>
              <w:sz w:val="16"/>
              <w:szCs w:val="16"/>
              <w:lang w:val="en-GB" w:eastAsia="en-US"/>
            </w:rPr>
            <w:t>GENERAL APPROACH TO INCIDENT MANAGEMENT</w:t>
          </w:r>
          <w:r>
            <w:rPr>
              <w:sz w:val="16"/>
              <w:szCs w:val="16"/>
              <w:lang w:val="en-US" w:eastAsia="en-US"/>
            </w:rPr>
            <w:tab/>
          </w:r>
          <w:hyperlink w:anchor="__RefHeading___Toc148668842">
            <w:r>
              <w:rPr>
                <w:rStyle w:val="IndexLink"/>
                <w:sz w:val="16"/>
                <w:szCs w:val="16"/>
                <w:lang w:val="en-US" w:eastAsia="en-US"/>
              </w:rPr>
              <w:t>23</w:t>
            </w:r>
          </w:hyperlink>
        </w:p>
        <w:p>
          <w:pPr>
            <w:pStyle w:val="TOC1"/>
            <w:tabs>
              <w:tab w:val="clear" w:pos="720"/>
              <w:tab w:val="left" w:pos="440" w:leader="none"/>
              <w:tab w:val="right" w:pos="8441" w:leader="dot"/>
            </w:tabs>
            <w:rPr>
              <w:b w:val="false"/>
              <w:sz w:val="16"/>
              <w:szCs w:val="16"/>
              <w:lang w:val="en-US" w:eastAsia="en-US"/>
            </w:rPr>
          </w:pPr>
          <w:r>
            <w:rPr>
              <w:sz w:val="16"/>
              <w:szCs w:val="16"/>
              <w:lang w:val="en-GB" w:eastAsia="en-US"/>
            </w:rPr>
            <w:t>8.</w:t>
          </w:r>
          <w:r>
            <w:rPr>
              <w:b w:val="false"/>
              <w:sz w:val="16"/>
              <w:szCs w:val="16"/>
              <w:lang w:val="en-US" w:eastAsia="en-US"/>
            </w:rPr>
            <w:tab/>
          </w:r>
          <w:r>
            <w:rPr>
              <w:sz w:val="16"/>
              <w:szCs w:val="16"/>
              <w:lang w:val="en-GB" w:eastAsia="en-US"/>
            </w:rPr>
            <w:t>GENERAL APPROACH TO PROBLEM MANAGEMENT</w:t>
          </w:r>
          <w:r>
            <w:rPr>
              <w:sz w:val="16"/>
              <w:szCs w:val="16"/>
              <w:lang w:val="en-US" w:eastAsia="en-US"/>
            </w:rPr>
            <w:tab/>
          </w:r>
          <w:hyperlink w:anchor="__RefHeading___Toc148668843">
            <w:r>
              <w:rPr>
                <w:rStyle w:val="IndexLink"/>
                <w:sz w:val="16"/>
                <w:szCs w:val="16"/>
                <w:lang w:val="en-US" w:eastAsia="en-US"/>
              </w:rPr>
              <w:t>25</w:t>
            </w:r>
          </w:hyperlink>
        </w:p>
        <w:p>
          <w:pPr>
            <w:pStyle w:val="TOC1"/>
            <w:tabs>
              <w:tab w:val="clear" w:pos="720"/>
              <w:tab w:val="left" w:pos="440" w:leader="none"/>
              <w:tab w:val="right" w:pos="8441" w:leader="dot"/>
            </w:tabs>
            <w:rPr>
              <w:sz w:val="16"/>
              <w:szCs w:val="16"/>
              <w:lang w:val="en-US" w:eastAsia="en-US"/>
            </w:rPr>
          </w:pPr>
          <w:r>
            <w:rPr>
              <w:b w:val="false"/>
              <w:sz w:val="16"/>
              <w:szCs w:val="16"/>
              <w:lang w:val="en-GB" w:eastAsia="en-US"/>
            </w:rPr>
            <w:t>9.</w:t>
          </w:r>
          <w:r>
            <w:rPr>
              <w:b w:val="false"/>
              <w:sz w:val="16"/>
              <w:szCs w:val="16"/>
              <w:lang w:val="en-US" w:eastAsia="en-US"/>
            </w:rPr>
            <w:tab/>
          </w:r>
          <w:r>
            <w:rPr>
              <w:b w:val="false"/>
              <w:sz w:val="16"/>
              <w:szCs w:val="16"/>
              <w:lang w:val="en-GB" w:eastAsia="en-US"/>
            </w:rPr>
            <w:t>GENERAL APPROACH TO CHANGE MANAGEMENT</w:t>
          </w:r>
          <w:r>
            <w:rPr>
              <w:b w:val="false"/>
              <w:sz w:val="16"/>
              <w:szCs w:val="16"/>
              <w:lang w:val="en-US" w:eastAsia="en-US"/>
            </w:rPr>
            <w:tab/>
          </w:r>
          <w:hyperlink w:anchor="__RefHeading___Toc148668844">
            <w:r>
              <w:rPr>
                <w:rStyle w:val="IndexLink"/>
                <w:b w:val="false"/>
                <w:sz w:val="16"/>
                <w:szCs w:val="16"/>
                <w:lang w:val="en-US" w:eastAsia="en-US"/>
              </w:rPr>
              <w:t>26</w:t>
            </w:r>
          </w:hyperlink>
          <w:r>
            <w:rPr>
              <w:rStyle w:val="IndexLink"/>
              <w:sz w:val="16"/>
              <w:b w:val="false"/>
              <w:szCs w:val="16"/>
              <w:lang w:val="en-US" w:eastAsia="en-US"/>
            </w:rPr>
            <w:fldChar w:fldCharType="end"/>
          </w:r>
        </w:p>
      </w:sdtContent>
    </w:sdt>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jc w:val="both"/>
        <w:rPr>
          <w:b/>
          <w:caps/>
          <w:sz w:val="16"/>
          <w:szCs w:val="22"/>
          <w:lang w:val="en-GB" w:eastAsia="en-US"/>
        </w:rPr>
      </w:pPr>
      <w:r>
        <w:rPr>
          <w:b/>
          <w:caps/>
          <w:sz w:val="16"/>
          <w:szCs w:val="22"/>
          <w:lang w:val="en-GB" w:eastAsia="en-US"/>
        </w:rPr>
      </w:r>
    </w:p>
    <w:p>
      <w:pPr>
        <w:pStyle w:val="Normal"/>
        <w:spacing w:before="0" w:after="0"/>
        <w:jc w:val="both"/>
        <w:rPr>
          <w:szCs w:val="22"/>
          <w:lang w:val="en-GB"/>
        </w:rPr>
      </w:pPr>
      <w:r>
        <w:rPr>
          <w:szCs w:val="22"/>
          <w:lang w:val="en-GB"/>
        </w:rPr>
      </w:r>
    </w:p>
    <w:p>
      <w:pPr>
        <w:pStyle w:val="Heading1Numbered"/>
        <w:numPr>
          <w:ilvl w:val="0"/>
          <w:numId w:val="2"/>
        </w:numPr>
        <w:ind w:hanging="0" w:start="0"/>
        <w:rPr>
          <w:sz w:val="22"/>
          <w:szCs w:val="22"/>
          <w:lang w:val="en-GB"/>
        </w:rPr>
      </w:pPr>
      <w:bookmarkStart w:id="0" w:name="__RefHeading___Toc148668798"/>
      <w:bookmarkEnd w:id="0"/>
      <w:r>
        <w:rPr>
          <w:sz w:val="22"/>
          <w:szCs w:val="22"/>
          <w:lang w:val="en-GB"/>
        </w:rPr>
        <w:t>GENERAL</w:t>
      </w:r>
    </w:p>
    <w:p>
      <w:pPr>
        <w:pStyle w:val="Heading2Numbered"/>
        <w:numPr>
          <w:ilvl w:val="1"/>
          <w:numId w:val="2"/>
        </w:numPr>
        <w:ind w:hanging="0" w:start="0"/>
        <w:rPr>
          <w:sz w:val="22"/>
          <w:szCs w:val="22"/>
          <w:lang w:val="en-GB"/>
        </w:rPr>
      </w:pPr>
      <w:bookmarkStart w:id="1" w:name="__RefHeading___Toc148668799"/>
      <w:bookmarkEnd w:id="1"/>
      <w:r>
        <w:rPr>
          <w:sz w:val="22"/>
          <w:szCs w:val="22"/>
          <w:lang w:val="en-GB"/>
        </w:rPr>
        <w:t>INTRODUCTION</w:t>
      </w:r>
    </w:p>
    <w:p>
      <w:pPr>
        <w:pStyle w:val="Normal"/>
        <w:spacing w:before="0" w:after="0"/>
        <w:jc w:val="both"/>
        <w:rPr>
          <w:szCs w:val="22"/>
          <w:lang w:val="en-GB"/>
        </w:rPr>
      </w:pPr>
      <w:r>
        <w:rPr>
          <w:szCs w:val="22"/>
          <w:lang w:val="en-GB"/>
        </w:rPr>
        <w:t>A high-level overview and general description of the Bundles is given in Attachment 2-A (</w:t>
      </w:r>
      <w:r>
        <w:rPr>
          <w:i/>
          <w:szCs w:val="22"/>
          <w:lang w:val="en-GB"/>
        </w:rPr>
        <w:t>Bundle Descriptions</w:t>
      </w:r>
      <w:r>
        <w:rPr>
          <w:szCs w:val="22"/>
          <w:lang w:val="en-GB"/>
        </w:rPr>
        <w:t>) which is hereby incorporated by reference. The descriptions in that Attachment are provided for information only and do not in any way alter the definitions and requirements of the Services under each Bundle as described in each of the separate Statement of Work documents. In the event of a conflict between the Attachment 2-A (</w:t>
      </w:r>
      <w:r>
        <w:rPr>
          <w:i/>
          <w:szCs w:val="22"/>
          <w:lang w:val="en-GB"/>
        </w:rPr>
        <w:t>Bundle Descriptions</w:t>
      </w:r>
      <w:r>
        <w:rPr>
          <w:szCs w:val="22"/>
          <w:lang w:val="en-GB"/>
        </w:rPr>
        <w:t>) and any of the Exhibits and/or their Attachments, the latter shall prevail.</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shall provide the Services to EuroBank through a three-tiered approach as illustrated below:</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With many of the functions and responsibilities defined in this Exhibit it is recognized that certain of the requirements may need to be executed by, or could be the responsibility of one or more of the Other PST Suppliers.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Where this is the case then it must  be indicated and stated  in the OLA’s , stating in which Bundle the activity will be executed and define any co-ordination and/or monitoring requirements. With respect to the SOW’s the PST Supplier will work within the agreed contractual framework  under the overall control of the 2IM, but taking proactive management responsibility where required.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structure of the Services organisation relies on effective and cooperative operational relationships between EuroBank, the 2IM and the PST Supplier, as detailed mainly in Exhibits 2.1 to Exhibit 2.7 inclusive (i.e. including this Exhibit) and the OLAs. The overlap, or “Touch Points”, between EuroBank, the 2IM and the PST Supplier is defined in this Statement of Work (‘SOW’).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Notwithstanding that certain of the requirements defined in this and other exhibits may need to be executed by multiple PST Suppliers, which will be refined in the OLAs, the primary responsibilities of each PST Supplier for the respective Bundles are shown below;</w:t>
      </w:r>
    </w:p>
    <w:p>
      <w:pPr>
        <w:pStyle w:val="Normal"/>
        <w:spacing w:before="0" w:after="0"/>
        <w:jc w:val="both"/>
        <w:rPr>
          <w:szCs w:val="22"/>
          <w:lang w:val="en-GB"/>
        </w:rPr>
      </w:pPr>
      <w:r>
        <w:rPr>
          <w:szCs w:val="22"/>
          <w:lang w:val="en-GB"/>
        </w:rPr>
      </w:r>
    </w:p>
    <w:tbl>
      <w:tblPr>
        <w:tblW w:w="9108" w:type="dxa"/>
        <w:jc w:val="start"/>
        <w:tblInd w:w="0" w:type="dxa"/>
        <w:tblLayout w:type="fixed"/>
        <w:tblCellMar>
          <w:top w:w="0" w:type="dxa"/>
          <w:start w:w="108" w:type="dxa"/>
          <w:bottom w:w="0" w:type="dxa"/>
          <w:end w:w="108" w:type="dxa"/>
        </w:tblCellMar>
      </w:tblPr>
      <w:tblGrid>
        <w:gridCol w:w="1008"/>
        <w:gridCol w:w="1080"/>
        <w:gridCol w:w="1080"/>
        <w:gridCol w:w="900"/>
        <w:gridCol w:w="1080"/>
        <w:gridCol w:w="1080"/>
        <w:gridCol w:w="1080"/>
        <w:gridCol w:w="900"/>
        <w:gridCol w:w="900"/>
      </w:tblGrid>
      <w:tr>
        <w:trPr/>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2.1</w:t>
            </w:r>
          </w:p>
          <w:p>
            <w:pPr>
              <w:pStyle w:val="Normal"/>
              <w:spacing w:before="120" w:after="120"/>
              <w:jc w:val="center"/>
              <w:rPr>
                <w:sz w:val="18"/>
                <w:szCs w:val="18"/>
              </w:rPr>
            </w:pPr>
            <w:r>
              <w:rPr>
                <w:sz w:val="18"/>
                <w:szCs w:val="18"/>
              </w:rPr>
              <w:t>(End User Computing – exc. UIS)</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2.1</w:t>
            </w:r>
          </w:p>
          <w:p>
            <w:pPr>
              <w:pStyle w:val="Normal"/>
              <w:spacing w:before="120" w:after="120"/>
              <w:jc w:val="center"/>
              <w:rPr>
                <w:sz w:val="18"/>
                <w:szCs w:val="18"/>
              </w:rPr>
            </w:pPr>
            <w:r>
              <w:rPr>
                <w:sz w:val="18"/>
                <w:szCs w:val="18"/>
              </w:rPr>
              <w:t>(End User Computing –UIS only)</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2.2</w:t>
            </w:r>
          </w:p>
          <w:p>
            <w:pPr>
              <w:pStyle w:val="Normal"/>
              <w:spacing w:before="120" w:after="120"/>
              <w:jc w:val="center"/>
              <w:rPr>
                <w:sz w:val="18"/>
                <w:szCs w:val="18"/>
              </w:rPr>
            </w:pPr>
            <w:r>
              <w:rPr>
                <w:sz w:val="18"/>
                <w:szCs w:val="18"/>
              </w:rPr>
              <w:t>(Service Desk)</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2.3</w:t>
            </w:r>
          </w:p>
          <w:p>
            <w:pPr>
              <w:pStyle w:val="Normal"/>
              <w:spacing w:before="120" w:after="120"/>
              <w:jc w:val="center"/>
              <w:rPr>
                <w:sz w:val="18"/>
                <w:szCs w:val="18"/>
              </w:rPr>
            </w:pPr>
            <w:r>
              <w:rPr>
                <w:sz w:val="18"/>
                <w:szCs w:val="18"/>
              </w:rPr>
              <w:t>(Network Services)</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2.4</w:t>
            </w:r>
          </w:p>
          <w:p>
            <w:pPr>
              <w:pStyle w:val="Normal"/>
              <w:spacing w:before="120" w:after="120"/>
              <w:jc w:val="center"/>
              <w:rPr>
                <w:sz w:val="18"/>
                <w:szCs w:val="18"/>
              </w:rPr>
            </w:pPr>
            <w:r>
              <w:rPr>
                <w:sz w:val="18"/>
                <w:szCs w:val="18"/>
              </w:rPr>
              <w:t>(Managed Voice Services)</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2.5</w:t>
            </w:r>
          </w:p>
          <w:p>
            <w:pPr>
              <w:pStyle w:val="Normal"/>
              <w:spacing w:before="120" w:after="120"/>
              <w:jc w:val="center"/>
              <w:rPr>
                <w:sz w:val="18"/>
                <w:szCs w:val="18"/>
              </w:rPr>
            </w:pPr>
            <w:r>
              <w:rPr>
                <w:sz w:val="18"/>
                <w:szCs w:val="18"/>
              </w:rPr>
              <w:t>(Desktop Hardware)</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2.6</w:t>
            </w:r>
          </w:p>
          <w:p>
            <w:pPr>
              <w:pStyle w:val="Normal"/>
              <w:spacing w:before="120" w:after="120"/>
              <w:jc w:val="center"/>
              <w:rPr>
                <w:sz w:val="18"/>
                <w:szCs w:val="18"/>
              </w:rPr>
            </w:pPr>
            <w:r>
              <w:rPr>
                <w:sz w:val="18"/>
                <w:szCs w:val="18"/>
              </w:rPr>
              <w:t>(Server Management)</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2.7</w:t>
            </w:r>
          </w:p>
          <w:p>
            <w:pPr>
              <w:pStyle w:val="Normal"/>
              <w:spacing w:before="120" w:after="120"/>
              <w:jc w:val="center"/>
              <w:rPr>
                <w:sz w:val="18"/>
                <w:szCs w:val="18"/>
              </w:rPr>
            </w:pPr>
            <w:r>
              <w:rPr>
                <w:sz w:val="18"/>
                <w:szCs w:val="18"/>
              </w:rPr>
              <w:t>(2IM Services)</w:t>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sz w:val="18"/>
                <w:szCs w:val="18"/>
              </w:rPr>
              <w:t>PST Supplier 1</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AR</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AR</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pPr>
            <w:r>
              <w:rPr>
                <w:sz w:val="18"/>
                <w:szCs w:val="18"/>
              </w:rPr>
              <w:t>CI</w:t>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sz w:val="18"/>
                <w:szCs w:val="18"/>
              </w:rPr>
              <w:t>PST Supplier 2</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AR</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AR</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AR</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pPr>
            <w:r>
              <w:rPr>
                <w:sz w:val="18"/>
                <w:szCs w:val="18"/>
              </w:rPr>
              <w:t>CI</w:t>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sz w:val="18"/>
                <w:szCs w:val="18"/>
              </w:rPr>
              <w:t>PST Supplier 3</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AR</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AR</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pPr>
            <w:r>
              <w:rPr>
                <w:sz w:val="18"/>
                <w:szCs w:val="18"/>
              </w:rPr>
              <w:t>CI</w:t>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
              <w:spacing w:before="120" w:after="120"/>
              <w:rPr>
                <w:sz w:val="18"/>
                <w:szCs w:val="18"/>
              </w:rPr>
            </w:pPr>
            <w:r>
              <w:rPr>
                <w:sz w:val="18"/>
                <w:szCs w:val="18"/>
              </w:rPr>
              <w:t>2IM</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108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CI</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18"/>
                <w:szCs w:val="18"/>
              </w:rPr>
            </w:pPr>
            <w:r>
              <w:rPr>
                <w:sz w:val="18"/>
                <w:szCs w:val="18"/>
              </w:rPr>
              <w:t>AR</w:t>
            </w:r>
          </w:p>
        </w:tc>
      </w:tr>
    </w:tbl>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current PST Suppliers associated with each bundle are listed in Attachment 2-A</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Responsibilities are defined as;</w:t>
      </w:r>
    </w:p>
    <w:p>
      <w:pPr>
        <w:pStyle w:val="Normal"/>
        <w:spacing w:before="0" w:after="0"/>
        <w:jc w:val="both"/>
        <w:rPr>
          <w:szCs w:val="22"/>
          <w:lang w:val="en-GB"/>
        </w:rPr>
      </w:pPr>
      <w:r>
        <w:rPr>
          <w:szCs w:val="22"/>
          <w:lang w:val="en-GB"/>
        </w:rPr>
      </w:r>
    </w:p>
    <w:tbl>
      <w:tblPr>
        <w:tblW w:w="8568" w:type="dxa"/>
        <w:jc w:val="start"/>
        <w:tblInd w:w="0" w:type="dxa"/>
        <w:tblLayout w:type="fixed"/>
        <w:tblCellMar>
          <w:top w:w="0" w:type="dxa"/>
          <w:start w:w="108" w:type="dxa"/>
          <w:bottom w:w="0" w:type="dxa"/>
          <w:end w:w="108" w:type="dxa"/>
        </w:tblCellMar>
      </w:tblPr>
      <w:tblGrid>
        <w:gridCol w:w="648"/>
        <w:gridCol w:w="2700"/>
        <w:gridCol w:w="2700"/>
        <w:gridCol w:w="2520"/>
      </w:tblGrid>
      <w:tr>
        <w:trPr>
          <w:trHeight w:val="720" w:hRule="atLeast"/>
        </w:trPr>
        <w:tc>
          <w:tcPr>
            <w:tcW w:w="648" w:type="dxa"/>
            <w:tcBorders/>
          </w:tcPr>
          <w:p>
            <w:pPr>
              <w:pStyle w:val="Normal"/>
              <w:widowControl/>
              <w:bidi w:val="0"/>
              <w:spacing w:before="120" w:after="120"/>
              <w:rPr/>
            </w:pPr>
            <w:r>
              <w:rPr/>
              <w:t>R</w:t>
            </w:r>
          </w:p>
        </w:tc>
        <w:tc>
          <w:tcPr>
            <w:tcW w:w="2700" w:type="dxa"/>
            <w:tcBorders/>
          </w:tcPr>
          <w:p>
            <w:pPr>
              <w:pStyle w:val="Normal"/>
              <w:widowControl/>
              <w:bidi w:val="0"/>
              <w:spacing w:before="120" w:after="120"/>
              <w:rPr/>
            </w:pPr>
            <w:r>
              <w:rPr>
                <w:lang w:val="en-GB"/>
              </w:rPr>
              <w:t xml:space="preserve"> </w:t>
            </w:r>
            <w:r>
              <w:rPr>
                <w:i/>
                <w:iCs/>
                <w:lang w:val="en-GB"/>
              </w:rPr>
              <w:t>Primary delivery capability</w:t>
            </w:r>
          </w:p>
        </w:tc>
        <w:tc>
          <w:tcPr>
            <w:tcW w:w="2700" w:type="dxa"/>
            <w:tcBorders/>
          </w:tcPr>
          <w:p>
            <w:pPr>
              <w:pStyle w:val="Normal"/>
              <w:spacing w:before="120" w:after="120"/>
              <w:rPr>
                <w:lang w:val="en-GB"/>
              </w:rPr>
            </w:pPr>
            <w:r>
              <w:rPr>
                <w:lang w:val="en-GB"/>
              </w:rPr>
              <w:t>Responsible for performing the task.</w:t>
            </w:r>
          </w:p>
        </w:tc>
        <w:tc>
          <w:tcPr>
            <w:tcW w:w="2520" w:type="dxa"/>
            <w:tcBorders/>
          </w:tcPr>
          <w:p>
            <w:pPr>
              <w:pStyle w:val="Normal"/>
              <w:spacing w:before="120" w:after="120"/>
              <w:rPr>
                <w:lang w:val="en-GB"/>
              </w:rPr>
            </w:pPr>
            <w:r>
              <w:rPr>
                <w:lang w:val="en-GB"/>
              </w:rPr>
              <w:t>Can have multiple R but level of responsibility indicated by A</w:t>
            </w:r>
          </w:p>
        </w:tc>
      </w:tr>
      <w:tr>
        <w:trPr>
          <w:trHeight w:val="720" w:hRule="atLeast"/>
        </w:trPr>
        <w:tc>
          <w:tcPr>
            <w:tcW w:w="648" w:type="dxa"/>
            <w:tcBorders/>
          </w:tcPr>
          <w:p>
            <w:pPr>
              <w:pStyle w:val="Normal"/>
              <w:widowControl/>
              <w:bidi w:val="0"/>
              <w:spacing w:before="120" w:after="120"/>
              <w:rPr/>
            </w:pPr>
            <w:r>
              <w:rPr/>
              <w:t>A</w:t>
            </w:r>
          </w:p>
        </w:tc>
        <w:tc>
          <w:tcPr>
            <w:tcW w:w="2700" w:type="dxa"/>
            <w:tcBorders/>
          </w:tcPr>
          <w:p>
            <w:pPr>
              <w:pStyle w:val="Normal"/>
              <w:widowControl/>
              <w:bidi w:val="0"/>
              <w:spacing w:before="120" w:after="120"/>
              <w:rPr/>
            </w:pPr>
            <w:r>
              <w:rPr>
                <w:lang w:val="en-GB"/>
              </w:rPr>
              <w:t xml:space="preserve"> </w:t>
            </w:r>
            <w:r>
              <w:rPr>
                <w:i/>
                <w:iCs/>
                <w:lang w:val="en-GB"/>
              </w:rPr>
              <w:t>Buck stops here – yes/no authority</w:t>
            </w:r>
          </w:p>
        </w:tc>
        <w:tc>
          <w:tcPr>
            <w:tcW w:w="2700" w:type="dxa"/>
            <w:tcBorders/>
          </w:tcPr>
          <w:p>
            <w:pPr>
              <w:pStyle w:val="Normal"/>
              <w:spacing w:before="120" w:after="120"/>
              <w:rPr>
                <w:lang w:val="en-GB"/>
              </w:rPr>
            </w:pPr>
            <w:r>
              <w:rPr>
                <w:lang w:val="en-GB"/>
              </w:rPr>
              <w:t xml:space="preserve">Overall responsibility for the task.  </w:t>
            </w:r>
          </w:p>
        </w:tc>
        <w:tc>
          <w:tcPr>
            <w:tcW w:w="2520" w:type="dxa"/>
            <w:tcBorders/>
          </w:tcPr>
          <w:p>
            <w:pPr>
              <w:pStyle w:val="Normal"/>
              <w:spacing w:before="120" w:after="120"/>
              <w:rPr>
                <w:lang w:val="en-GB"/>
              </w:rPr>
            </w:pPr>
            <w:r>
              <w:rPr>
                <w:lang w:val="en-GB"/>
              </w:rPr>
              <w:t>Only one A per activity</w:t>
            </w:r>
          </w:p>
          <w:p>
            <w:pPr>
              <w:pStyle w:val="Normal"/>
              <w:spacing w:before="120" w:after="120"/>
              <w:rPr>
                <w:lang w:val="en-GB"/>
              </w:rPr>
            </w:pPr>
            <w:r>
              <w:rPr>
                <w:lang w:val="en-GB"/>
              </w:rPr>
            </w:r>
          </w:p>
        </w:tc>
      </w:tr>
      <w:tr>
        <w:trPr>
          <w:trHeight w:val="720" w:hRule="atLeast"/>
        </w:trPr>
        <w:tc>
          <w:tcPr>
            <w:tcW w:w="648" w:type="dxa"/>
            <w:tcBorders/>
          </w:tcPr>
          <w:p>
            <w:pPr>
              <w:pStyle w:val="Normal"/>
              <w:widowControl/>
              <w:bidi w:val="0"/>
              <w:spacing w:before="120" w:after="120"/>
              <w:rPr/>
            </w:pPr>
            <w:r>
              <w:rPr/>
              <w:t>C</w:t>
            </w:r>
          </w:p>
        </w:tc>
        <w:tc>
          <w:tcPr>
            <w:tcW w:w="2700" w:type="dxa"/>
            <w:tcBorders/>
          </w:tcPr>
          <w:p>
            <w:pPr>
              <w:pStyle w:val="Normal"/>
              <w:widowControl/>
              <w:bidi w:val="0"/>
              <w:spacing w:before="120" w:after="120"/>
              <w:rPr/>
            </w:pPr>
            <w:r>
              <w:rPr>
                <w:lang w:val="en-GB"/>
              </w:rPr>
              <w:t xml:space="preserve"> </w:t>
            </w:r>
            <w:r>
              <w:rPr>
                <w:i/>
                <w:iCs/>
                <w:lang w:val="en-GB"/>
              </w:rPr>
              <w:t>Kept in the loop – involved but no authority</w:t>
            </w:r>
          </w:p>
        </w:tc>
        <w:tc>
          <w:tcPr>
            <w:tcW w:w="2700" w:type="dxa"/>
            <w:tcBorders/>
          </w:tcPr>
          <w:p>
            <w:pPr>
              <w:pStyle w:val="Normal"/>
              <w:spacing w:before="120" w:after="120"/>
              <w:rPr>
                <w:lang w:val="en-GB"/>
              </w:rPr>
            </w:pPr>
            <w:r>
              <w:rPr>
                <w:lang w:val="en-GB"/>
              </w:rPr>
              <w:t>Provide input to help perform the task</w:t>
            </w:r>
          </w:p>
        </w:tc>
        <w:tc>
          <w:tcPr>
            <w:tcW w:w="2520" w:type="dxa"/>
            <w:tcBorders/>
          </w:tcPr>
          <w:p>
            <w:pPr>
              <w:pStyle w:val="Normal"/>
              <w:spacing w:before="120" w:after="120"/>
              <w:rPr>
                <w:lang w:val="en-GB"/>
              </w:rPr>
            </w:pPr>
            <w:r>
              <w:rPr>
                <w:lang w:val="en-GB"/>
              </w:rPr>
              <w:t>Can have multiple C</w:t>
            </w:r>
          </w:p>
          <w:p>
            <w:pPr>
              <w:pStyle w:val="Normal"/>
              <w:spacing w:before="120" w:after="120"/>
              <w:rPr>
                <w:lang w:val="en-GB"/>
              </w:rPr>
            </w:pPr>
            <w:r>
              <w:rPr>
                <w:lang w:val="en-GB"/>
              </w:rPr>
            </w:r>
          </w:p>
        </w:tc>
      </w:tr>
      <w:tr>
        <w:trPr>
          <w:trHeight w:val="720" w:hRule="atLeast"/>
        </w:trPr>
        <w:tc>
          <w:tcPr>
            <w:tcW w:w="648" w:type="dxa"/>
            <w:tcBorders/>
          </w:tcPr>
          <w:p>
            <w:pPr>
              <w:pStyle w:val="Normal"/>
              <w:widowControl/>
              <w:bidi w:val="0"/>
              <w:spacing w:before="120" w:after="120"/>
              <w:rPr/>
            </w:pPr>
            <w:r>
              <w:rPr/>
              <w:t>I</w:t>
            </w:r>
          </w:p>
        </w:tc>
        <w:tc>
          <w:tcPr>
            <w:tcW w:w="2700" w:type="dxa"/>
            <w:tcBorders/>
          </w:tcPr>
          <w:p>
            <w:pPr>
              <w:pStyle w:val="Normal"/>
              <w:spacing w:before="120" w:after="120"/>
              <w:rPr>
                <w:i/>
                <w:i/>
                <w:iCs/>
                <w:lang w:val="en-GB"/>
              </w:rPr>
            </w:pPr>
            <w:r>
              <w:rPr>
                <w:i/>
                <w:iCs/>
                <w:lang w:val="en-GB"/>
              </w:rPr>
              <w:t>Kept in the picture – needs to know progress or outcome</w:t>
            </w:r>
          </w:p>
        </w:tc>
        <w:tc>
          <w:tcPr>
            <w:tcW w:w="2700" w:type="dxa"/>
            <w:tcBorders/>
          </w:tcPr>
          <w:p>
            <w:pPr>
              <w:pStyle w:val="Normal"/>
              <w:spacing w:before="120" w:after="120"/>
              <w:rPr>
                <w:lang w:val="en-GB"/>
              </w:rPr>
            </w:pPr>
            <w:r>
              <w:rPr>
                <w:lang w:val="en-GB"/>
              </w:rPr>
              <w:t xml:space="preserve">A vested interest who should be kept informed.  </w:t>
            </w:r>
          </w:p>
        </w:tc>
        <w:tc>
          <w:tcPr>
            <w:tcW w:w="2520" w:type="dxa"/>
            <w:tcBorders/>
          </w:tcPr>
          <w:p>
            <w:pPr>
              <w:pStyle w:val="Normal"/>
              <w:spacing w:before="120" w:after="120"/>
              <w:rPr>
                <w:lang w:val="en-GB"/>
              </w:rPr>
            </w:pPr>
            <w:r>
              <w:rPr>
                <w:lang w:val="en-GB"/>
              </w:rPr>
              <w:t>Can have multiple I</w:t>
            </w:r>
          </w:p>
          <w:p>
            <w:pPr>
              <w:pStyle w:val="Normal"/>
              <w:spacing w:before="120" w:after="120"/>
              <w:rPr>
                <w:lang w:val="en-GB"/>
              </w:rPr>
            </w:pPr>
            <w:r>
              <w:rPr>
                <w:lang w:val="en-GB"/>
              </w:rPr>
            </w:r>
          </w:p>
        </w:tc>
      </w:tr>
    </w:tbl>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For the avoidance of doubt Exhibit 2.7 (</w:t>
      </w:r>
      <w:r>
        <w:rPr>
          <w:i/>
          <w:szCs w:val="22"/>
          <w:lang w:val="en-GB"/>
        </w:rPr>
        <w:t>2IM Services &amp; Governance</w:t>
      </w:r>
      <w:r>
        <w:rPr>
          <w:szCs w:val="22"/>
          <w:lang w:val="en-GB"/>
        </w:rPr>
        <w:t>) provides the definitive description of the 2IM role and associated processes.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Where Service Portal or Services Portal is mentioned, the following three areas of functionality are meant:</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w:t>
        <w:tab/>
      </w:r>
      <w:r>
        <w:rPr>
          <w:szCs w:val="22"/>
          <w:u w:val="single"/>
          <w:lang w:val="en-GB"/>
        </w:rPr>
        <w:t>User Self Service Functionality</w:t>
      </w:r>
      <w:r>
        <w:rPr>
          <w:szCs w:val="22"/>
          <w:lang w:val="en-GB"/>
        </w:rPr>
        <w:t>, containing:</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a.</w:t>
        <w:tab/>
        <w:t>Password self reset (via authorized path)</w:t>
      </w:r>
    </w:p>
    <w:p>
      <w:pPr>
        <w:pStyle w:val="Normal"/>
        <w:spacing w:before="0" w:after="0"/>
        <w:ind w:start="720" w:end="0"/>
        <w:jc w:val="both"/>
        <w:rPr>
          <w:szCs w:val="22"/>
          <w:lang w:val="en-GB"/>
        </w:rPr>
      </w:pPr>
      <w:r>
        <w:rPr>
          <w:szCs w:val="22"/>
          <w:lang w:val="en-GB"/>
        </w:rPr>
        <w:t>b.</w:t>
        <w:tab/>
        <w:t>Request software and/or hardware (authorization via workflow)</w:t>
      </w:r>
    </w:p>
    <w:p>
      <w:pPr>
        <w:pStyle w:val="Normal"/>
        <w:spacing w:before="0" w:after="0"/>
        <w:ind w:start="720" w:end="0"/>
        <w:jc w:val="both"/>
        <w:rPr>
          <w:szCs w:val="22"/>
          <w:lang w:val="en-GB"/>
        </w:rPr>
      </w:pPr>
      <w:r>
        <w:rPr>
          <w:szCs w:val="22"/>
          <w:lang w:val="en-GB"/>
        </w:rPr>
        <w:t>c.</w:t>
        <w:tab/>
        <w:t>Change personal details</w:t>
      </w:r>
    </w:p>
    <w:p>
      <w:pPr>
        <w:pStyle w:val="Normal"/>
        <w:spacing w:before="0" w:after="0"/>
        <w:ind w:start="720" w:end="0"/>
        <w:jc w:val="both"/>
        <w:rPr>
          <w:szCs w:val="22"/>
          <w:lang w:val="en-GB"/>
        </w:rPr>
      </w:pPr>
      <w:r>
        <w:rPr>
          <w:szCs w:val="22"/>
          <w:lang w:val="en-GB"/>
        </w:rPr>
        <w:t>d.</w:t>
        <w:tab/>
        <w:t>Emergency banner</w:t>
      </w:r>
    </w:p>
    <w:p>
      <w:pPr>
        <w:pStyle w:val="Normal"/>
        <w:spacing w:before="0" w:after="0"/>
        <w:ind w:start="720" w:end="0"/>
        <w:jc w:val="both"/>
        <w:rPr>
          <w:szCs w:val="22"/>
          <w:lang w:val="en-GB"/>
        </w:rPr>
      </w:pPr>
      <w:r>
        <w:rPr>
          <w:szCs w:val="22"/>
          <w:lang w:val="en-GB"/>
        </w:rPr>
        <w:t>e.</w:t>
        <w:tab/>
        <w:t>News articles and banner</w:t>
      </w:r>
    </w:p>
    <w:p>
      <w:pPr>
        <w:pStyle w:val="Normal"/>
        <w:spacing w:before="0" w:after="0"/>
        <w:ind w:start="720" w:end="0"/>
        <w:jc w:val="both"/>
        <w:rPr>
          <w:szCs w:val="22"/>
          <w:lang w:val="en-GB"/>
        </w:rPr>
      </w:pPr>
      <w:r>
        <w:rPr>
          <w:szCs w:val="22"/>
          <w:lang w:val="en-GB"/>
        </w:rPr>
        <w:t>f.</w:t>
        <w:tab/>
        <w:t>User manuals</w:t>
      </w:r>
    </w:p>
    <w:p>
      <w:pPr>
        <w:pStyle w:val="Normal"/>
        <w:spacing w:before="0" w:after="0"/>
        <w:ind w:start="720" w:end="0"/>
        <w:jc w:val="both"/>
        <w:rPr>
          <w:szCs w:val="22"/>
          <w:lang w:val="en-GB"/>
        </w:rPr>
      </w:pPr>
      <w:r>
        <w:rPr>
          <w:szCs w:val="22"/>
          <w:lang w:val="en-GB"/>
        </w:rPr>
        <w:t>g.</w:t>
        <w:tab/>
        <w:t>Contact information (telephone, email, etc)</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2.</w:t>
        <w:tab/>
      </w:r>
      <w:r>
        <w:rPr>
          <w:szCs w:val="22"/>
          <w:u w:val="single"/>
          <w:lang w:val="en-GB"/>
        </w:rPr>
        <w:t>Service Desk functionality</w:t>
      </w:r>
      <w:r>
        <w:rPr>
          <w:szCs w:val="22"/>
          <w:lang w:val="en-GB"/>
        </w:rPr>
        <w:t xml:space="preserve">, containing: </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a.</w:t>
        <w:tab/>
        <w:t>Incident handling: Enter, check status and modify trouble ticket</w:t>
      </w:r>
    </w:p>
    <w:p>
      <w:pPr>
        <w:pStyle w:val="Normal"/>
        <w:spacing w:before="0" w:after="0"/>
        <w:ind w:start="720" w:end="0"/>
        <w:jc w:val="both"/>
        <w:rPr>
          <w:szCs w:val="22"/>
          <w:lang w:val="en-GB"/>
        </w:rPr>
      </w:pPr>
      <w:r>
        <w:rPr>
          <w:szCs w:val="22"/>
          <w:lang w:val="en-GB"/>
        </w:rPr>
        <w:t>b.</w:t>
        <w:tab/>
        <w:t>Knowledge database, including frequently asked questions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3.</w:t>
        <w:tab/>
      </w:r>
      <w:r>
        <w:rPr>
          <w:szCs w:val="22"/>
          <w:u w:val="single"/>
          <w:lang w:val="en-GB"/>
        </w:rPr>
        <w:t>Service Management Functionality</w:t>
      </w:r>
      <w:r>
        <w:rPr>
          <w:szCs w:val="22"/>
          <w:lang w:val="en-GB"/>
        </w:rPr>
        <w:t>, containing:</w:t>
      </w:r>
    </w:p>
    <w:p>
      <w:pPr>
        <w:pStyle w:val="Normal"/>
        <w:spacing w:before="0" w:after="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a.</w:t>
        <w:tab/>
        <w:t>Access to common reporting on actual service performance metrics for each of the Bundles and each of the service items</w:t>
      </w:r>
    </w:p>
    <w:p>
      <w:pPr>
        <w:pStyle w:val="Normal"/>
        <w:spacing w:before="0" w:after="0"/>
        <w:ind w:hanging="720" w:start="1440" w:end="0"/>
        <w:jc w:val="both"/>
        <w:rPr>
          <w:szCs w:val="22"/>
          <w:lang w:val="en-GB"/>
        </w:rPr>
      </w:pPr>
      <w:r>
        <w:rPr>
          <w:szCs w:val="22"/>
          <w:lang w:val="en-GB"/>
        </w:rPr>
        <w:t>b.</w:t>
        <w:tab/>
        <w:t>Alerts towards 2IM for incidents / events tending to reach service level thresholds</w:t>
      </w:r>
    </w:p>
    <w:p>
      <w:pPr>
        <w:pStyle w:val="Normal"/>
        <w:spacing w:before="0" w:after="0"/>
        <w:ind w:hanging="720" w:start="1440" w:end="0"/>
        <w:jc w:val="both"/>
        <w:rPr>
          <w:szCs w:val="22"/>
          <w:lang w:val="en-GB"/>
        </w:rPr>
      </w:pPr>
      <w:r>
        <w:rPr>
          <w:szCs w:val="22"/>
          <w:lang w:val="en-GB"/>
        </w:rPr>
        <w:t>c.</w:t>
        <w:tab/>
        <w:t>Aggregation of service provision metrics according to the service reporting requirements</w:t>
      </w:r>
    </w:p>
    <w:p>
      <w:pPr>
        <w:pStyle w:val="Normal"/>
        <w:spacing w:before="0" w:after="0"/>
        <w:ind w:hanging="720" w:start="1440" w:end="0"/>
        <w:jc w:val="both"/>
        <w:rPr>
          <w:szCs w:val="22"/>
          <w:lang w:val="en-GB"/>
        </w:rPr>
      </w:pPr>
      <w:r>
        <w:rPr>
          <w:szCs w:val="22"/>
          <w:lang w:val="en-GB"/>
        </w:rPr>
        <w:t>d.</w:t>
        <w:tab/>
        <w:t>Central location to hold Service Level Agreement documents, service scope information, governance information</w:t>
      </w:r>
    </w:p>
    <w:p>
      <w:pPr>
        <w:pStyle w:val="Normal"/>
        <w:spacing w:before="0" w:after="0"/>
        <w:ind w:hanging="720" w:start="1440" w:end="0"/>
        <w:jc w:val="both"/>
        <w:rPr>
          <w:szCs w:val="22"/>
          <w:lang w:val="en-GB"/>
        </w:rPr>
      </w:pPr>
      <w:r>
        <w:rPr>
          <w:szCs w:val="22"/>
          <w:lang w:val="en-GB"/>
        </w:rPr>
        <w:t>e.</w:t>
        <w:tab/>
        <w:t xml:space="preserve">Publishing of the service diary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1</w:t>
        <w:tab/>
        <w:t>Service Management framework</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The agreements between the PST Suppliers internally (the OLA’s), this MSA and each of the  PST Supplier MSA’s with EuroBank are embedded in the operational framework as shown in the following diagram. The main elements of the framework are: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r>
      <w:r>
        <w:rPr>
          <w:szCs w:val="22"/>
        </w:rPr>
        <w:drawing>
          <wp:inline distT="0" distB="0" distL="0" distR="0">
            <wp:extent cx="4539615" cy="308610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8"/>
                    <a:srcRect l="-12" t="-12" r="-12" b="-12"/>
                    <a:stretch>
                      <a:fillRect/>
                    </a:stretch>
                  </pic:blipFill>
                  <pic:spPr bwMode="auto">
                    <a:xfrm>
                      <a:off x="0" y="0"/>
                      <a:ext cx="4539615" cy="308610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Service Management:</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 xml:space="preserve">Where relationship and contract management is performed, where the ‘Executive Steering Committee’ and the ‘Programme Management Office’ reside and where ‘demand surveys’ are executed. </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Service Integration:</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 xml:space="preserve">Where integration activities take place including planning activities for Business Continuity/Disaster Recovery, Capacity Management, (Major)Changes and Releases, Security Monitoring and Quality Management.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Management Steering Committee is responsible for the PST Suppliers meeting and managing Service Level Agreements (this includes Critical Service Levels, Key Measures, and the other measures and deliverables included in Attachments 3.A-C), Quality Assurance, Operations Monitoring and Reporting, Configuration, Assets, Licenses, Architecture and Processes, Procurement and Priority 1 Incidents. Transition is managed here and the activities necessary for Continuous Improvement are coordinated.</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Service Provision:</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Where all execution activities for Incidents, Problems, Changes (IMACs), Releases, Security, Software testing and distribution and Infrastructure maintenance are carried out. The Service Delivery Committee is responsible for the management of Availability, Facility and Equipment, Tools, Capacity and Service Reporting.</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different PST Suppliers will perform their specific operational tasks in accordance with ITIL processes  but overall will deliver a seamless service to EuroBank</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For storing of consumables and other EuroBank-related Equipment, the PST Supplier will use the existing lockable room/space for storage free of charge unless otherwise agreed.</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2</w:t>
        <w:tab/>
        <w:t>Shared information</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The PST Supplier shall apply the Operational Model in performing the Services.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r>
      <w:r>
        <w:rPr>
          <w:szCs w:val="22"/>
        </w:rPr>
        <w:drawing>
          <wp:inline distT="0" distB="0" distL="0" distR="0">
            <wp:extent cx="5066030" cy="267335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9"/>
                    <a:srcRect l="-4" t="-7" r="-4" b="-7"/>
                    <a:stretch>
                      <a:fillRect/>
                    </a:stretch>
                  </pic:blipFill>
                  <pic:spPr bwMode="auto">
                    <a:xfrm>
                      <a:off x="0" y="0"/>
                      <a:ext cx="5066030" cy="267335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In this model each of the PST Suppliers execute within their own standard operational environments, utilising their own systems of record to discharge their responsibilities. The PST’s operational data will be synchronised at the Service Desk and with the PST Repository.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Consolidated reporting will be performed by 2IM based on the information gathered in the PST Repository. The PST Supplier shall provide the basic data to the 2IM for this purpose. </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3</w:t>
        <w:tab/>
        <w:t>General Touch points</w:t>
      </w:r>
    </w:p>
    <w:p>
      <w:pPr>
        <w:pStyle w:val="Normal"/>
        <w:spacing w:before="0" w:after="0"/>
        <w:jc w:val="both"/>
        <w:rPr>
          <w:b/>
          <w:szCs w:val="22"/>
          <w:lang w:val="en-GB"/>
        </w:rPr>
      </w:pPr>
      <w:r>
        <w:rPr>
          <w:b/>
          <w:szCs w:val="22"/>
          <w:lang w:val="en-GB"/>
        </w:rPr>
      </w:r>
    </w:p>
    <w:p>
      <w:pPr>
        <w:pStyle w:val="Normal"/>
        <w:spacing w:before="0" w:after="0"/>
        <w:jc w:val="both"/>
        <w:rPr>
          <w:i/>
          <w:i/>
          <w:szCs w:val="22"/>
          <w:lang w:val="en-GB"/>
        </w:rPr>
      </w:pPr>
      <w:r>
        <w:rPr>
          <w:i/>
          <w:szCs w:val="22"/>
          <w:lang w:val="en-GB"/>
        </w:rPr>
        <w:t>Operational Coordination</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The Service Desk will act as a Single Point of Contact (SPOC) for the entire SWS Function including the Services. The Service Desk supplies two interfaces to the users, manual through the Helpdesk and automatic through the Service Portal. The Service Desk will own Incidents through to resolution and IMACs through to implementation, coordinating all PST Supplier activity across the PST Supplier.</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However, in the event that a ‘High Impact incident’ occurs, 2IM will be engaged and will take over responsibility for overseeing the appropriate remedial activities through to resolution and will communicate with detailed reporting to EuroBank and supplier parties. 2IM will, where appropriate, initiate the Problem Management Process. 2IM is the process owner for Problem Management while execution, largely, will take place within the PST Supplier. 2IM will coordinate and manage the production and execution of service improvement/problem resolution plans. </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Continuous Improvement</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The PST Supplier will deliver continuous improvement through Market Analysis and Research and Development activities. The Service Delivery Organisation will also identify opportunities for performance improvement and cost reduction through the comparison of its performance and processes with those of external organisations. Any resultant recommendations are reviewed as part of the Performance Management process, which includes EuroBank, and actions are prioritised, agreed and initiated.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Introduction of new technologies is done on the basis of the ‘Technical Innovation Plan’ that continuously looks over the next  t 24 months, and is subject to Technical Benchmarking within the PST Supplier The Technical Innovation Plan is maintained by 2IM, who reports the current status on a 6-12 month basis</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 xml:space="preserve">Service Catalogue </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 xml:space="preserve">The Service Catalogue will be agreed upon by the PST Supplier, 2IM and EuroBank and will identify all services available to the customer, and specify details of service characteristics. The available services will be described as ‘Standard Service Requests’ (SSRs).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PST Supplier shall present Aggregated Service Reporting to EuroBank and such reporting will also be used as input for the continuous improvement process. </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Service Tooling</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 xml:space="preserve">Both parties agree that they have specific tools necessary for the delivery of the SWS Function including the Services. The PST Supplier will interface with EuroBank's tooling where needed to deliver the SWS Function including the Services. EuroBank will support the PST Supplier, but only where essential, to interface with tooling for the provision of any out of scope services that the SWS Function is dependent on. </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4</w:t>
        <w:tab/>
        <w:t>Touch points with 2IM Service Management</w:t>
      </w:r>
    </w:p>
    <w:p>
      <w:pPr>
        <w:pStyle w:val="Normal"/>
        <w:spacing w:before="0" w:after="0"/>
        <w:jc w:val="both"/>
        <w:rPr>
          <w:b/>
          <w:szCs w:val="22"/>
          <w:lang w:val="en-GB"/>
        </w:rPr>
      </w:pPr>
      <w:r>
        <w:rPr>
          <w:b/>
          <w:szCs w:val="22"/>
          <w:lang w:val="en-GB"/>
        </w:rPr>
      </w:r>
    </w:p>
    <w:p>
      <w:pPr>
        <w:pStyle w:val="Normal"/>
        <w:spacing w:before="0" w:after="0"/>
        <w:jc w:val="both"/>
        <w:rPr>
          <w:i/>
          <w:i/>
          <w:szCs w:val="22"/>
          <w:lang w:val="en-GB"/>
        </w:rPr>
      </w:pPr>
      <w:r>
        <w:rPr>
          <w:i/>
          <w:szCs w:val="22"/>
          <w:lang w:val="en-GB"/>
        </w:rPr>
        <w:t>Service Management</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Service Management is responsible for the core processes which link customers and technologies, such as Problem Management.</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Service Level Management</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 xml:space="preserve">Service Level Management aligns the delivery of the Services with the MSA’s with EuroBank This is done by reviewing the output of the Service Delivery processes when needed, by initiating and completing improvement actions and by providing input for management processes. The PST Supplier and 2IM will closely work together in: </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SLA Management</w:t>
      </w:r>
    </w:p>
    <w:p>
      <w:pPr>
        <w:pStyle w:val="Normal"/>
        <w:spacing w:before="0" w:after="0"/>
        <w:jc w:val="both"/>
        <w:rPr>
          <w:i/>
          <w:i/>
          <w:szCs w:val="22"/>
          <w:lang w:val="en-GB"/>
        </w:rPr>
      </w:pPr>
      <w:r>
        <w:rPr>
          <w:i/>
          <w:szCs w:val="22"/>
          <w:lang w:val="en-GB"/>
        </w:rPr>
      </w:r>
    </w:p>
    <w:p>
      <w:pPr>
        <w:pStyle w:val="Normal"/>
        <w:spacing w:before="0" w:after="0"/>
        <w:jc w:val="both"/>
        <w:rPr/>
      </w:pPr>
      <w:r>
        <w:rPr>
          <w:szCs w:val="22"/>
          <w:lang w:val="en-GB"/>
        </w:rPr>
        <w:t>SLA Management is the management of Service Level Agreements (SLAs – this includes Critical Service Levels, Key Measures, and the other measures and deliverables included in Attachments 3 A-C ) and their associated OLAs and underpinning contracts. 2IM is responsible for the reporting of the Service Level performance between the PST Suppliers and EuroBank. and also between the PST Suppliers.</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Demand Management</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 xml:space="preserve">The ‘Business Demand Plan’ will give a single view of work in the pipeline i.e. committed, provisionally committed, and forecast. The plan will be produced on an annual basis in line with planning and budgeting, however the plan is updated on a regular basis during the year. The Demand Management process will drive supply-planning processes – i.e. Capacity Planning and HR Planning.  </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Relationship Management</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Relationship Management ensures that Service Delivery has a full understanding of its clients’ needs, perceptions and expectations of IT Services.</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Business Continuity and Disaster Recovery Services</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Infrastructure Changes will be assessed for their potential impact on the continuity plans. The Service Desk will have a coordination role where the business continuity process is invoked.</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Capacity Management</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Capacity Management is directly related to the business requirements and involved in Incident resolution and Problem Identification for those difficulties relating to capacity issues.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Capacity Management activities will raise Requests for Change (RFCs). Capacity Management is involved in evaluating all Changes, to establish the effect on capacity and performance. </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Availability management</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All measures of performance including SLA reports etc. are used to co-ordinate an integrated approach towards availability of the services.</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Governance</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As shown in the Service Management Model, the Governance Model is based upon three key structures:</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 xml:space="preserve">The Executive Steering Committee (ESC): Promotes and manages commitment to the overall service mission and vision , discusses escalated issues and risks, prioritises key improvement initiatives and approves any proposed amendment or modification to the terms of the MSA Participants are EuroBank IT Infra, Business customers within EuroBank, 2IM and the PST Supplier depending on the detailed agenda. </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The Management Committee: Manages all ongoing service issues and risks, manages service performance, manages continuous improvement initiatives and hosts the Change Advisory Board (CAB). Participants are the responsible managers of EuroBank, 2IM and the PST Supplier.</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The Service Delivery Committee: Reviews service delivery, performance and quality, manages day-to-day service operations unit activities through a demand/capacity process, identifies continuous improvement opportunities and manages issues and risks in a timely manner. This board is the lowest level of governance. Participants are EuroBank, 2IM and the responsible group leads of the PST Supplier.</w:t>
      </w:r>
      <w:r>
        <w:rPr>
          <w:szCs w:val="22"/>
          <w:lang w:val="en-GB"/>
        </w:rPr>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Quality Assurance</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2IM will, together with the PST Supplier, maintain predefined Quality Standards for 2IM and the PST Supplier and compliancy with certification standards. 2IM will conduct the Internal Quality Management System Audit and support EuroBank in External Quality Management System Audit, at least annually or following the relevant Certification Body’s recognised schedule.</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Effective use of Equipment &amp; Software</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The PST Supplier will use the ‘Capacity Management’ process to ensure effective sourcing of hardware and software.</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5</w:t>
        <w:tab/>
        <w:t>Touch Points with 2IM Service Support</w:t>
      </w:r>
    </w:p>
    <w:p>
      <w:pPr>
        <w:pStyle w:val="Normal"/>
        <w:spacing w:before="0" w:after="0"/>
        <w:jc w:val="both"/>
        <w:rPr>
          <w:b/>
          <w:szCs w:val="22"/>
          <w:lang w:val="en-GB"/>
        </w:rPr>
      </w:pPr>
      <w:r>
        <w:rPr>
          <w:b/>
          <w:szCs w:val="22"/>
          <w:lang w:val="en-GB"/>
        </w:rPr>
      </w:r>
    </w:p>
    <w:p>
      <w:pPr>
        <w:pStyle w:val="Normal"/>
        <w:spacing w:before="0" w:after="0"/>
        <w:jc w:val="both"/>
        <w:rPr>
          <w:i/>
          <w:i/>
          <w:szCs w:val="22"/>
          <w:lang w:val="en-GB"/>
        </w:rPr>
      </w:pPr>
      <w:r>
        <w:rPr>
          <w:i/>
          <w:szCs w:val="22"/>
          <w:lang w:val="en-GB"/>
        </w:rPr>
        <w:t>Release Management</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Release procedures will be an integral part of Incident Management and Problem Management, as well as being closely linked to CMDB. For major software releases, large scale hardware upgrades, service level changes and new service the ‘Service Introduction’ process will be used.</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Configuration Management</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The CMDB will contain hardware, networks, system software, application software and references to procedures and documentation. The PST Supplier will provide reports about the content of the Configuration Management system(s), CMDBs that are aggregated to infrastructure content lists.</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Asset Inventory &amp; Management</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 xml:space="preserve">PST Supplier will feed asset information, including ownership and location, into an Asset Management system. Part of this data will have to be provided by EuroBank. Reports on the content will be available to the PST Supplier, 2IM and EuroBank.   </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Licences Management &amp; Compliance</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The Configuration Management process will generate and calculate numbers and types of existing hardware and software in the context of the agreements that exist between EuroBank, PST Supplier and third parties. In this way compliancy will be analyzed and reported to EuroBank.</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Procurement Services</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 xml:space="preserve">At the Service Desk the Service Catalogue is used for ordering purposes. Based on the procurement rules  all information necessary for proper administration will be registered. </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Facilities</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The PST Supplier and 2IM will work together to ensure good service support to Facilities and will co-operate in matters of common concern.</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Training</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 xml:space="preserve">The PST Supplier and 2IM are responsible for the effective use of training and educational materials and facilities, in the language required, where reasonably agreed. Changes in the provision of (or parts of) a service will often be accompanied with new documentation. The PST Supplier shall make such documentation material available in a timely manner and to all parties involved. </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6</w:t>
        <w:tab/>
        <w:t>Other 2IM Touch Points</w:t>
      </w:r>
    </w:p>
    <w:p>
      <w:pPr>
        <w:pStyle w:val="Normal"/>
        <w:spacing w:before="0" w:after="0"/>
        <w:jc w:val="both"/>
        <w:rPr>
          <w:b/>
          <w:szCs w:val="22"/>
          <w:lang w:val="en-GB"/>
        </w:rPr>
      </w:pPr>
      <w:r>
        <w:rPr>
          <w:b/>
          <w:szCs w:val="22"/>
          <w:lang w:val="en-GB"/>
        </w:rPr>
      </w:r>
    </w:p>
    <w:p>
      <w:pPr>
        <w:pStyle w:val="Normal"/>
        <w:spacing w:before="0" w:after="0"/>
        <w:jc w:val="both"/>
        <w:rPr>
          <w:i/>
          <w:i/>
          <w:szCs w:val="22"/>
          <w:lang w:val="en-GB"/>
        </w:rPr>
      </w:pPr>
      <w:r>
        <w:rPr>
          <w:i/>
          <w:szCs w:val="22"/>
          <w:lang w:val="en-GB"/>
        </w:rPr>
        <w:t>Integration Management Tools</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As shown in the Operational Model all relevant information is synchronised and replicated to the individual master systems of the PST Supplier and the Other PST Suppliers. Availability of these systems is indirectly controlled through Service Level and Performance Reporting accordingly.</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Infra- and Architecture support</w:t>
      </w:r>
    </w:p>
    <w:p>
      <w:pPr>
        <w:pStyle w:val="Normal"/>
        <w:spacing w:before="0" w:after="0"/>
        <w:jc w:val="both"/>
        <w:rPr>
          <w:i/>
          <w:i/>
          <w:szCs w:val="22"/>
          <w:lang w:val="en-GB"/>
        </w:rPr>
      </w:pPr>
      <w:r>
        <w:rPr>
          <w:i/>
          <w:szCs w:val="22"/>
          <w:lang w:val="en-GB"/>
        </w:rPr>
      </w:r>
    </w:p>
    <w:p>
      <w:pPr>
        <w:pStyle w:val="Normal"/>
        <w:spacing w:before="0" w:after="0"/>
        <w:jc w:val="both"/>
        <w:rPr/>
      </w:pPr>
      <w:r>
        <w:rPr>
          <w:szCs w:val="22"/>
          <w:lang w:val="en-GB"/>
        </w:rPr>
        <w:t>The PST Supplier will deliver a yearly revised Infrastructure Strategy document with a 2-3 year horizon which is aligned with the Business Unit and Corporate plans of EuroBank. This is dependent on sufficient analysis of these Business Unit and Corporate plans of EuroBank by EuroBank to identify the relevant business requirements, which will enable the PST Supplier to define the subsequent technology implications.</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General Security Management</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2IM, in co-operation with the PST Supplier and EuroBank where required, ensures the implementation of new and amended security policies and standards (utilising the change control process where required) awareness of existing and new security policies and standards and that the Service Delivery Organisation is compliant with the Policies.</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Operations monitoring</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Incident monitoring is responsible for monitoring all Incidents in scope. Incident statuses are communicated between the PST Supplier and the Service Desk. Reports will be presented to 2IM and EuroBank on service Incidents according to agreed reports and to the PST Supplier, 2IM and EuroBank on Incident performance of the PST Supplier.</w:t>
      </w:r>
    </w:p>
    <w:p>
      <w:pPr>
        <w:pStyle w:val="Heading2Numbered"/>
        <w:numPr>
          <w:ilvl w:val="1"/>
          <w:numId w:val="2"/>
        </w:numPr>
        <w:ind w:hanging="0" w:start="0"/>
        <w:rPr>
          <w:sz w:val="22"/>
          <w:szCs w:val="22"/>
          <w:lang w:val="en-GB"/>
        </w:rPr>
      </w:pPr>
      <w:bookmarkStart w:id="2" w:name="__RefHeading___Toc148668801"/>
      <w:bookmarkEnd w:id="2"/>
      <w:r>
        <w:rPr>
          <w:sz w:val="22"/>
          <w:szCs w:val="22"/>
          <w:lang w:val="en-GB"/>
        </w:rPr>
        <w:t>SITES</w:t>
      </w:r>
    </w:p>
    <w:p>
      <w:pPr>
        <w:pStyle w:val="Normal"/>
        <w:spacing w:before="0" w:after="0"/>
        <w:ind w:hanging="720" w:start="720" w:end="0"/>
        <w:jc w:val="both"/>
        <w:rPr/>
      </w:pPr>
      <w:r>
        <w:rPr>
          <w:szCs w:val="22"/>
          <w:lang w:val="en-GB"/>
        </w:rPr>
        <w:t>a)</w:t>
        <w:tab/>
        <w:t>The Services described in this SOW shall include Software and Equipment listed in Exhibit 10 and 11 located at all Sites listed in Exhibit 7 (</w:t>
      </w:r>
      <w:r>
        <w:rPr>
          <w:i/>
          <w:szCs w:val="22"/>
          <w:lang w:val="en-GB"/>
        </w:rPr>
        <w:t>Sites &amp; Local Entities</w:t>
      </w:r>
      <w:r>
        <w:rPr>
          <w:szCs w:val="22"/>
          <w:lang w:val="en-GB"/>
        </w:rPr>
        <w:t>) and such additional Sites that may be added throughout the Term via the Change Control procedure.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 xml:space="preserve">EuroBank is a global enterprise and the PST Supplier will work with the 2IM to support EuroBank at all Sites listed in Exhibit 7 (Sites &amp; Local Entities) in accordance with the Service Window. </w:t>
      </w:r>
      <w:r>
        <w:rPr>
          <w:i/>
          <w:szCs w:val="22"/>
          <w:lang w:val="en-GB"/>
        </w:rPr>
      </w:r>
      <w:bookmarkStart w:id="3" w:name="OLE_LINK2"/>
      <w:bookmarkStart w:id="4" w:name="OLE_LINK1"/>
      <w:r>
        <w:rPr>
          <w:i/>
          <w:szCs w:val="22"/>
          <w:lang w:val="en-GB"/>
        </w:rPr>
      </w:r>
      <w:bookmarkEnd w:id="3"/>
      <w:bookmarkEnd w:id="4"/>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The PST Supplier will work with the 2IM to support EuroBank’s operations, where necessary, outside of these primary hours to support urgent requests, within the scope of the Services, and other commitments as agreed to by all parties.</w:t>
      </w:r>
    </w:p>
    <w:p>
      <w:pPr>
        <w:pStyle w:val="Heading2Numbered"/>
        <w:numPr>
          <w:ilvl w:val="1"/>
          <w:numId w:val="2"/>
        </w:numPr>
        <w:ind w:hanging="0" w:start="0"/>
        <w:rPr>
          <w:sz w:val="22"/>
          <w:szCs w:val="22"/>
          <w:lang w:val="en-GB"/>
        </w:rPr>
      </w:pPr>
      <w:bookmarkStart w:id="5" w:name="__RefHeading___Toc148668802"/>
      <w:bookmarkEnd w:id="5"/>
      <w:r>
        <w:rPr>
          <w:sz w:val="22"/>
          <w:szCs w:val="22"/>
          <w:lang w:val="en-GB"/>
        </w:rPr>
        <w:t>SCOPE OF SERVICES</w:t>
      </w:r>
    </w:p>
    <w:p>
      <w:pPr>
        <w:pStyle w:val="Normal"/>
        <w:spacing w:before="0" w:after="0"/>
        <w:jc w:val="both"/>
        <w:rPr>
          <w:szCs w:val="22"/>
          <w:lang w:val="en-GB"/>
        </w:rPr>
      </w:pPr>
      <w:r>
        <w:rPr>
          <w:szCs w:val="22"/>
          <w:lang w:val="en-GB"/>
        </w:rPr>
        <w:t>Local support as defined in the SOW’s is provided in the Netherlands and Belgium. Further local support can be added through Change Control</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The PST Supplier shall manage and perform the relevant Services in accordance with the terms of the MSA, including the SOW.</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The PST Supplier shall provide EuroBank the Services, functions and responsibilities set forth explicitly in this SOW and implicitly where effort is required to fully support the activities of the other SOWs. The PST Supplier shall provide the Services in accordance with the applicable Service Levels as described in Exhibits 3 and its’ accompanying attachments A - 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The PST Supplier is responsible for the management, execution, coordination, tracking, and reporting of all relevant activities. This shall occur within each Bundle unless specifically dictated otherwise by circumstances prevailing at the time. Where circumstances dictate a much wider reach of activities, for an extended period of time, this must only be undertaken in agreement with the 2IM and EuroBank. These responsibilities embrace eight general areas: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Ensure the effective and consistent internal Bundle management of the daily operations to deliver the Services.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 xml:space="preserve">Ensure the effective and consistent internal Bundle management of any projects and programs that may need to be delivered.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 xml:space="preserve">Ensure that Technical Architecture and Standards are adhered to within the Bundle in a consistent manner.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Ensure the consistent compliance with the Policies within the Bundle.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Manage all and any tools required to perform and report on the Services.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Ensure that continuous improvement targets within the Bundle are met.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w:t>
        <w:tab/>
        <w:t>Ensure that the appropriate interfaces that are required to run the SWS Function for EuroBank are in place and managed under the control of the 2IM.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viii)</w:t>
        <w:tab/>
        <w:t>Transfer agreed knowledge to the EuroBank retained organisation.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d)</w:t>
        <w:tab/>
        <w:t>The PST Supplier will be required to cooperate with groups, internal and external, working on ongoing IT related projects and will leverage the results of any recently completed projects. The PST Supplier will assist the 2IM to help document these results so they can be delivered to the relevant Governance bodies specified in Exhibit 2.7 (2IM Services &amp; Governance). Additionally, under the guidance of the 2IM, the PST Supplier will work with existing project teams - as identified by EuroBank - and analyze results from the various infrastructure-related projects as identified in Exhibit 9 (In-Flight Projects).</w:t>
      </w:r>
      <w:r>
        <w:rPr>
          <w:i/>
          <w:szCs w:val="22"/>
          <w:lang w:val="en-GB"/>
        </w:rPr>
      </w:r>
      <w:r>
        <w:rPr>
          <w:szCs w:val="22"/>
          <w:lang w:val="en-GB"/>
        </w:rPr>
      </w:r>
      <w:r>
        <w:rPr>
          <w:i/>
          <w:szCs w:val="22"/>
          <w:lang w:val="en-GB"/>
        </w:rPr>
      </w:r>
      <w:r>
        <w:rPr>
          <w:szCs w:val="22"/>
          <w:lang w:val="en-GB"/>
        </w:rPr>
      </w:r>
    </w:p>
    <w:p>
      <w:pPr>
        <w:pStyle w:val="Heading2Numbered"/>
        <w:numPr>
          <w:ilvl w:val="1"/>
          <w:numId w:val="2"/>
        </w:numPr>
        <w:ind w:hanging="0" w:start="0"/>
        <w:rPr>
          <w:sz w:val="22"/>
          <w:szCs w:val="22"/>
          <w:lang w:val="en-GB"/>
        </w:rPr>
      </w:pPr>
      <w:bookmarkStart w:id="6" w:name="__RefHeading___Toc148668803"/>
      <w:bookmarkEnd w:id="6"/>
      <w:r>
        <w:rPr>
          <w:sz w:val="22"/>
          <w:szCs w:val="22"/>
          <w:lang w:val="en-GB"/>
        </w:rPr>
        <w:t>METHODOLOGIES, TOOLS, AND PRACTICES</w:t>
      </w:r>
    </w:p>
    <w:p>
      <w:pPr>
        <w:pStyle w:val="Normal"/>
        <w:spacing w:before="0" w:after="0"/>
        <w:ind w:hanging="720" w:start="720" w:end="0"/>
        <w:jc w:val="both"/>
        <w:rPr>
          <w:szCs w:val="22"/>
          <w:lang w:val="en-GB"/>
        </w:rPr>
      </w:pPr>
      <w:r>
        <w:rPr>
          <w:szCs w:val="22"/>
          <w:lang w:val="en-GB"/>
        </w:rPr>
        <w:t>a)</w:t>
        <w:tab/>
        <w:t>The PST Supplier will perform the Services within structured management methodologies (based on industry standards e.g. ITIL, CMMI) , will develop and utilize, where necessary, automated software tools including all interfaces to EuroBank systems, including tools service monitoring, and will employ best practices in performing all SOW requirements – this will be undertaken within the management and process control of the 2IM. Tools may be developed and operated by the PST Supplier throughout the term of the contract. The selection of tools will be made with the full participation and agreement of the 2IM and EuroBank. At expiration or termination of the MSA PST Supplier shall deliver the tools for which continued licenses are agreed to be provided after the Term of the MSA as agreed in the body of the MSA in good working condition, along with all data in human readable format, and any EuroBank specifically designed interfaces to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The PST Supplier will use appropriate processes and templates for self-assessments – as defined by the 2IM and approved by EuroBank - and for independent audits, including checklists, instructions and any supporting documentation.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The PST Supplier will be assisted by the 2IM in determining the required skill sets needed to perform all requirements of the Services. Resources that have the necessary skills will be supplied by the PST Supplier as needed to support these activities.</w:t>
      </w:r>
    </w:p>
    <w:p>
      <w:pPr>
        <w:pStyle w:val="Normal"/>
        <w:spacing w:before="0" w:after="0"/>
        <w:ind w:start="720" w:end="0"/>
        <w:jc w:val="both"/>
        <w:rPr>
          <w:szCs w:val="22"/>
          <w:lang w:val="en-GB"/>
        </w:rPr>
      </w:pPr>
      <w:r>
        <w:rPr>
          <w:szCs w:val="22"/>
          <w:lang w:val="en-GB"/>
        </w:rPr>
      </w:r>
    </w:p>
    <w:p>
      <w:pPr>
        <w:pStyle w:val="Heading1Numbered"/>
        <w:numPr>
          <w:ilvl w:val="0"/>
          <w:numId w:val="2"/>
        </w:numPr>
        <w:ind w:hanging="0" w:start="0"/>
        <w:rPr>
          <w:sz w:val="22"/>
          <w:szCs w:val="22"/>
          <w:lang w:val="en-GB"/>
        </w:rPr>
      </w:pPr>
      <w:bookmarkStart w:id="7" w:name="__RefHeading___Toc148668804"/>
      <w:bookmarkEnd w:id="7"/>
      <w:r>
        <w:rPr>
          <w:sz w:val="22"/>
          <w:szCs w:val="22"/>
          <w:lang w:val="en-GB"/>
        </w:rPr>
        <w:t>TOUCH POINTS WITH 2IM SERVICE MANAGEMENT</w:t>
      </w:r>
    </w:p>
    <w:p>
      <w:pPr>
        <w:pStyle w:val="Normal"/>
        <w:spacing w:before="0" w:after="0"/>
        <w:jc w:val="both"/>
        <w:rPr>
          <w:szCs w:val="22"/>
          <w:lang w:val="en-GB"/>
        </w:rPr>
      </w:pPr>
      <w:r>
        <w:rPr>
          <w:szCs w:val="22"/>
          <w:lang w:val="en-GB"/>
        </w:rPr>
        <w:t xml:space="preserve">This section highlights the key Touch Points that exist between the 2IM and PST Supplier with regard to Integrator Service Management.  </w:t>
      </w:r>
    </w:p>
    <w:p>
      <w:pPr>
        <w:pStyle w:val="Heading2Numbered"/>
        <w:numPr>
          <w:ilvl w:val="1"/>
          <w:numId w:val="2"/>
        </w:numPr>
        <w:ind w:hanging="0" w:start="0"/>
        <w:rPr>
          <w:sz w:val="22"/>
          <w:szCs w:val="22"/>
          <w:lang w:val="en-GB"/>
        </w:rPr>
      </w:pPr>
      <w:bookmarkStart w:id="8" w:name="__RefHeading___Toc148668805"/>
      <w:bookmarkEnd w:id="8"/>
      <w:r>
        <w:rPr>
          <w:sz w:val="22"/>
          <w:szCs w:val="22"/>
          <w:lang w:val="en-GB"/>
        </w:rPr>
        <w:t>SERVICE LEVEL MANAGEMENT</w:t>
      </w:r>
    </w:p>
    <w:p>
      <w:pPr>
        <w:pStyle w:val="Normal"/>
        <w:spacing w:before="0" w:after="0"/>
        <w:jc w:val="both"/>
        <w:rPr>
          <w:szCs w:val="22"/>
          <w:lang w:val="en-GB"/>
        </w:rPr>
      </w:pPr>
      <w:r>
        <w:rPr>
          <w:szCs w:val="22"/>
          <w:lang w:val="en-GB"/>
        </w:rPr>
        <w:t>The PST Supplier will support the 2IM in meeting its obligations under the 2IM MSA and where relevant the obligations of other PST Suppliers, with regard to the provision of Management Information required facilitating the Service Levels.</w:t>
      </w:r>
    </w:p>
    <w:p>
      <w:pPr>
        <w:pStyle w:val="Heading2Numbered"/>
        <w:numPr>
          <w:ilvl w:val="1"/>
          <w:numId w:val="2"/>
        </w:numPr>
        <w:ind w:hanging="0" w:start="0"/>
        <w:rPr>
          <w:sz w:val="22"/>
          <w:szCs w:val="22"/>
          <w:lang w:val="en-GB"/>
        </w:rPr>
      </w:pPr>
      <w:bookmarkStart w:id="9" w:name="__RefHeading___Toc148668807"/>
      <w:bookmarkEnd w:id="9"/>
      <w:r>
        <w:rPr>
          <w:sz w:val="22"/>
          <w:szCs w:val="22"/>
          <w:lang w:val="en-GB"/>
        </w:rPr>
        <w:t>BUSINESS CONTINUITY AND DISASTER RECOVERY SERVICES</w:t>
      </w:r>
    </w:p>
    <w:p>
      <w:pPr>
        <w:pStyle w:val="Normal"/>
        <w:spacing w:before="0" w:after="0"/>
        <w:jc w:val="both"/>
        <w:rPr>
          <w:szCs w:val="22"/>
          <w:lang w:val="en-GB"/>
        </w:rPr>
      </w:pPr>
      <w:r>
        <w:rPr>
          <w:szCs w:val="22"/>
          <w:lang w:val="en-GB"/>
        </w:rPr>
        <w:t>The PST Supplier will support the 2IM in meeting its obligations, and where relevant the obligations of other PST Suppliers, with regard to the provision of services to support the Business Continuity and Disaster Recovery objectives of EuroBank.</w:t>
      </w:r>
    </w:p>
    <w:p>
      <w:pPr>
        <w:pStyle w:val="Heading2Numbered"/>
        <w:numPr>
          <w:ilvl w:val="1"/>
          <w:numId w:val="2"/>
        </w:numPr>
        <w:ind w:hanging="0" w:start="0"/>
        <w:rPr>
          <w:sz w:val="22"/>
          <w:szCs w:val="22"/>
          <w:lang w:val="en-GB"/>
        </w:rPr>
      </w:pPr>
      <w:bookmarkStart w:id="10" w:name="__RefHeading___Toc148668808"/>
      <w:bookmarkEnd w:id="10"/>
      <w:r>
        <w:rPr>
          <w:sz w:val="22"/>
          <w:szCs w:val="22"/>
          <w:lang w:val="en-GB"/>
        </w:rPr>
        <w:t>CAPACITY MANAGEMENT</w:t>
      </w:r>
    </w:p>
    <w:p>
      <w:pPr>
        <w:pStyle w:val="Normal"/>
        <w:spacing w:before="0" w:after="0"/>
        <w:jc w:val="both"/>
        <w:rPr>
          <w:szCs w:val="22"/>
          <w:lang w:val="en-GB"/>
        </w:rPr>
      </w:pPr>
      <w:r>
        <w:rPr>
          <w:szCs w:val="22"/>
          <w:lang w:val="en-GB"/>
        </w:rPr>
        <w:t>The PST Supplier will support the 2IM in meeting its obligations, and where relevant the obligations of other PST Suppliers, with regard to the provision of services to support the Capacity Management requirements of EuroBank.</w:t>
      </w:r>
    </w:p>
    <w:p>
      <w:pPr>
        <w:pStyle w:val="Heading2Numbered"/>
        <w:numPr>
          <w:ilvl w:val="1"/>
          <w:numId w:val="2"/>
        </w:numPr>
        <w:ind w:hanging="0" w:start="0"/>
        <w:rPr>
          <w:sz w:val="22"/>
          <w:szCs w:val="22"/>
          <w:lang w:val="en-GB"/>
        </w:rPr>
      </w:pPr>
      <w:bookmarkStart w:id="11" w:name="__RefHeading___Toc148668809"/>
      <w:bookmarkEnd w:id="11"/>
      <w:r>
        <w:rPr>
          <w:sz w:val="22"/>
          <w:szCs w:val="22"/>
          <w:lang w:val="en-GB"/>
        </w:rPr>
        <w:t>AVAILABILITY MANAGEMENT</w:t>
      </w:r>
    </w:p>
    <w:p>
      <w:pPr>
        <w:pStyle w:val="Normal"/>
        <w:spacing w:before="0" w:after="0"/>
        <w:jc w:val="both"/>
        <w:rPr>
          <w:szCs w:val="22"/>
          <w:lang w:val="en-GB"/>
        </w:rPr>
      </w:pPr>
      <w:r>
        <w:rPr>
          <w:szCs w:val="22"/>
          <w:lang w:val="en-GB"/>
        </w:rPr>
        <w:t>The PST Supplier will support the 2IM in meeting its obligations, and where relevant the obligations of other PST Suppliers, with regard to the provision of services to support the Availability Management requirements of EuroBank.</w:t>
      </w:r>
    </w:p>
    <w:p>
      <w:pPr>
        <w:pStyle w:val="Heading2Numbered"/>
        <w:numPr>
          <w:ilvl w:val="1"/>
          <w:numId w:val="2"/>
        </w:numPr>
        <w:ind w:hanging="0" w:start="0"/>
        <w:rPr>
          <w:sz w:val="22"/>
          <w:szCs w:val="22"/>
          <w:lang w:val="en-GB"/>
        </w:rPr>
      </w:pPr>
      <w:bookmarkStart w:id="12" w:name="__RefHeading___Toc148668810"/>
      <w:bookmarkEnd w:id="12"/>
      <w:r>
        <w:rPr>
          <w:sz w:val="22"/>
          <w:szCs w:val="22"/>
          <w:lang w:val="en-GB"/>
        </w:rPr>
        <w:t>GOVERNANCE</w:t>
      </w:r>
    </w:p>
    <w:p>
      <w:pPr>
        <w:pStyle w:val="Normal"/>
        <w:spacing w:before="0" w:after="0"/>
        <w:jc w:val="both"/>
        <w:rPr/>
      </w:pPr>
      <w:r>
        <w:rPr>
          <w:szCs w:val="22"/>
          <w:lang w:val="en-GB"/>
        </w:rPr>
        <w:t>The PST Supplier will support the 2IM in meeting its obligations, and where relevant the obligations of other PST Suppliers, with regard to the provision of services to support the Governance Model defined (please see Exhibit 6 (Governance)) in agreement with EuroBank.</w:t>
      </w:r>
      <w:r>
        <w:rPr>
          <w:i/>
          <w:szCs w:val="22"/>
          <w:lang w:val="en-GB"/>
        </w:rPr>
      </w:r>
      <w:r>
        <w:rPr>
          <w:szCs w:val="22"/>
          <w:lang w:val="en-GB"/>
        </w:rPr>
      </w:r>
    </w:p>
    <w:p>
      <w:pPr>
        <w:pStyle w:val="Heading2Numbered"/>
        <w:numPr>
          <w:ilvl w:val="1"/>
          <w:numId w:val="2"/>
        </w:numPr>
        <w:ind w:hanging="0" w:start="0"/>
        <w:rPr>
          <w:sz w:val="22"/>
          <w:szCs w:val="22"/>
          <w:lang w:val="en-GB"/>
        </w:rPr>
      </w:pPr>
      <w:bookmarkStart w:id="13" w:name="__RefHeading___Toc148668811"/>
      <w:bookmarkEnd w:id="13"/>
      <w:r>
        <w:rPr>
          <w:sz w:val="22"/>
          <w:szCs w:val="22"/>
          <w:lang w:val="en-GB"/>
        </w:rPr>
        <w:t>QUALITY ASSURANCE</w:t>
      </w:r>
    </w:p>
    <w:p>
      <w:pPr>
        <w:pStyle w:val="Normal"/>
        <w:spacing w:before="0" w:after="0"/>
        <w:jc w:val="both"/>
        <w:rPr>
          <w:szCs w:val="22"/>
          <w:lang w:val="en-GB"/>
        </w:rPr>
      </w:pPr>
      <w:r>
        <w:rPr>
          <w:szCs w:val="22"/>
          <w:lang w:val="en-GB"/>
        </w:rPr>
        <w:t xml:space="preserve">The PST Supplier will support the 2IM in meeting its obligations, and where relevant the obligations of other PST Suppliers, with regard to the provision of services to support Quality Assurance </w:t>
      </w:r>
    </w:p>
    <w:p>
      <w:pPr>
        <w:pStyle w:val="Heading2Numbered"/>
        <w:numPr>
          <w:ilvl w:val="1"/>
          <w:numId w:val="2"/>
        </w:numPr>
        <w:ind w:hanging="0" w:start="0"/>
        <w:rPr>
          <w:sz w:val="22"/>
          <w:szCs w:val="22"/>
          <w:lang w:val="en-GB"/>
        </w:rPr>
      </w:pPr>
      <w:bookmarkStart w:id="14" w:name="__RefHeading___Toc148668812"/>
      <w:bookmarkEnd w:id="14"/>
      <w:r>
        <w:rPr>
          <w:sz w:val="22"/>
          <w:szCs w:val="22"/>
          <w:lang w:val="en-GB"/>
        </w:rPr>
        <w:t>EFFECTIVE USE OF EQUIPMENT AND SOFTWARE</w:t>
      </w:r>
    </w:p>
    <w:p>
      <w:pPr>
        <w:pStyle w:val="Normal"/>
        <w:spacing w:before="0" w:after="0"/>
        <w:jc w:val="both"/>
        <w:rPr>
          <w:szCs w:val="22"/>
          <w:lang w:val="en-GB"/>
        </w:rPr>
      </w:pPr>
      <w:r>
        <w:rPr>
          <w:szCs w:val="22"/>
          <w:lang w:val="en-GB"/>
        </w:rPr>
        <w:t>The PST Supplier will support the 2IM in meeting its obligations, and where relevant the obligations of Other PST Suppliers, with regard to the provision of activities to ensure the effective use of equipment and software.</w:t>
      </w:r>
    </w:p>
    <w:p>
      <w:pPr>
        <w:pStyle w:val="Heading1Numbered"/>
        <w:numPr>
          <w:ilvl w:val="0"/>
          <w:numId w:val="2"/>
        </w:numPr>
        <w:ind w:hanging="0" w:start="0"/>
        <w:rPr>
          <w:sz w:val="22"/>
          <w:szCs w:val="22"/>
          <w:lang w:val="en-GB"/>
        </w:rPr>
      </w:pPr>
      <w:bookmarkStart w:id="15" w:name="__RefHeading___Toc148668813"/>
      <w:bookmarkEnd w:id="15"/>
      <w:r>
        <w:rPr>
          <w:sz w:val="22"/>
          <w:szCs w:val="22"/>
          <w:lang w:val="en-GB"/>
        </w:rPr>
        <w:t>TOUCH POINTS WITH 2IM SERVICE SUPPORT</w:t>
      </w:r>
    </w:p>
    <w:p>
      <w:pPr>
        <w:pStyle w:val="Heading2Numbered"/>
        <w:numPr>
          <w:ilvl w:val="1"/>
          <w:numId w:val="2"/>
        </w:numPr>
        <w:ind w:hanging="0" w:start="0"/>
        <w:rPr>
          <w:sz w:val="22"/>
          <w:szCs w:val="22"/>
          <w:lang w:val="en-GB"/>
        </w:rPr>
      </w:pPr>
      <w:bookmarkStart w:id="16" w:name="__RefHeading___Toc148668815"/>
      <w:bookmarkEnd w:id="16"/>
      <w:r>
        <w:rPr>
          <w:sz w:val="22"/>
          <w:szCs w:val="22"/>
          <w:lang w:val="en-GB"/>
        </w:rPr>
        <w:t>SERVICE CATALOGUE</w:t>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SWS Service Catalogue will be agreed upon by EuroBank, and the 2IM with input from the PST Supplier. It will identify all products and services available to EuroBank, and specify details of service characteristics including those Service Levels available to EuroBank. Whilst the 2IM is overall responsible for the Service Catalogue and its implementation, the PST Supplier will provide the necessary systems, tools, data inputs and technical expertise to enable the 2IM to provide this service.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Components of the Service Catalogue will include but not be limited to:</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The Procurement Catalogue as described below</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Service Catalogue documentation, providing user instructions, services and product descriptions will be made available as required by the EuroBank Vendor Management Organisation (VMO), EuroBank businesses and Authorised Users. This documentation will include soft and hard copies as relevant, exploiting the appropriate service support tools provided by the 2IM and PST suppliers.</w:t>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Frequently Asked Questions (FAQ) will be maintained on the VMO web site.</w:t>
      </w:r>
    </w:p>
    <w:p>
      <w:pPr>
        <w:pStyle w:val="Heading2Numbered"/>
        <w:numPr>
          <w:ilvl w:val="1"/>
          <w:numId w:val="2"/>
        </w:numPr>
        <w:ind w:hanging="0" w:start="0"/>
        <w:rPr>
          <w:sz w:val="22"/>
          <w:szCs w:val="22"/>
          <w:lang w:val="en-GB"/>
        </w:rPr>
      </w:pPr>
      <w:bookmarkStart w:id="17" w:name="__RefHeading___Toc148668816"/>
      <w:bookmarkEnd w:id="17"/>
      <w:r>
        <w:rPr>
          <w:sz w:val="22"/>
          <w:szCs w:val="22"/>
          <w:lang w:val="en-GB"/>
        </w:rPr>
        <w:t>PROCUREMENT CATALOGUE</w:t>
      </w:r>
    </w:p>
    <w:p>
      <w:pPr>
        <w:pStyle w:val="Normal"/>
        <w:spacing w:before="0" w:after="0"/>
        <w:jc w:val="both"/>
        <w:rPr>
          <w:szCs w:val="22"/>
          <w:lang w:val="en-GB"/>
        </w:rPr>
      </w:pPr>
      <w:r>
        <w:rPr>
          <w:szCs w:val="22"/>
          <w:lang w:val="en-GB"/>
        </w:rPr>
        <w:t>The SWS Procurement Catalogue is a subset of the Service Catalogue and provides a list of approved Equipment and Software for lease or purchase by EuroBank Authorised Users. The Service Catalogue, and its subsets, is maintained by the 2IM with input from the PST Suppliers, and input will be provided by EuroBank including clarity on those services that EuroBank provides through the PST Supplier as part of the Services.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For the Procurement Catalogue and under management from the 2IM the PST Suppliers will assist with the following amongst the other relevant activities to support the Services:</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List categories of items (Equipment and Software items) by, but not limited to, configuration type, as defined by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Maintain a list of individual configuration items that can be separately purchased or leased, as well as a list of aggregate components composed of a set of separate items, based on guidelines defined by the 2IM but agreed with EuroBank.</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Make options, agreed with EuroBank, available within aggregate components.</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The list will contain, per item or items, the preferred financing approach (purchase or lease) and contains the current purchase amount, when purchase is preferred.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 xml:space="preserve">The availability of items by category of Authorised Users as defined by EuroBank (i.e. not all items will be available for all users). </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Indicate any technical limitations and/or special requirements that authorised users need to be aware of.</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Indicate the approval authority inside EuroBank (as defined by EuroBank) to obtain the equipment or software.</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Describe where additional information about the equipment can be obtained.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Describes how/where the item can be ordered.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will only list items in the Procurement Catalogue for which underlying purchase contracts with Third Party Vendors exist, as instructed by and or agreed with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will assist with maintaining an up-to-date view on the market and maintain supplier contacts for standard Equipment and standard Software, advising EuroBank on updates to the Procurement Catalogue with the following objective: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List Equipment and Software in the procurement catalogue with expected life cycle and anticipated shelf life.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List Equipment and Software with the widest potential and useful distribution within EuroBank but also</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Keep the number of items in the Procurement Catalogue as limited as possible.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The PST Supplier will also advise EuroBank on the sometimes-complex licensing issues with regard to the procurement catalogue</w:t>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Wherever possible, the PST Supplier will exploit relationships with partners to improve Quality of Service, Lead-time and to lower Costs for EuroBank.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will provide TCO reductions as agreed, which can be achieved by integration of the Service Catalogue with systems, including the Self-Service Portal, Asset Management system, and License Management system.</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will also provide supporting services related to Procurement Catalogue maintenance, including but not limited to hardware certification.</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Overall 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Following 2IM procedures, creating and continuously updating a list of relevant Equipment and Software that are the approved products for purchase or lease by Authorised Users for new deployments (the “Procurement Catalogue”).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The Procurement Catalogue will reflect EuroBank’s strategic direction, technical architecture, refresh strategy, and product evaluation and test results. EuroBank will retain approval for the relevant part of the Procurement Catalogue.</w:t>
      </w:r>
    </w:p>
    <w:p>
      <w:pPr>
        <w:pStyle w:val="Normal"/>
        <w:spacing w:before="0" w:after="0"/>
        <w:jc w:val="both"/>
        <w:rPr>
          <w:szCs w:val="22"/>
          <w:lang w:val="en-GB"/>
        </w:rPr>
      </w:pPr>
      <w:r>
        <w:rPr>
          <w:szCs w:val="22"/>
          <w:lang w:val="en-GB"/>
        </w:rPr>
      </w:r>
    </w:p>
    <w:p>
      <w:pPr>
        <w:pStyle w:val="Normal"/>
        <w:spacing w:before="0" w:after="0"/>
        <w:jc w:val="both"/>
        <w:rPr/>
      </w:pPr>
      <w:r>
        <w:rPr>
          <w:b/>
          <w:szCs w:val="22"/>
          <w:lang w:val="en-GB"/>
        </w:rPr>
        <w:t>Procurement Catalogue Contents</w:t>
      </w:r>
      <w:r>
        <w:rPr>
          <w:szCs w:val="22"/>
          <w:lang w:val="en-GB"/>
        </w:rPr>
        <w:t xml:space="preserve"> - 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Categorising the Procurement Catalogue by configuration type and/or Equipment or Software type as defined by 2IM (for example, desktops, laptops, printers, office suite software, PDAs etc).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Including individual Equipment and Software items in the catalogue, as well as entire configurations of Equipment and Software, as applicable, based on the deployment standards or options defined by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Following 2IM defined processes, where EuroBank is financially responsible for Equipment and Software contained in the Procurement Catalogue, ensuring that the Procurement Catalogue contains the preferred financing approach (purchase or lease) were relevant. If the preferred approach is to purchase, the list will contain the current purchase amount. If the preferred approach is to lease, the list will contain the current monthly lease amount and the lease term.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Including any notation required for specific use (or limitation) of the Equipment or Software by category of Authorised User.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Including any technical limitations/requirements for the use of Equipment or Software (for example, minimum disk space, memory, operating system etc.).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Indicating the approval authority (as defined by EuroBank) required to obtain the Equipment or Software.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Including a description of how to obtain additional information about the Equipment or Software.</w:t>
      </w:r>
    </w:p>
    <w:p>
      <w:pPr>
        <w:pStyle w:val="Normal"/>
        <w:spacing w:before="0" w:after="0"/>
        <w:jc w:val="both"/>
        <w:rPr>
          <w:szCs w:val="22"/>
          <w:lang w:val="en-GB"/>
        </w:rPr>
      </w:pPr>
      <w:r>
        <w:rPr>
          <w:szCs w:val="22"/>
          <w:lang w:val="en-GB"/>
        </w:rPr>
      </w:r>
    </w:p>
    <w:p>
      <w:pPr>
        <w:pStyle w:val="Normal"/>
        <w:spacing w:before="0" w:after="0"/>
        <w:jc w:val="both"/>
        <w:rPr/>
      </w:pPr>
      <w:r>
        <w:rPr>
          <w:b/>
          <w:szCs w:val="22"/>
          <w:lang w:val="en-GB"/>
        </w:rPr>
        <w:t>Procurement Catalogue Distribution</w:t>
      </w:r>
      <w:r>
        <w:rPr>
          <w:szCs w:val="22"/>
          <w:lang w:val="en-GB"/>
        </w:rPr>
        <w:t xml:space="preserve"> – 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As defined by 2IM, publishing and/or making available the Procurement Catalogue to Authorised Users as defined by 2IM and requested by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As defined by 2IM, wherever possible, making the Procurement Catalogue available on EuroBank’s Intranet, along with search capabilities and contact information for queries.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Continuously updating the descriptions of Equipment and Software requirements, as required by the roles and responsibilities of the PST Suppliers – these descriptions will be in accordance with the services and product standards of the SWS Function.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Following the process defined by 2IM, aligning the Standard Products with EuroBank’s strategic direction, technical architecture, and refresh strategy, where relevant. EuroBank will retain approval for the Standard Products and descriptions.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EuroBank will retain approval for the Asset Inventory Management System design, and will have access to the resulting repository.</w:t>
      </w:r>
    </w:p>
    <w:p>
      <w:pPr>
        <w:pStyle w:val="Heading2Numbered"/>
        <w:numPr>
          <w:ilvl w:val="1"/>
          <w:numId w:val="2"/>
        </w:numPr>
        <w:ind w:hanging="0" w:start="0"/>
        <w:rPr>
          <w:sz w:val="22"/>
          <w:szCs w:val="22"/>
          <w:lang w:val="en-GB"/>
        </w:rPr>
      </w:pPr>
      <w:bookmarkStart w:id="18" w:name="__RefHeading___Toc148668817"/>
      <w:bookmarkEnd w:id="18"/>
      <w:r>
        <w:rPr>
          <w:sz w:val="22"/>
          <w:szCs w:val="22"/>
          <w:lang w:val="en-GB"/>
        </w:rPr>
        <w:t>RELEASE MANAGEMENT</w:t>
      </w:r>
    </w:p>
    <w:p>
      <w:pPr>
        <w:pStyle w:val="Normal"/>
        <w:spacing w:before="0" w:after="0"/>
        <w:jc w:val="both"/>
        <w:rPr>
          <w:szCs w:val="22"/>
          <w:lang w:val="en-GB"/>
        </w:rPr>
      </w:pPr>
      <w:r>
        <w:rPr>
          <w:szCs w:val="22"/>
          <w:lang w:val="en-GB"/>
        </w:rPr>
        <w:t>The PST Supplier will support the 2IM in meeting its obligations under the 2IM MSA, and where relevant the obligations of other PST Suppliers, with regard to the provision of activities to ensure the effective use of the Release Management process.</w:t>
      </w:r>
    </w:p>
    <w:p>
      <w:pPr>
        <w:pStyle w:val="Heading2Numbered"/>
        <w:numPr>
          <w:ilvl w:val="1"/>
          <w:numId w:val="2"/>
        </w:numPr>
        <w:ind w:hanging="0" w:start="0"/>
        <w:rPr>
          <w:sz w:val="22"/>
          <w:szCs w:val="22"/>
          <w:lang w:val="en-GB"/>
        </w:rPr>
      </w:pPr>
      <w:bookmarkStart w:id="19" w:name="__RefHeading___Toc148668818"/>
      <w:bookmarkEnd w:id="19"/>
      <w:r>
        <w:rPr>
          <w:sz w:val="22"/>
          <w:szCs w:val="22"/>
          <w:lang w:val="en-GB"/>
        </w:rPr>
        <w:t>CONFIGURATION MANAGEMENT</w:t>
      </w:r>
    </w:p>
    <w:p>
      <w:pPr>
        <w:pStyle w:val="Normal"/>
        <w:spacing w:before="0" w:after="0"/>
        <w:jc w:val="both"/>
        <w:rPr>
          <w:szCs w:val="22"/>
          <w:lang w:val="en-GB"/>
        </w:rPr>
      </w:pPr>
      <w:r>
        <w:rPr>
          <w:szCs w:val="22"/>
          <w:lang w:val="en-GB"/>
        </w:rPr>
        <w:t>The PST Supplier will support the 2IM in meeting its obligations under the 2IM MSA, and where relevant the obligations of other PST Suppliers, with regard to the provision of activities to ensure the effective use of the Configuration Management process.</w:t>
      </w:r>
    </w:p>
    <w:p>
      <w:pPr>
        <w:pStyle w:val="Heading2Numbered"/>
        <w:numPr>
          <w:ilvl w:val="1"/>
          <w:numId w:val="2"/>
        </w:numPr>
        <w:ind w:hanging="0" w:start="0"/>
        <w:rPr>
          <w:sz w:val="22"/>
          <w:szCs w:val="22"/>
          <w:lang w:val="en-GB"/>
        </w:rPr>
      </w:pPr>
      <w:bookmarkStart w:id="20" w:name="__RefHeading___Toc148668819"/>
      <w:bookmarkEnd w:id="20"/>
      <w:r>
        <w:rPr>
          <w:sz w:val="22"/>
          <w:szCs w:val="22"/>
          <w:lang w:val="en-GB"/>
        </w:rPr>
        <w:t>ASSET INVENTORY AND MANAGEMENT</w:t>
      </w:r>
    </w:p>
    <w:p>
      <w:pPr>
        <w:pStyle w:val="Normal"/>
        <w:spacing w:before="0" w:after="0"/>
        <w:jc w:val="both"/>
        <w:rPr>
          <w:szCs w:val="22"/>
          <w:lang w:val="en-GB"/>
        </w:rPr>
      </w:pPr>
      <w:r>
        <w:rPr>
          <w:szCs w:val="22"/>
          <w:lang w:val="en-GB"/>
        </w:rPr>
        <w:t xml:space="preserve">The PST Supplier will support the 2IM in meeting its obligations under the 2IM MSA, and where relevant the obligations of other PST Supplier, with regard to the provision of activities to ensure the effective use of the Asset Inventory and its Management process. </w:t>
      </w:r>
    </w:p>
    <w:p>
      <w:pPr>
        <w:pStyle w:val="Heading2Numbered"/>
        <w:numPr>
          <w:ilvl w:val="1"/>
          <w:numId w:val="2"/>
        </w:numPr>
        <w:ind w:hanging="0" w:start="0"/>
        <w:rPr>
          <w:sz w:val="22"/>
          <w:szCs w:val="22"/>
          <w:lang w:val="en-GB"/>
        </w:rPr>
      </w:pPr>
      <w:bookmarkStart w:id="21" w:name="__RefHeading___Toc148668820"/>
      <w:bookmarkEnd w:id="21"/>
      <w:r>
        <w:rPr>
          <w:sz w:val="22"/>
          <w:szCs w:val="22"/>
          <w:lang w:val="en-GB"/>
        </w:rPr>
        <w:t>LICENSE MANAGEMENT AND COMPLIANCE</w:t>
      </w:r>
    </w:p>
    <w:p>
      <w:pPr>
        <w:pStyle w:val="Normal"/>
        <w:spacing w:before="0" w:after="0"/>
        <w:jc w:val="both"/>
        <w:rPr>
          <w:szCs w:val="22"/>
          <w:lang w:val="en-GB"/>
        </w:rPr>
      </w:pPr>
      <w:r>
        <w:rPr>
          <w:szCs w:val="22"/>
          <w:lang w:val="en-GB"/>
        </w:rPr>
        <w:t>The PST Supplier will support the 2IM in meeting its obligations under the 2IM MSA , and where relevant the obligations of other PST Suppliers, with regard to the provision of activities to ensure the effective compliance with the license management and compliance processes.</w:t>
      </w:r>
    </w:p>
    <w:p>
      <w:pPr>
        <w:pStyle w:val="Heading2Numbered"/>
        <w:numPr>
          <w:ilvl w:val="1"/>
          <w:numId w:val="2"/>
        </w:numPr>
        <w:ind w:hanging="0" w:start="0"/>
        <w:rPr>
          <w:sz w:val="22"/>
          <w:szCs w:val="22"/>
          <w:lang w:val="en-GB"/>
        </w:rPr>
      </w:pPr>
      <w:bookmarkStart w:id="22" w:name="__RefHeading___Toc148668821"/>
      <w:bookmarkEnd w:id="22"/>
      <w:r>
        <w:rPr>
          <w:sz w:val="22"/>
          <w:szCs w:val="22"/>
          <w:lang w:val="en-GB"/>
        </w:rPr>
        <w:t>PROCUREMENT SERVICES</w:t>
      </w:r>
    </w:p>
    <w:p>
      <w:pPr>
        <w:pStyle w:val="Normal"/>
        <w:spacing w:before="0" w:after="0"/>
        <w:jc w:val="both"/>
        <w:rPr>
          <w:szCs w:val="22"/>
          <w:lang w:val="en-GB"/>
        </w:rPr>
      </w:pPr>
      <w:r>
        <w:rPr>
          <w:szCs w:val="22"/>
          <w:lang w:val="en-GB"/>
        </w:rPr>
        <w:t>The PST Supplier will support the 2IM in meeting their joint obligations, and where relevant the obligations of other PST Suppliers, with regard to the provision of activities to ensure the effective compliance with the license management, asseting, and compliance processes.</w:t>
      </w:r>
    </w:p>
    <w:p>
      <w:pPr>
        <w:pStyle w:val="Heading2Numbered"/>
        <w:numPr>
          <w:ilvl w:val="1"/>
          <w:numId w:val="2"/>
        </w:numPr>
        <w:ind w:hanging="0" w:start="0"/>
        <w:rPr>
          <w:sz w:val="22"/>
          <w:szCs w:val="22"/>
          <w:lang w:val="en-GB"/>
        </w:rPr>
      </w:pPr>
      <w:bookmarkStart w:id="23" w:name="__RefHeading___Toc148668822"/>
      <w:bookmarkEnd w:id="23"/>
      <w:r>
        <w:rPr>
          <w:sz w:val="22"/>
          <w:szCs w:val="22"/>
          <w:lang w:val="en-GB"/>
        </w:rPr>
        <w:t>FACILITIES MANAGEMENT AND SUPPORT</w:t>
      </w:r>
    </w:p>
    <w:p>
      <w:pPr>
        <w:pStyle w:val="Normal"/>
        <w:spacing w:before="0" w:after="0"/>
        <w:jc w:val="both"/>
        <w:rPr>
          <w:szCs w:val="22"/>
          <w:lang w:val="en-GB"/>
        </w:rPr>
      </w:pPr>
      <w:r>
        <w:rPr>
          <w:szCs w:val="22"/>
          <w:lang w:val="en-GB"/>
        </w:rPr>
        <w:t>The PST Supplier will support the 2IM in meeting their management obligations, and where relevant the obligations of other PST Supplier, with regard to the provision of activities to ensure the effective management and support of Facilities.</w:t>
      </w:r>
    </w:p>
    <w:p>
      <w:pPr>
        <w:pStyle w:val="Heading2Numbered"/>
        <w:numPr>
          <w:ilvl w:val="1"/>
          <w:numId w:val="2"/>
        </w:numPr>
        <w:ind w:hanging="0" w:start="0"/>
        <w:rPr>
          <w:sz w:val="22"/>
          <w:szCs w:val="22"/>
          <w:lang w:val="en-GB"/>
        </w:rPr>
      </w:pPr>
      <w:bookmarkStart w:id="24" w:name="__RefHeading___Toc148668823"/>
      <w:bookmarkEnd w:id="24"/>
      <w:r>
        <w:rPr>
          <w:sz w:val="22"/>
          <w:szCs w:val="22"/>
          <w:lang w:val="en-GB"/>
        </w:rPr>
        <w:t>LIFE CYCLE MANAGEMENT</w:t>
      </w:r>
    </w:p>
    <w:p>
      <w:pPr>
        <w:pStyle w:val="Normal"/>
        <w:spacing w:before="0" w:after="0"/>
        <w:jc w:val="both"/>
        <w:rPr>
          <w:szCs w:val="22"/>
          <w:lang w:val="en-GB"/>
        </w:rPr>
      </w:pPr>
      <w:r>
        <w:rPr>
          <w:szCs w:val="22"/>
          <w:lang w:val="en-GB"/>
        </w:rPr>
        <w:t>The PST Supplier will support the 2IM in meeting its obligations under the 2IM MSA, and where relevant the obligations of other PST Suppliers, with regard to the provision of activities to ensure effective Life Cycle Management.</w:t>
      </w:r>
    </w:p>
    <w:p>
      <w:pPr>
        <w:pStyle w:val="Heading2Numbered"/>
        <w:numPr>
          <w:ilvl w:val="1"/>
          <w:numId w:val="2"/>
        </w:numPr>
        <w:ind w:hanging="0" w:start="0"/>
        <w:rPr>
          <w:sz w:val="22"/>
          <w:szCs w:val="22"/>
          <w:lang w:val="en-GB"/>
        </w:rPr>
      </w:pPr>
      <w:bookmarkStart w:id="25" w:name="__RefHeading___Toc148668824"/>
      <w:bookmarkEnd w:id="25"/>
      <w:r>
        <w:rPr>
          <w:sz w:val="22"/>
          <w:szCs w:val="22"/>
          <w:lang w:val="en-GB"/>
        </w:rPr>
        <w:t>TRAINING AND EDUCATION</w:t>
      </w:r>
    </w:p>
    <w:p>
      <w:pPr>
        <w:pStyle w:val="Normal"/>
        <w:spacing w:before="0" w:after="0"/>
        <w:jc w:val="both"/>
        <w:rPr>
          <w:szCs w:val="22"/>
          <w:lang w:val="en-GB"/>
        </w:rPr>
      </w:pPr>
      <w:r>
        <w:rPr>
          <w:szCs w:val="22"/>
          <w:lang w:val="en-GB"/>
        </w:rPr>
        <w:t>The PST Supplier will support the 2IM in meeting its obligations under the 2IM MSA, and where relevant the obligations of other PST Suppliers, with regard to the provision of activities to ensure the effective delivery of Training and Education activities.</w:t>
      </w:r>
    </w:p>
    <w:p>
      <w:pPr>
        <w:pStyle w:val="Heading1Numbered"/>
        <w:numPr>
          <w:ilvl w:val="0"/>
          <w:numId w:val="2"/>
        </w:numPr>
        <w:ind w:hanging="0" w:start="0"/>
        <w:rPr>
          <w:sz w:val="22"/>
          <w:szCs w:val="22"/>
          <w:lang w:val="en-GB"/>
        </w:rPr>
      </w:pPr>
      <w:bookmarkStart w:id="26" w:name="__RefHeading___Toc148668825"/>
      <w:bookmarkEnd w:id="26"/>
      <w:r>
        <w:rPr>
          <w:sz w:val="22"/>
          <w:szCs w:val="22"/>
          <w:lang w:val="en-GB"/>
        </w:rPr>
        <w:t>OTHER 2IM TOUCH POINTS</w:t>
      </w:r>
    </w:p>
    <w:p>
      <w:pPr>
        <w:pStyle w:val="Normal"/>
        <w:spacing w:before="0" w:after="0"/>
        <w:jc w:val="both"/>
        <w:rPr>
          <w:szCs w:val="22"/>
          <w:lang w:val="en-GB"/>
        </w:rPr>
      </w:pPr>
      <w:r>
        <w:rPr>
          <w:szCs w:val="22"/>
          <w:lang w:val="en-GB"/>
        </w:rPr>
        <w:t xml:space="preserve">This section highlights the other Touch Points that exist between the 21M and PST Suppliers. </w:t>
      </w:r>
    </w:p>
    <w:p>
      <w:pPr>
        <w:pStyle w:val="Heading2Numbered"/>
        <w:numPr>
          <w:ilvl w:val="1"/>
          <w:numId w:val="2"/>
        </w:numPr>
        <w:ind w:hanging="0" w:start="0"/>
        <w:rPr>
          <w:sz w:val="22"/>
          <w:szCs w:val="22"/>
          <w:lang w:val="en-GB"/>
        </w:rPr>
      </w:pPr>
      <w:bookmarkStart w:id="27" w:name="__RefHeading___Toc148668826"/>
      <w:bookmarkEnd w:id="27"/>
      <w:r>
        <w:rPr>
          <w:sz w:val="22"/>
          <w:szCs w:val="22"/>
          <w:lang w:val="en-GB"/>
        </w:rPr>
        <w:t>INTEGRATOR MANAGEMENT TOOLS, OPERATIONS AND MAINTENANCE</w:t>
      </w:r>
    </w:p>
    <w:p>
      <w:pPr>
        <w:pStyle w:val="Normal"/>
        <w:spacing w:before="0" w:after="0"/>
        <w:jc w:val="both"/>
        <w:rPr>
          <w:szCs w:val="22"/>
          <w:lang w:val="en-GB"/>
        </w:rPr>
      </w:pPr>
      <w:r>
        <w:rPr>
          <w:szCs w:val="22"/>
          <w:lang w:val="en-GB"/>
        </w:rPr>
        <w:t>The PST Supplier will support the 2IM in meeting its obligations, and where relevant the obligations of other PST Suppliers, with regard to the provision of activities to ensure effective use of the Integrator Management Tools, their Operations and Maintenance.</w:t>
      </w:r>
    </w:p>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28" w:name="__RefHeading___Toc148668827"/>
      <w:bookmarkEnd w:id="28"/>
      <w:r>
        <w:rPr>
          <w:sz w:val="22"/>
          <w:szCs w:val="22"/>
          <w:lang w:val="en-GB"/>
        </w:rPr>
        <w:t>INFRASTRUCTURE AND ARCHITECTURE SUPPORT</w:t>
      </w:r>
    </w:p>
    <w:p>
      <w:pPr>
        <w:pStyle w:val="Normal"/>
        <w:spacing w:before="0" w:after="0"/>
        <w:jc w:val="both"/>
        <w:rPr>
          <w:szCs w:val="22"/>
          <w:lang w:val="en-GB"/>
        </w:rPr>
      </w:pPr>
      <w:r>
        <w:rPr>
          <w:szCs w:val="22"/>
          <w:lang w:val="en-GB"/>
        </w:rPr>
        <w:t xml:space="preserve">The PST Supplier will support the 2IM in meeting its obligations, and where relevant the obligations of other PST Suppliers, with regard to the provision of activities to ensure effective Infrastructure and Architecture Support. </w:t>
      </w:r>
    </w:p>
    <w:p>
      <w:pPr>
        <w:pStyle w:val="Heading2Numbered"/>
        <w:numPr>
          <w:ilvl w:val="1"/>
          <w:numId w:val="2"/>
        </w:numPr>
        <w:ind w:hanging="0" w:start="0"/>
        <w:rPr>
          <w:sz w:val="22"/>
          <w:szCs w:val="22"/>
          <w:lang w:val="en-GB"/>
        </w:rPr>
      </w:pPr>
      <w:bookmarkStart w:id="29" w:name="__RefHeading___Toc148668828"/>
      <w:bookmarkEnd w:id="29"/>
      <w:r>
        <w:rPr>
          <w:sz w:val="22"/>
          <w:szCs w:val="22"/>
          <w:lang w:val="en-GB"/>
        </w:rPr>
        <w:t>GENERAL SECURITY MANAGEMENT</w:t>
      </w:r>
    </w:p>
    <w:p>
      <w:pPr>
        <w:pStyle w:val="Normal"/>
        <w:spacing w:before="0" w:after="0"/>
        <w:jc w:val="both"/>
        <w:rPr>
          <w:szCs w:val="22"/>
          <w:lang w:val="en-GB"/>
        </w:rPr>
      </w:pPr>
      <w:r>
        <w:rPr>
          <w:szCs w:val="22"/>
          <w:lang w:val="en-GB"/>
        </w:rPr>
        <w:t>The PST Supplier will support the 2IM in meeting its obligations, and where relevant the obligations of other PST Suppliers, with regard to the provision of activities to ensure effective Security Management.</w:t>
      </w:r>
    </w:p>
    <w:p>
      <w:pPr>
        <w:pStyle w:val="Heading2Numbered"/>
        <w:numPr>
          <w:ilvl w:val="1"/>
          <w:numId w:val="2"/>
        </w:numPr>
        <w:ind w:hanging="0" w:start="0"/>
        <w:rPr>
          <w:sz w:val="22"/>
          <w:szCs w:val="22"/>
          <w:lang w:val="en-GB"/>
        </w:rPr>
      </w:pPr>
      <w:bookmarkStart w:id="30" w:name="__RefHeading___Toc148668829"/>
      <w:bookmarkEnd w:id="30"/>
      <w:r>
        <w:rPr>
          <w:sz w:val="22"/>
          <w:szCs w:val="22"/>
          <w:lang w:val="en-GB"/>
        </w:rPr>
        <w:t>OPERATIONS MONITORING</w:t>
      </w:r>
    </w:p>
    <w:p>
      <w:pPr>
        <w:pStyle w:val="Normal"/>
        <w:spacing w:before="0" w:after="0"/>
        <w:jc w:val="both"/>
        <w:rPr>
          <w:szCs w:val="22"/>
          <w:lang w:val="en-GB"/>
        </w:rPr>
      </w:pPr>
      <w:r>
        <w:rPr>
          <w:szCs w:val="22"/>
          <w:lang w:val="en-GB"/>
        </w:rPr>
        <w:t>The PST Suppliers will support the 2IM in meeting their obligations, and where relevant the obligations of other PST Suppliers, with regard to the provision of activities to ensure effective Operations Monitoring.</w:t>
      </w:r>
    </w:p>
    <w:p>
      <w:pPr>
        <w:pStyle w:val="Heading1Numbered"/>
        <w:numPr>
          <w:ilvl w:val="0"/>
          <w:numId w:val="2"/>
        </w:numPr>
        <w:ind w:hanging="0" w:start="0"/>
        <w:rPr>
          <w:sz w:val="22"/>
          <w:szCs w:val="22"/>
          <w:lang w:val="en-GB"/>
        </w:rPr>
      </w:pPr>
      <w:bookmarkStart w:id="31" w:name="__RefHeading___Toc148668830"/>
      <w:bookmarkEnd w:id="31"/>
      <w:r>
        <w:rPr>
          <w:sz w:val="22"/>
          <w:szCs w:val="22"/>
          <w:lang w:val="en-GB"/>
        </w:rPr>
        <w:t>GENERAL APPROACH TO IMACS</w:t>
      </w:r>
    </w:p>
    <w:p>
      <w:pPr>
        <w:pStyle w:val="Normal"/>
        <w:spacing w:before="0" w:after="0"/>
        <w:jc w:val="both"/>
        <w:rPr/>
      </w:pPr>
      <w:r>
        <w:rPr>
          <w:szCs w:val="22"/>
          <w:lang w:val="en-GB"/>
        </w:rPr>
        <w:t xml:space="preserve">IMACs for all installations, de-installations, cascades, moves, adds and changes for all relevant Equipment, Software, and related Services will be defined in the Service Catalogue. This Service Catalogue will be defined by the 2IM with explicit input and final consent from EuroBank and the other PST Suppliers, and will only be released with final agreement from EuroBank.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An Authorised User can initiate a standard request either by selecting a request from the Service Catalogue on the Self Service Portal, by contacting the PST Service Desk through e-mail, voice mail or another agreed mechanism. </w:t>
      </w:r>
    </w:p>
    <w:p>
      <w:pPr>
        <w:pStyle w:val="Heading2Numbered"/>
        <w:numPr>
          <w:ilvl w:val="1"/>
          <w:numId w:val="2"/>
        </w:numPr>
        <w:ind w:hanging="0" w:start="0"/>
        <w:rPr>
          <w:sz w:val="22"/>
          <w:szCs w:val="22"/>
          <w:lang w:val="en-GB"/>
        </w:rPr>
      </w:pPr>
      <w:bookmarkStart w:id="32" w:name="__RefHeading___Toc148668833"/>
      <w:bookmarkEnd w:id="32"/>
      <w:r>
        <w:rPr>
          <w:sz w:val="22"/>
          <w:szCs w:val="22"/>
          <w:lang w:val="en-GB"/>
        </w:rPr>
        <w:t>GENERAL</w:t>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Managing or overseeing, within the process defined by 2IM, all installations, de-installations, cascades, moves, adds and changes for all relevant Equipment, Software, and related Services at designated EuroBank Sites.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Coordinating, planning, and scheduling IMACs with all affected IT functions (whether the function is included within the Services provided by the PST Supplier, as an EuroBank retained function or a Third Party). This must be undertaken within the process framework defined by the 2IM and the system provided by the Service Desk.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Coordinating all internal and external functions and activities to achieve high quality execution of the IMACs, to meet the Service Levels, and to minimize any operational interruption or disturbance to EuroBank.</w:t>
      </w:r>
    </w:p>
    <w:p>
      <w:pPr>
        <w:pStyle w:val="Heading2Numbered"/>
        <w:numPr>
          <w:ilvl w:val="1"/>
          <w:numId w:val="2"/>
        </w:numPr>
        <w:ind w:hanging="0" w:start="0"/>
        <w:rPr>
          <w:sz w:val="22"/>
          <w:szCs w:val="22"/>
          <w:lang w:val="en-GB"/>
        </w:rPr>
      </w:pPr>
      <w:bookmarkStart w:id="33" w:name="__RefHeading___Toc148668834"/>
      <w:bookmarkEnd w:id="33"/>
      <w:r>
        <w:rPr>
          <w:sz w:val="22"/>
          <w:szCs w:val="22"/>
          <w:lang w:val="en-GB"/>
        </w:rPr>
        <w:t>IMAC PRE-EXECUTION</w:t>
      </w:r>
    </w:p>
    <w:p>
      <w:pPr>
        <w:pStyle w:val="Normal"/>
        <w:spacing w:before="0" w:after="0"/>
        <w:ind w:hanging="720" w:start="720" w:end="0"/>
        <w:jc w:val="both"/>
        <w:rPr>
          <w:szCs w:val="22"/>
          <w:lang w:val="en-GB"/>
        </w:rPr>
      </w:pPr>
      <w:r>
        <w:rPr>
          <w:szCs w:val="22"/>
          <w:lang w:val="en-GB"/>
        </w:rPr>
        <w:t>a)</w:t>
        <w:tab/>
        <w:t>Receiving IMAC requests as routed by the Service Desk and validating the IMAC request for correctness and proper authorization.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Communicating with Authorized Users if there is any incident with an IMAC request.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Coordinating and communicating with designated EuroBank personnel or other Third Parties concerning scheduling and requirements, so as to minimize the business impact on Authorized Users.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Conducting or confirming a site survey to ensure the location(s) of the IMAC and any special requirements at the location(s); coordinating physical space requirements.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Confirming that all Equipment, Software, parts, network, cabling, or any other services necessary to execute the IMAC will be available as of the date(s) scheduled for the IMAC.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Confirming the new and/or existing configuration of the Equipment and Software associated with performing the IMAC. The PST Supplier will conform to configurations approved by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Confirming the installation and/or de-installation procedures associated with performing the IMAC, including back-up, contingency, and test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Coordinating the scheduling and dispatching of appropriate technicians, including Third Party Vendors.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Ensuring that orders for the installation of any associated equipment or services not specific to the particular Bundle, but essential to the IMAC request, have been undertaken.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Tracking the progress of equipment orders and managing the installation prior to the IMAC, from order origination through final testing, implementation, and use.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Cancelling any services that are no longer required after completing the IMAC.</w:t>
      </w:r>
    </w:p>
    <w:p>
      <w:pPr>
        <w:pStyle w:val="Heading2Numbered"/>
        <w:numPr>
          <w:ilvl w:val="1"/>
          <w:numId w:val="2"/>
        </w:numPr>
        <w:ind w:hanging="0" w:start="0"/>
        <w:rPr>
          <w:sz w:val="22"/>
          <w:szCs w:val="22"/>
          <w:lang w:val="en-GB"/>
        </w:rPr>
      </w:pPr>
      <w:bookmarkStart w:id="34" w:name="__RefHeading___Toc148668835"/>
      <w:bookmarkEnd w:id="34"/>
      <w:r>
        <w:rPr>
          <w:sz w:val="22"/>
          <w:szCs w:val="22"/>
          <w:lang w:val="en-GB"/>
        </w:rPr>
        <w:t>IMAC EXECUTION</w:t>
      </w:r>
    </w:p>
    <w:p>
      <w:pPr>
        <w:pStyle w:val="Normal"/>
        <w:spacing w:before="0" w:after="0"/>
        <w:jc w:val="both"/>
        <w:rPr>
          <w:szCs w:val="22"/>
          <w:lang w:val="en-GB"/>
        </w:rPr>
      </w:pPr>
      <w:r>
        <w:rPr>
          <w:szCs w:val="22"/>
          <w:lang w:val="en-GB"/>
        </w:rPr>
        <w:t>The PST Supplier’s responsibilities include the planning and execution of Hardware and Software IMACs as well as Project IMACs, within the process that is owned and coordinated by the 2IM, and to the performance levels agreed with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Software IMACs are performed with remote management tools and do not require any physical on-site intervention. Hardware IMACs are performed on location but may include a Soft IMAC. When a request involves multiple Resolver Groups, a single parent ticket is created with multiple child tickets assigned to cooperative Resolver Groups. The identification of child ticket dependencies, monitoring the triggers for their sequential assignment, their respective status and closures, are all managed by dedicated IMAC Coordinators (as part of the Service Desk) who retain ownership of the request.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On Site Service technicians will perform the following activities on site at the agreed date(s), according to the needs of the specific IMAC: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Software installs and upgrades</w:t>
      </w:r>
    </w:p>
    <w:p>
      <w:pPr>
        <w:pStyle w:val="Normal"/>
        <w:spacing w:before="0" w:after="0"/>
        <w:ind w:hanging="720" w:start="720" w:end="0"/>
        <w:jc w:val="both"/>
        <w:rPr>
          <w:szCs w:val="22"/>
          <w:lang w:val="en-GB"/>
        </w:rPr>
      </w:pPr>
      <w:r>
        <w:rPr>
          <w:szCs w:val="22"/>
          <w:lang w:val="en-GB"/>
        </w:rPr>
        <w:t>•</w:t>
      </w:r>
      <w:r>
        <w:rPr>
          <w:szCs w:val="22"/>
          <w:lang w:val="en-GB"/>
        </w:rPr>
        <w:tab/>
        <w:t>Backups and reloads of data and Software</w:t>
      </w:r>
    </w:p>
    <w:p>
      <w:pPr>
        <w:pStyle w:val="Normal"/>
        <w:spacing w:before="0" w:after="0"/>
        <w:ind w:hanging="720" w:start="720" w:end="0"/>
        <w:jc w:val="both"/>
        <w:rPr>
          <w:szCs w:val="22"/>
          <w:lang w:val="en-GB"/>
        </w:rPr>
      </w:pPr>
      <w:r>
        <w:rPr>
          <w:szCs w:val="22"/>
          <w:lang w:val="en-GB"/>
        </w:rPr>
        <w:t>•</w:t>
      </w:r>
      <w:r>
        <w:rPr>
          <w:szCs w:val="22"/>
          <w:lang w:val="en-GB"/>
        </w:rPr>
        <w:tab/>
        <w:t>Perform and coordinate onsite operational testing while ensuring appropriate backup procedures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All this includes the de-installing and re-installing of any existing Equipment, Software, or other related services as necessary to execute the IMAC. It also includes physically moving Equipment, as required, related to a de-installation, an installation, a move, or a cascade. All installations and configurations are performed according to EuroBank standards and EuroBank Change Management process and procedures.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Tickets are closed in the PST Supplier’s Service Desk Management system when the completion of the IMAC is confirmed by the authorised user. After closure, the Asset management database is updated. The PST Supplier will take care of disposing or cascading Equipment and Software no longer required, including packaging material and other waste.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IMAC Coordinator is responsible for tracking and tracing the progress and status of IMAC execution, and providing assistance to 2IM and others with the validation, tracking and execution of IMAC orders in accordance with the IMAC process.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For specific projects, where none of the Standard Service Requests is applicable, the PST Supplier will handle the requests coming from such a project as an IMAC project.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Instead of an IMAC Coordinator a Project Manager is assigned by the PST Supplier to lead the execution of all IMAC projects. This Project Manager is the single point of contact for Authorised Users, EuroBank personnel, the Service Desk and 2IM for activities associated with the Project IMAC. The Project Manager is responsible for developing a comprehensive contingency plan for Project IMACs including: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 xml:space="preserve">Back-out procedures; </w:t>
      </w:r>
    </w:p>
    <w:p>
      <w:pPr>
        <w:pStyle w:val="Normal"/>
        <w:spacing w:before="0" w:after="0"/>
        <w:jc w:val="both"/>
        <w:rPr>
          <w:szCs w:val="22"/>
          <w:lang w:val="en-GB"/>
        </w:rPr>
      </w:pPr>
      <w:r>
        <w:rPr>
          <w:szCs w:val="22"/>
          <w:lang w:val="en-GB"/>
        </w:rPr>
        <w:t>•</w:t>
      </w:r>
      <w:r>
        <w:rPr>
          <w:szCs w:val="22"/>
          <w:lang w:val="en-GB"/>
        </w:rPr>
        <w:tab/>
        <w:t xml:space="preserve">Notification and escalation lists </w:t>
      </w:r>
    </w:p>
    <w:p>
      <w:pPr>
        <w:pStyle w:val="Normal"/>
        <w:spacing w:before="0" w:after="0"/>
        <w:jc w:val="both"/>
        <w:rPr>
          <w:szCs w:val="22"/>
          <w:lang w:val="en-GB"/>
        </w:rPr>
      </w:pPr>
      <w:r>
        <w:rPr>
          <w:szCs w:val="22"/>
          <w:lang w:val="en-GB"/>
        </w:rPr>
        <w:t>•</w:t>
      </w:r>
      <w:r>
        <w:rPr>
          <w:szCs w:val="22"/>
          <w:lang w:val="en-GB"/>
        </w:rPr>
        <w:tab/>
        <w:t>Work-around plans</w:t>
      </w:r>
    </w:p>
    <w:p>
      <w:pPr>
        <w:pStyle w:val="Normal"/>
        <w:spacing w:before="0" w:after="0"/>
        <w:jc w:val="both"/>
        <w:rPr>
          <w:szCs w:val="22"/>
          <w:lang w:val="en-GB"/>
        </w:rPr>
      </w:pPr>
      <w:r>
        <w:rPr>
          <w:szCs w:val="22"/>
          <w:lang w:val="en-GB"/>
        </w:rPr>
        <w:t>•</w:t>
      </w:r>
      <w:r>
        <w:rPr>
          <w:szCs w:val="22"/>
          <w:lang w:val="en-GB"/>
        </w:rPr>
        <w:tab/>
        <w:t>Affected resources</w:t>
      </w:r>
    </w:p>
    <w:p>
      <w:pPr>
        <w:pStyle w:val="Normal"/>
        <w:spacing w:before="0" w:after="0"/>
        <w:jc w:val="both"/>
        <w:rPr>
          <w:szCs w:val="22"/>
          <w:lang w:val="en-GB"/>
        </w:rPr>
      </w:pPr>
      <w:r>
        <w:rPr>
          <w:szCs w:val="22"/>
          <w:lang w:val="en-GB"/>
        </w:rPr>
        <w:t>•</w:t>
      </w:r>
      <w:r>
        <w:rPr>
          <w:szCs w:val="22"/>
          <w:lang w:val="en-GB"/>
        </w:rPr>
        <w:tab/>
        <w:t xml:space="preserve">Risk assessments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 planning and executing IMACs (both Hard and Soft), that have been correctly approved (including emergency IMACS), within the process that is owned and coordinated by the 2IM. These activities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Obtaining or procuring all required components and services necessary to perform IMAC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Coordinating space requirements and logistics as needed.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Ensuring that the installation site is properly surveyed and prepared to prevent delays in IMAC activity.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Scheduling and dispatching technicians to undertake IMAC work as necessary.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Performing software installs and upgrades, if any, as defined by the needs of the specific IMAC(s).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Performing backups and reloads of data and software, if any, as defined by the needs of the specific IMAC(s).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Performing and coordinating configuration functions, if any, as defined by the needs of the specific IMAC(s).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Performing and coordinating onsite operational testing and ensuring appropriate backup procedures, as required by the needs of the specific IMAC(s).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Providing onsite support as required to resolve Incidents associated with large scale installations or moves.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Assisting with the updating of the Asset Inventory and Management System, as needed, in a timely manner when equipment or software changes are made by the PST Supplier or are reported by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Implementing Soft IMACs, where necessary in compliance with the IMAC process.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Note that Soft IMACs will not be counted against any resource baseline for IMACs.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m)</w:t>
        <w:tab/>
        <w:t>On receiving and verifying a valid IMAC request, performing all necessary pre-work before an IMAC is executed.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n)</w:t>
        <w:tab/>
        <w:t>Providing the necessary technical support to complete the IMAC, including onsite support as necessary.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o)</w:t>
        <w:tab/>
        <w:t>Supporting Third Party service providers in the execution of IMACs, and coordinating such activities with the applicable designated EuroBank personnel or Third Party service providers.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p)</w:t>
        <w:tab/>
        <w:t>Performing any required back-up procedures in accordance with EuroBank Change Management guidelines.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q)</w:t>
        <w:tab/>
        <w:t>De-installing and re-installing any existing Equipment, Software, or other related services as necessary to execute the IMAC.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r)</w:t>
        <w:tab/>
        <w:t>Physically moving Equipment, as required, related to a de-installation, an installation, a move, or a cascade.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s)</w:t>
        <w:tab/>
        <w:t>Installing Equipment and Software where necessary, including new Equipment and Software or upgrades. All installations and configurations will be performed according to standards and EuroBank Change Management process and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t)</w:t>
        <w:tab/>
        <w:t>Re-loading data or backup files as necessary.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u)</w:t>
        <w:tab/>
        <w:t>Providing assistance to the 2IM and other PST Suppliers – depending on the specific nature of the IMAC - with the validation, tracking and execution of IMAC orders in accordance with the IMAC process.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v)</w:t>
        <w:tab/>
        <w:t>Assisting with the gathering of information related to IMACs, where necessary, enabling the close monitoring of client satisfaction and Service Levels.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w:t>
        <w:tab/>
        <w:t>Ensuring that the Asset Inventory and Management System is updated in combination with any of the PST Supplier’s management system, after completion of an IMAC.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x)</w:t>
        <w:tab/>
        <w:t>Obtaining from the EuroBank via the 2IM a list of personnel authorized to issue change orders whilst following the EuroBank Change Management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y)</w:t>
        <w:tab/>
        <w:t>Testing where necessary, the Equipment, Software and related Services after the implementation of the IMAC (for example, file open and print routing capabilities, remote connectivity, Internet/intranet access, etc.).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z)</w:t>
        <w:tab/>
        <w:t>Providing, where necessary, desk-side orientation training, appropriate to the Authorized User(s) receiving the IMAC.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aa)</w:t>
        <w:tab/>
        <w:t>Affixing any asset identifiers to the assets and updating the Asset Inventory and Management System in a timely manner when any Equipment or Software changes are implemented by the PST Supplier or reported by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bb)</w:t>
        <w:tab/>
        <w:t>Monitoring client satisfaction as appropriate and closely monitoring Service Levels throughout the IMAC activity and following the delivery at predetermined intervals.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cc)</w:t>
        <w:tab/>
        <w:t>Meeting the IMAC-related Service Levels set forth in Attachment 3-A (Service Level Matrix) to Exhibit 3 (Service Levels).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dd)</w:t>
        <w:tab/>
        <w:t>Confirming correct implementation of the IMAC with the designated EuroBank personnel as appropriate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ee)</w:t>
        <w:tab/>
        <w:t xml:space="preserve">Providing a channel to dispose or cascade Equipment and Software no longer required, including packaging material and other waste. </w:t>
      </w:r>
    </w:p>
    <w:p>
      <w:pPr>
        <w:pStyle w:val="Heading2Numbered"/>
        <w:numPr>
          <w:ilvl w:val="1"/>
          <w:numId w:val="2"/>
        </w:numPr>
        <w:ind w:hanging="0" w:start="0"/>
        <w:rPr>
          <w:sz w:val="22"/>
          <w:szCs w:val="22"/>
          <w:lang w:val="en-GB"/>
        </w:rPr>
      </w:pPr>
      <w:bookmarkStart w:id="35" w:name="__RefHeading___Toc148668836"/>
      <w:bookmarkEnd w:id="35"/>
      <w:r>
        <w:rPr>
          <w:sz w:val="22"/>
          <w:szCs w:val="22"/>
          <w:lang w:val="en-GB"/>
        </w:rPr>
        <w:t>PROJECT IMACS</w:t>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Performing all tasks associated with Hard and Soft IMACs as described in this Exhibit, with additional responsibilities and coordination based on the scale required for activities associated with Project IMACs.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Developing and submitting to EuroBank a written Project IMAC plan, where not undertaken by the 2IM, including a timeline and milestones (in accordance with the approved project management process), to complete the Project IMAC within the schedule of the EuroBank project scope.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Providing appropriate PST Supplier project management personnel to interface with any 2IM and EuroBank personnel, including facilities managers; and supervising and managing the implementation of the Project IMAC.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Developing a comprehensive contingency plan for Project IMACs including: back-out procedures; notification and escalation lists; work-around plans; affected resources; and risk assessments.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Coordinating prioritisation and resource allocation with EuroBank for approved Project IMACs.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Assisting with the recording, tracking, and managing Project IMAC requests in conjunction with other PST Suppliers and the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Providing Project IMAC status reports as appropriate and participating in Project IMAC planning meetings.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Providing appropriate information to the 2IM and EuroBank for non-recurring expenses and recurring billing for the Project IMAC.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As required, performing post-implementation reviews or analyses of Project IMACs (for example, establishing the degree to which the Project IMAC meets acceptance criteria).</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Providing a single point of contact for Authorized Users and the Service Desk for activities associated with an IMAC.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Providing close coordination and support to the Service Desk for all matters pertaining to IMAC requests and status reports.</w:t>
      </w:r>
    </w:p>
    <w:p>
      <w:pPr>
        <w:pStyle w:val="Normal"/>
        <w:spacing w:before="0" w:after="0"/>
        <w:jc w:val="both"/>
        <w:rPr>
          <w:szCs w:val="22"/>
          <w:lang w:val="en-GB"/>
        </w:rPr>
      </w:pPr>
      <w:r>
        <w:rPr>
          <w:szCs w:val="22"/>
          <w:lang w:val="en-GB"/>
        </w:rPr>
      </w:r>
    </w:p>
    <w:p>
      <w:pPr>
        <w:pStyle w:val="Heading1Numbered"/>
        <w:numPr>
          <w:ilvl w:val="0"/>
          <w:numId w:val="2"/>
        </w:numPr>
        <w:ind w:hanging="0" w:start="0"/>
        <w:rPr>
          <w:sz w:val="22"/>
          <w:szCs w:val="22"/>
          <w:lang w:val="en-GB"/>
        </w:rPr>
      </w:pPr>
      <w:bookmarkStart w:id="36" w:name="__RefHeading___Toc148668837"/>
      <w:bookmarkEnd w:id="36"/>
      <w:r>
        <w:rPr>
          <w:sz w:val="22"/>
          <w:szCs w:val="22"/>
          <w:lang w:val="en-GB"/>
        </w:rPr>
        <w:t>GENERAL APPROACH TO PROJECT MANAGEMENT AND SUPPORT</w:t>
      </w:r>
    </w:p>
    <w:p>
      <w:pPr>
        <w:pStyle w:val="Normal"/>
        <w:spacing w:before="0" w:after="0"/>
        <w:jc w:val="both"/>
        <w:rPr>
          <w:szCs w:val="22"/>
          <w:lang w:val="en-GB"/>
        </w:rPr>
      </w:pPr>
      <w:r>
        <w:rPr>
          <w:szCs w:val="22"/>
          <w:lang w:val="en-GB"/>
        </w:rPr>
        <w:t>The approach used for Project Management is essential to the effective and high quality delivery of services beyond normal day to day operations (e.g. Incident Management and IMACs etc). Whilst the process is owned and managed by the 2IM, adherence to the process and execution of the PST Supplier’s responsibilities are critical.</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Project methodology</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The PST Supplier has implemented a professional Project Management methodology based upon the international and widely accepted industry Prince II or equivalent standard.</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Project Governance</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The PST Supplier’s Program Managers will report to the 2IM Program Manager. On Operational level the Project Managers manage their projects and Service Delivery Managers are responsible for delivering the service as agreed upon in SLAs (which includes any relevant Critical Service Levels, Key Measures, and the other measures included in Attachments 3 A - C).</w:t>
      </w:r>
    </w:p>
    <w:p>
      <w:pPr>
        <w:pStyle w:val="Heading2Numbered"/>
        <w:numPr>
          <w:ilvl w:val="1"/>
          <w:numId w:val="2"/>
        </w:numPr>
        <w:ind w:hanging="0" w:start="0"/>
        <w:rPr>
          <w:sz w:val="22"/>
          <w:szCs w:val="22"/>
          <w:lang w:val="en-GB"/>
        </w:rPr>
      </w:pPr>
      <w:bookmarkStart w:id="37" w:name="__RefHeading___Toc148668838"/>
      <w:bookmarkEnd w:id="37"/>
      <w:r>
        <w:rPr>
          <w:sz w:val="22"/>
          <w:szCs w:val="22"/>
          <w:lang w:val="en-GB"/>
        </w:rPr>
        <w:t>PROJECT PLANNING</w:t>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Upon request, participating in 2IM and EuroBank’s planning meetings to review operations and other plans; and recommending appropriate IT services and projects to support plan execution.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Maintaining appropriate levels of industry knowledge on EuroBank’s business in order to provide, where required, support and recommendation of projects. The knowledge will be obtained and maintained through, among other activities, participation in industry meetings, forums and conferences at the PST Supplier’s expense.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Assisting with the preparation of proposals and plans for projects as requested by the 2IM and EuroBank, or as appropriate based on providing the Services. Such proposals and plans will include but not be limited to:</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The business requirements for the work and the deliverable(s) desired.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The quantitative and qualitative benefits received by EuroBank as a result of performing the project.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The initiator of the proposed project (either an Authorized User or the PST Supplier).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The total number and type(s) of FTEs required for the project.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A description of any Equipment, Software, or other materials required for the project and ongoing support.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The total elapsed time to complete the project, and any time constraints or material assumptions.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w:t>
        <w:tab/>
        <w:t>The total cost of the project (including fees paid to the PST Supplier as well as any Retained Expenses), the timing of any payment(s), and whether the cost is included in the Base Charges.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viii)</w:t>
        <w:tab/>
        <w:t>The ongoing annual cost of the project post-implementation (including fees paid to the PST Supplier as well as any Retained Expenses), the timing of any payment(s), and whether the cost is included in the Base Charges.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ix)</w:t>
        <w:tab/>
        <w:t>A rating of the relative risk of the project, and possible alternatives to the project.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w:t>
        <w:tab/>
        <w:t>Any other material assumptions related to the project, including any support required from EuroBank or its Third Party Vendors.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xi)</w:t>
        <w:tab/>
        <w:t>Any other provisions necessary to describe the work needed.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Once EuroBank approves a project related to the Services, employing the agreed project management methodology.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The PST Supplier is experienced with working project methodologies, and has a proven track record of success in using them. The 2IM and EuroBank will approve the methodology prior to deployment and the PST Supplier will demonstrate experience in this methodology, or at least a clear path to effectively using the methodology at commencement date.</w:t>
      </w:r>
    </w:p>
    <w:p>
      <w:pPr>
        <w:pStyle w:val="Heading2Numbered"/>
        <w:numPr>
          <w:ilvl w:val="1"/>
          <w:numId w:val="2"/>
        </w:numPr>
        <w:ind w:hanging="0" w:start="0"/>
        <w:rPr>
          <w:sz w:val="22"/>
          <w:szCs w:val="22"/>
          <w:lang w:val="en-GB"/>
        </w:rPr>
      </w:pPr>
      <w:bookmarkStart w:id="38" w:name="__RefHeading___Toc148668839"/>
      <w:bookmarkEnd w:id="38"/>
      <w:r>
        <w:rPr>
          <w:sz w:val="22"/>
          <w:szCs w:val="22"/>
          <w:lang w:val="en-GB"/>
        </w:rPr>
        <w:t>PROJECT IMPLEMENTATION</w:t>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Managing all project tasks and resources associated with their particular project remit, and coordinating activities with 2IM, EuroBank, affected Authorized Users, and affected Third Party Vendors.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Making any and all changes associated with the project in compliance with approved Change Management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Using the agreed project management tools and methodologies, and employing regular reporting mechanism to identify project tasks, present current status reports and next steps, and identifying potential bottlenecks and problems.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Communicating project status as part of standard Change Management process with 2IM and EuroBank, and as necessary to affected Authorized Users and Third Party Vendors.</w:t>
      </w:r>
    </w:p>
    <w:p>
      <w:pPr>
        <w:pStyle w:val="Heading2Numbered"/>
        <w:numPr>
          <w:ilvl w:val="1"/>
          <w:numId w:val="2"/>
        </w:numPr>
        <w:ind w:hanging="0" w:start="0"/>
        <w:rPr>
          <w:sz w:val="22"/>
          <w:szCs w:val="22"/>
          <w:lang w:val="en-GB"/>
        </w:rPr>
      </w:pPr>
      <w:bookmarkStart w:id="39" w:name="__RefHeading___Toc148668840"/>
      <w:bookmarkEnd w:id="39"/>
      <w:r>
        <w:rPr>
          <w:sz w:val="22"/>
          <w:szCs w:val="22"/>
          <w:lang w:val="en-GB"/>
        </w:rPr>
        <w:t>CURRENT AND ONGOING PROJECTS</w:t>
      </w:r>
    </w:p>
    <w:p>
      <w:pPr>
        <w:pStyle w:val="Normal"/>
        <w:spacing w:before="0" w:after="0"/>
        <w:jc w:val="both"/>
        <w:rPr/>
      </w:pPr>
      <w:r>
        <w:rPr>
          <w:szCs w:val="22"/>
          <w:lang w:val="en-GB"/>
        </w:rPr>
        <w:t>A list of the major Current and Ongoing Projects is set forth in Exhibit 9 (In-Flight Projects). As of the Commencement date, EuroBank will have the right to update the projects listed in Exhibit 9 (In-Flight Projects) to include any additions to and deletions from such list, which have occurred in the ordinary course of business prior to the Commencement date.</w:t>
      </w:r>
      <w:r>
        <w:rPr>
          <w:i/>
          <w:szCs w:val="22"/>
          <w:lang w:val="en-GB"/>
        </w:rPr>
      </w:r>
      <w:r>
        <w:rPr>
          <w:szCs w:val="22"/>
          <w:lang w:val="en-GB"/>
        </w:rPr>
      </w:r>
      <w:r>
        <w:rPr>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If requested by 2IM and EuroBank, assisting with the completion of all Ongoing Projects in accordance with the following: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Completing all Ongoing Projects, within scope of the Bundle, in accordance with project management and development practices in place as of the Commencement date, unless modified by mutual consent.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ii)</w:t>
        <w:tab/>
        <w:t>Use all reasonable efforts to complete the Ongoing Projects (i) by the completion date or end date with respect to each such project, as listed in Exhibits 9 (</w:t>
      </w:r>
      <w:r>
        <w:rPr>
          <w:i/>
          <w:szCs w:val="22"/>
          <w:lang w:val="en-GB"/>
        </w:rPr>
        <w:t>In-Flight Projects</w:t>
      </w:r>
      <w:r>
        <w:rPr>
          <w:szCs w:val="22"/>
          <w:lang w:val="en-GB"/>
        </w:rPr>
        <w:t>), or (ii) if no completion date or end date is provided therein for a project, as early as possible.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Using the Change Management procedures to address any changes in scope, requirements, or schedules in respect to the Ongoing Projects.</w:t>
      </w:r>
    </w:p>
    <w:p>
      <w:pPr>
        <w:pStyle w:val="Heading2Numbered"/>
        <w:numPr>
          <w:ilvl w:val="1"/>
          <w:numId w:val="2"/>
        </w:numPr>
        <w:ind w:hanging="0" w:start="0"/>
        <w:rPr>
          <w:sz w:val="22"/>
          <w:szCs w:val="22"/>
          <w:lang w:val="en-GB"/>
        </w:rPr>
      </w:pPr>
      <w:bookmarkStart w:id="40" w:name="__RefHeading___Toc148668841"/>
      <w:bookmarkEnd w:id="40"/>
      <w:r>
        <w:rPr>
          <w:sz w:val="22"/>
          <w:szCs w:val="22"/>
          <w:lang w:val="en-GB"/>
        </w:rPr>
        <w:t>LONG RANGE PLANNING</w:t>
      </w:r>
    </w:p>
    <w:p>
      <w:pPr>
        <w:pStyle w:val="Normal"/>
        <w:spacing w:before="0" w:after="0"/>
        <w:jc w:val="both"/>
        <w:rPr>
          <w:szCs w:val="22"/>
          <w:lang w:val="en-GB"/>
        </w:rPr>
      </w:pPr>
      <w:r>
        <w:rPr>
          <w:szCs w:val="22"/>
          <w:lang w:val="en-GB"/>
        </w:rPr>
        <w:t>EuroBank is primarily responsible for the Long Range IT Plan and the expected results there from. In the development of this plan, the PST Supplier will act as advisor in projecting future volume, technology, geographic changes any other influences that could impact EuroBank’s systems and technical architecture.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In the ‘bleeding edge’ phase, based on business drivers of EuroBank, the PST Supplier will define technological developments most suitable to realise the required results as laid down in EuroBank’s business drivers. PST Supplier will define the requirements for the deployment of new technology or automation of tasks associated with the Services and/or EuroBank business processes, and will make an inventory of the solutions.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Next phase is labelled ‘leading edge’, in which the PST Supplier proactively submits proposals regarding new technology and automation to EuroBank for review and approval, after which the proposed solutions are developed and piloted. It is inherent in the business models of all PST Suppliers that wherever it proves beneficial, manual tasks associated with the Services will be automated. This continuous focus on service improvement and costs saving potentials provides input to the annual planning cycle in terms of short-term steps and schedules for projects or changes expected to occur within the first twelve (12) months.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In the ‘maturity phase’, new technology is implemented and operated.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At the end of the life cycle in the ‘legacy’ phase, no new innovations are being pursued and the focus is on corrective maintenance. Replacement of legacy technology by new technological solutions ensures continuous IT life cycle management as part of EuroBank’s long term IT planning.</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Where requested by the 2IM and EuroBank, assisting in the development and updating of the long-range, comprehensive plan for EuroBank’s information technology (IT) systems, processes, technical architecture and standards (“Long Range IT Plan”). While EuroBank will be primarily responsible for this plan, the PST Supplier may be required to act as an advisor.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Where requested by the 2IM and EuroBank, assisting to understand, develop, and confirm the future business and IT requirements. By confirming the PST Supplier agrees that the vision is implementable within agreed time frames and estimated budget.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Where requested by the 2IM and EuroBank, assisting in projecting future volume, technology, and geographic changes that could impact EuroBank’s systems and technical architecture.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Identifying candidates and requirements for the deployment of new technology or automation of tasks associated with the Services and/or EuroBank business processes.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Proactively submitting proposals regarding new technology and automation to the 2IM and EuroBank for its review and approval.</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Proactively seeking to automate manual tasks associated with the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Supporting the 2IM and EuroBank in the discussion and presentation of potential new technology product and service offerings to Authorized Users.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As required taking part in cross functional, cross-group and cross-location coordination and communication related to new technology and automation.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Proactively identifying strategies and approaches for future IT delivery that the PST Supplier believes will provide EuroBank with competitive advantages and may result in increased efficiency, performance, or cost savings.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Helping to identify the projects to be performed and defining high-level schedules and cost benefit analysis.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As part of each annual planning cycle, providing to the 2IM, specific, short-term steps and schedules for projects or changes expected to occur within the first twelve (12) months of each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Helping to specify the Equipment and Software architecture and standards, and participating in continuously keeping EuroBank’s technical architecture current, under the management of the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m)</w:t>
        <w:tab/>
        <w:t>Providing access to specialists within the PST Supplier’s organization as needed, to assist 2IM and EuroBank develop and update the plan.</w:t>
      </w:r>
    </w:p>
    <w:p>
      <w:pPr>
        <w:pStyle w:val="Heading1Numbered"/>
        <w:numPr>
          <w:ilvl w:val="0"/>
          <w:numId w:val="2"/>
        </w:numPr>
        <w:ind w:hanging="0" w:start="0"/>
        <w:rPr>
          <w:sz w:val="22"/>
          <w:szCs w:val="22"/>
          <w:lang w:val="en-GB"/>
        </w:rPr>
      </w:pPr>
      <w:bookmarkStart w:id="41" w:name="__RefHeading___Toc148668842"/>
      <w:bookmarkEnd w:id="41"/>
      <w:r>
        <w:rPr>
          <w:sz w:val="22"/>
          <w:szCs w:val="22"/>
          <w:lang w:val="en-GB"/>
        </w:rPr>
        <w:t>GENERAL APPROACH TO INCIDENT MANAGEMENT</w:t>
      </w:r>
    </w:p>
    <w:p>
      <w:pPr>
        <w:pStyle w:val="Normal"/>
        <w:spacing w:before="0" w:after="0"/>
        <w:jc w:val="both"/>
        <w:rPr>
          <w:szCs w:val="22"/>
          <w:lang w:val="en-GB"/>
        </w:rPr>
      </w:pPr>
      <w:r>
        <w:rPr>
          <w:szCs w:val="22"/>
          <w:lang w:val="en-GB"/>
        </w:rPr>
        <w:t xml:space="preserve">The responsibility of the process lies with 2IM, while the PST Supplier providing the Service Desk takes up the Process Management function. All PST Suppliers act as process executors.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r>
      <w:r>
        <w:rPr>
          <w:szCs w:val="22"/>
          <w:lang w:val="en-GB"/>
        </w:rPr>
        <w:drawing>
          <wp:inline distT="0" distB="0" distL="0" distR="0">
            <wp:extent cx="3162300" cy="1871980"/>
            <wp:effectExtent l="0" t="0" r="0" b="0"/>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10"/>
                    <a:srcRect l="-11" t="-19" r="-11" b="-19"/>
                    <a:stretch>
                      <a:fillRect/>
                    </a:stretch>
                  </pic:blipFill>
                  <pic:spPr bwMode="auto">
                    <a:xfrm>
                      <a:off x="0" y="0"/>
                      <a:ext cx="3162300" cy="187198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has an ITIL based Incident Management process, although individual PST Suppliers and 2IM use their own resolution processes and tooling where required. However, overall the end to end process will be seamless to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r>
      <w:r>
        <w:rPr>
          <w:szCs w:val="22"/>
          <w:lang w:val="en-GB"/>
        </w:rPr>
        <w:drawing>
          <wp:inline distT="0" distB="0" distL="0" distR="0">
            <wp:extent cx="3162300" cy="1731010"/>
            <wp:effectExtent l="0" t="0" r="0" b="0"/>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11"/>
                    <a:srcRect l="-10" t="-19" r="-10" b="-19"/>
                    <a:stretch>
                      <a:fillRect/>
                    </a:stretch>
                  </pic:blipFill>
                  <pic:spPr bwMode="auto">
                    <a:xfrm>
                      <a:off x="0" y="0"/>
                      <a:ext cx="3162300" cy="173101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Service Desk performs a dual role in the Incident Management process. Next to being Process Manager, they also have a role as Process Executor. Service Desk executes the call handling sub-process, the 1st line incident resolution, and the dispatching to the 2nd and 3rd line.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Incident Management systems of the individual PST Suppliers will be interfaced to each other through the Service Desk. The Incident System from the Service Desk supplier is the central system which interfaces to the current EuroBank Incident System (i.e. IRMa). Incident and request tickets are passed to the PST Suppliers through this interface and transferred to the individual ticketing systems of these PST Suppliers. 2IM will have access to the Service Desk Incident Management System in order to fulfil its agreed Incident Management responsibilities. When the incident is resolved, the PST Suppliers sign off the tickets in their own Incident Management system and through the same interface in the Service Desk Incident Management system. The Service Desk tracks and traces all tickets and keeps control over the status of the incident until completely recovered.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r>
      <w:r>
        <w:rPr>
          <w:szCs w:val="22"/>
          <w:lang w:val="en-GB"/>
        </w:rPr>
        <w:drawing>
          <wp:inline distT="0" distB="0" distL="0" distR="0">
            <wp:extent cx="4195445" cy="2303780"/>
            <wp:effectExtent l="0" t="0" r="0" b="0"/>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12"/>
                    <a:srcRect l="-5" t="-8" r="-5" b="-8"/>
                    <a:stretch>
                      <a:fillRect/>
                    </a:stretch>
                  </pic:blipFill>
                  <pic:spPr bwMode="auto">
                    <a:xfrm>
                      <a:off x="0" y="0"/>
                      <a:ext cx="4195445" cy="230378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PST Supplier together with 2IM will provide full process documentation. The PST Supplier will analyse incidents, and build and test resolutions in the PST Supplier non-production environment.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According to the classification of incidents, priority 1 incidents are the responsibility of 2IM, who will take over resolution coordination. Still, the Service Desk executes the administration, tracking and tracing.</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resolution rate parameters will be described in Exhibit 3 (</w:t>
      </w:r>
      <w:r>
        <w:rPr>
          <w:i/>
          <w:szCs w:val="22"/>
          <w:lang w:val="en-GB"/>
        </w:rPr>
        <w:t>Service Levels</w:t>
      </w:r>
      <w:r>
        <w:rPr>
          <w:szCs w:val="22"/>
          <w:lang w:val="en-GB"/>
        </w:rPr>
        <w: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Working within the common process and standard tools, and the SLAs for Incident Management as defined by the 2IM and agreed with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Where required, assisting with the maintenance of web repository of tools, templates, process documentation and reports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Contributing to the 2IM’s consolidation of Incident data and reporting as defined in Exhibit 13 (</w:t>
      </w:r>
      <w:r>
        <w:rPr>
          <w:i/>
          <w:szCs w:val="22"/>
          <w:lang w:val="en-GB"/>
        </w:rPr>
        <w:t>Reports</w:t>
      </w:r>
      <w:r>
        <w:rPr>
          <w:szCs w:val="22"/>
          <w:lang w:val="en-GB"/>
        </w:rPr>
        <w: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Managing all Incidents included by the 2IM defined process and scope, and when required extraordinary events; providing communication, troubleshooting, establishing conference calls, and executing the necessary steps to return to the status quo.</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Provide relevant infrastructure necessary to manage all Incidents included by the 2IM defined process and scope, and when required extraordinary events including all necessary tools to effectively manage this process.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Actively take part in all 2IM initiated calls with all other impacted groups and stakeholders, proactively taking and retaining ownership until the correct owner can be determined.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Contribute to the 2IM’s Incident analysis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Identifying Incident trends and remedial actions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Identifying Single Point of Failure (SPOF) from Incidents and propose remedial actions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Predictive analysis identifying faults that may lead to Incidents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Monitoring the internal execution of Incident Management with the aim of continuous improvement to be planned and implemented in conjunction with the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Be prepared to provide 24x7 management coordination for extraordinary events outside the scope of service with staff to moderate and manage the event</w:t>
      </w:r>
    </w:p>
    <w:p>
      <w:pPr>
        <w:pStyle w:val="Heading1Numbered"/>
        <w:numPr>
          <w:ilvl w:val="0"/>
          <w:numId w:val="2"/>
        </w:numPr>
        <w:ind w:hanging="0" w:start="0"/>
        <w:rPr>
          <w:sz w:val="22"/>
          <w:szCs w:val="22"/>
          <w:lang w:val="en-GB"/>
        </w:rPr>
      </w:pPr>
      <w:bookmarkStart w:id="42" w:name="__RefHeading___Toc148668843"/>
      <w:bookmarkEnd w:id="42"/>
      <w:r>
        <w:rPr>
          <w:sz w:val="22"/>
          <w:szCs w:val="22"/>
          <w:lang w:val="en-GB"/>
        </w:rPr>
        <w:t>GENERAL APPROACH TO PROBLEM MANAGEMENT</w:t>
      </w:r>
    </w:p>
    <w:p>
      <w:pPr>
        <w:pStyle w:val="Normal"/>
        <w:spacing w:before="0" w:after="0"/>
        <w:jc w:val="both"/>
        <w:rPr>
          <w:szCs w:val="22"/>
          <w:lang w:val="en-GB"/>
        </w:rPr>
      </w:pPr>
      <w:r>
        <w:rPr>
          <w:szCs w:val="22"/>
          <w:lang w:val="en-GB"/>
        </w:rPr>
        <w:t xml:space="preserve">All data concerning problems and underlying incidents are shared and are synchronised between the PST Supplier’s individual systems.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All workarounds (implemented to take away the obstacle in the operational business process) and structural solutions are registered within the ‘Problem Management’ process. The PST Supplier will always inform the 2IM about problems and resolution actions.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Depending on the type of the problem, one or more PST Suppliers work together with 2IM to realise the integrated resolution. The PST Supplier will apply Root Cause Analysis, review its sub processes for Problem Solving and where efficiency gains can be made, improve them.</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 close cooperation the PST Supplier and 2IM will perform the collection, consolidation, reporting and trend analysis on remedial actions, as well as the updates of the Knowledge base.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Contributing to the resolution of all Problems assigned to the PST Supplier and where necessary across other Bundles. The responsibility of the PST Supplier will also include responsibility for and coordination of problem management with interoperating systems (servers, application and/or services) for any problems relating to the SWS Function including the Services, and cooperation required for analysing out of scope problems.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Working within the common process and standard tools for Problem Management as defined by the PST Supplier and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Contributing to the 2IM’s consolidation of Problem data and reporting as defined in Exhibit 13 (</w:t>
      </w:r>
      <w:r>
        <w:rPr>
          <w:i/>
          <w:szCs w:val="22"/>
          <w:lang w:val="en-GB"/>
        </w:rPr>
        <w:t>Reports</w:t>
      </w:r>
      <w:r>
        <w:rPr>
          <w:szCs w:val="22"/>
          <w:lang w:val="en-GB"/>
        </w:rPr>
        <w: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 xml:space="preserve">Taking part in Problem Management review sessions to identify trends across Services to ensure problems are being resolved in a timely manner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 xml:space="preserve">Contributing to the 2IM Audits of the effectiveness of the Problem process across EuroBank and PST Suppliers.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Contributing to the generation of management reports, by the 2IM, of the audit results, and executing corrective actions where identified.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Identifying Incident trends and remedial actions.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Updating the knowledge base of most common Problems and taking all corrective action.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Collect, consolidate and report to the 2IM a listing of known errors and Problems.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Work with the 2IM and the other PST Suppliers to develop testing scenarios and solution sets appropriate to mitigate risks presented by Problems.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Contribute to the continuous improvement of the Problem Management process under the guidance of the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Acting in the role of EuroBank Problem Manager, to supplement the 2IM and EuroBank resources, where required.</w:t>
      </w:r>
    </w:p>
    <w:p>
      <w:pPr>
        <w:pStyle w:val="Heading1Numbered"/>
        <w:numPr>
          <w:ilvl w:val="0"/>
          <w:numId w:val="2"/>
        </w:numPr>
        <w:ind w:hanging="0" w:start="0"/>
        <w:rPr>
          <w:sz w:val="22"/>
          <w:szCs w:val="22"/>
          <w:lang w:val="en-GB"/>
        </w:rPr>
      </w:pPr>
      <w:bookmarkStart w:id="43" w:name="__RefHeading___Toc148668844"/>
      <w:bookmarkEnd w:id="43"/>
      <w:r>
        <w:rPr>
          <w:sz w:val="22"/>
          <w:szCs w:val="22"/>
          <w:lang w:val="en-GB"/>
        </w:rPr>
        <w:t>GENERAL APPROACH TO CHANGE MANAGEMENT</w:t>
      </w:r>
    </w:p>
    <w:p>
      <w:pPr>
        <w:pStyle w:val="Normal"/>
        <w:spacing w:before="0" w:after="0"/>
        <w:jc w:val="both"/>
        <w:rPr>
          <w:szCs w:val="22"/>
          <w:lang w:val="en-GB"/>
        </w:rPr>
      </w:pPr>
      <w:r>
        <w:rPr>
          <w:szCs w:val="22"/>
          <w:lang w:val="en-GB"/>
        </w:rPr>
        <w:t>The primary objective of Change Management is to ensure that standardised methods and procedures are used for efficient and prompt handling of all changes, in order to minimise the effect of incidents caused by changes upon the overall services delivered to EuroBank, and quality measured against agreed upon service levels.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process responsibilities have three functions:</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Manage changes to hardware, software, communications equipment, documentation, and procedures that are relevant to running, supporting and maintaining of all delivered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Establish and manage the Change Advisory Board (CAB);</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Act as a major source of management information on service quality and the effectiveness of the PST Resolver Groups.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 order to meet these tasks, a Change Advisory Board (CAB) is appointed for managing the changes for the areas where the PST Supplier is responsible, chaired by an overall Change Manager from 2IM, who owns the Change Management process. Change Management can be broken down into several phases that follow a logical flow as illustrated in the picture below.</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r>
      <w:r>
        <w:rPr>
          <w:szCs w:val="22"/>
          <w:lang w:val="en-GB"/>
        </w:rPr>
        <w:drawing>
          <wp:inline distT="0" distB="0" distL="0" distR="0">
            <wp:extent cx="3162935" cy="2917825"/>
            <wp:effectExtent l="0" t="0" r="0" b="0"/>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13"/>
                    <a:srcRect l="-11" t="-12" r="-11" b="-12"/>
                    <a:stretch>
                      <a:fillRect/>
                    </a:stretch>
                  </pic:blipFill>
                  <pic:spPr bwMode="auto">
                    <a:xfrm>
                      <a:off x="0" y="0"/>
                      <a:ext cx="3162935" cy="291782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Request for Change (RFC)</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When the change request is received, the Service Desk checks if the request contains all required data in order to be processed.  If the request is incomplete, the Service Desk will reject the request, and informs the request initiator with the reason for rejection, and/or help the initiator to complete the request.  After the request is completed and accepted by the Service desk, it is regarded as accepted for processing.</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Service Desk will act as Single Point of Contact (SPOC) for recording and channelling all changes. All Standard Service Requests (SSRs) are handled and authorized by using the Service Portal. Non-standard change requests go always via the CAB.</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Judge and Plan RFC</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Every RFC must be allocated a priority that indicates the urgency with which the change must be processed. The Change Manager, as chairman from the CAB and owner of the Change Management process, is responsible for assigning this priority. First step in classifying the RFC is determining whether the change is a standard or a non-standard change.</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i/>
          <w:szCs w:val="22"/>
          <w:lang w:val="en-GB"/>
        </w:rPr>
        <w:t>Standard Change Requests</w:t>
      </w:r>
      <w:r>
        <w:rPr>
          <w:szCs w:val="22"/>
          <w:lang w:val="en-GB"/>
        </w:rPr>
        <w:t xml:space="preserve"> are recorded in the Service Catalogue. If a request is classified as being a standard e.g. creating new user accounts and daily routines. A predetermined request description (standard change request) can be chosen from the Service Desk system where after the system calculates priority, impact, target end date. These requests are also pre-authorized by the CAB and can be scheduled and executed/ implemented without additional authorization and analyzing steps.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i/>
          <w:szCs w:val="22"/>
          <w:lang w:val="en-GB"/>
        </w:rPr>
        <w:t>Non-Standard Change Requests</w:t>
      </w:r>
      <w:r>
        <w:rPr>
          <w:szCs w:val="22"/>
          <w:lang w:val="en-GB"/>
        </w:rPr>
        <w:t xml:space="preserve"> has to go via the CAB. The priority and impact must be chosen in cooperation with the involved CAB members. Additional authorisation, planning and implementation steps are required. This information must be recoded (after the proper process steps are taken) in the corresponding change form fields.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During initial recording, the ticket is given an initial classification. The Change Manager checks this classification and adjusts the classification when necessary. For changes that are classified as ‘emergency’, a separate procedure (Emergency Changes) is described at the end of this answer. </w:t>
      </w:r>
    </w:p>
    <w:p>
      <w:pPr>
        <w:pStyle w:val="Normal"/>
        <w:spacing w:before="0" w:after="0"/>
        <w:jc w:val="both"/>
        <w:rPr>
          <w:szCs w:val="22"/>
          <w:lang w:val="en-GB"/>
        </w:rPr>
      </w:pPr>
      <w:r>
        <w:rPr>
          <w:szCs w:val="22"/>
          <w:lang w:val="en-GB"/>
        </w:rPr>
        <w:t xml:space="preserve"> </w:t>
      </w:r>
    </w:p>
    <w:p>
      <w:pPr>
        <w:pStyle w:val="Normal"/>
        <w:spacing w:before="0" w:after="0"/>
        <w:jc w:val="both"/>
        <w:rPr>
          <w:b/>
          <w:szCs w:val="22"/>
          <w:lang w:val="en-GB"/>
        </w:rPr>
      </w:pPr>
      <w:r>
        <w:rPr>
          <w:b/>
          <w:szCs w:val="22"/>
          <w:lang w:val="en-GB"/>
        </w:rPr>
        <w:t>Build &amp; Test Change Package(s)</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Authorised Requests for Changes (RFCs) are passed to the relevant technical groups for ‘building’ of the changes (as indicated in the resource allocation by the CAB). This might involve creating a new software function for one or more software modules, preparing hardware modification, ordering and implementing a new data communication line, producing new or amended documentation, preparing user training or a combination of all.</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Implement Change Package(s)</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The Change Coordinator is responsible for ensuring all changes are implemented according to schedule. This will be mainly a project management task since the actual implementation is (often) the responsibility of others (such as hardware engineers installing a new router).  During implementation phase, the Service Desk is informed of al relevant status updates on the progress of the change.  The Service Desk informs on their turn all parties/users or answer questions about the change.</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Evaluate Change</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The Change Manager reviews and presents regularly to the CAB all outstanding changes. Implemented changes are reviewed, where the CAB has to decide if the change needs any follow-up actions or can be accepted and closed.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All problems and discrepancies must be fed back to the CAB members, impact assessors, product authorities and ‘release’ authorities, to improve the change planning process in the future.  If a change did not meet its objectives, the CAB will decide on the follow up actions required.  This could result in a revised RFC or even activating the back-out plan.  If the review is satisfactory or the original change is abandoned, the RFC can be formally closed.</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Monitor &amp; Track Change Process</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The Service Desk system allows changes to be monitored and tracked throughout their entire life cycle. Facilities are provided to enable the Service Desk and the Change Managers to monitor and track changes easily, using key items of data (for example service, impact code, user identity, equipment item code). The change management system automatically indicates when changes of certain priority/impact codes have exceeded their pre-defined threshold period for escalation and completion.</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Emergency Changes</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The 2IM Change Manager is responsible to call for an emergency CAB meeting, e.g. to discuss the change with relevant staff, capable of understanding both the business and the technical implications of the RFC and able to estimate the resources required. Wherever possible, emergency changes should be handled in the same manor as normal changes. If for any reason this is not possible, the Change Manager has the responsibility to decide on the follow up actions and even skipping process steps.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Working within the common process and standard Change tools defined and agreed by the 2IM and EuroBank. This process must interface with and form a seamless part of the overall EuroBank Change Process including Emergency Changes.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Coordinating Change Management activities in accordance with the agreed processes across the 2IM and EuroBank, other PST Suppliers, and where relevant, other third party organisations.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Tracking and coordinating Changes to make certain that they can be accommodated in the Change window.</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Evaluating and recording the expected impact of a Change on availability targets of a service when downtime is requested, prior to implementation of the Change.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Make certain that an Incident is raised when a Change Window is overrun causing additional downtime.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Collecting data on every Change attempted, for the purposes of :</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Identification of any Incidents.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The measures taken to prevent recurrence and follow up of any necessary actions across all affected groups.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Determining whether the Change was successful from the perspective of the authorised user of the system.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As required, taking part in regular review sessions, the occurrence being agreed with the 2IM and EuroBank, to identify trends across PST Suppliers and to ensure Change Management procedures are being followed.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Contributing to the 2IM’s Change Management reports for EuroBank as agreed.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Within the Bundle providing an audit trail of any and all Changes to the production environment recording the Change made and the authorization to make the Change.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Utilising tools to automate the process of scheduling, describing, tracking, and reporting on Changes to the environment, in connection with the agreed Change Management processes.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Making any Changes necessary to provide the Services and meeting all required Service Levels, based on the approved Change Management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Responding to Change Requests from Authorized Users and making Changes based on the approved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m)</w:t>
        <w:tab/>
        <w:t>Taking an active part, as requested, in any Change Advisory Board (CAB) meetings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pPr>
      <w:r>
        <w:rPr>
          <w:szCs w:val="22"/>
          <w:lang w:val="en-GB"/>
        </w:rPr>
        <w:t>i)</w:t>
        <w:tab/>
        <w:t>Contributing to the provision of reports as described in Exhibit 13 (</w:t>
      </w:r>
      <w:r>
        <w:rPr>
          <w:i/>
          <w:szCs w:val="22"/>
          <w:lang w:val="en-GB"/>
        </w:rPr>
        <w:t>Reports</w:t>
      </w:r>
      <w:r>
        <w:rPr>
          <w:szCs w:val="22"/>
          <w:lang w:val="en-GB"/>
        </w:rPr>
        <w: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Monitoring and reporting the success/failure of changes within the Change Management system.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n)</w:t>
        <w:tab/>
        <w:t>The PST Supplier must – even where approval has been obtained, but except where such approval explicitly entailed agreement to the following – reasonably avoid making any Change that:</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Adversely affects the function, performance, or efficiency of any of the Services.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Increases EuroBank’s retained costs or external fees.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Impacts the way in which EuroBank conducts its business or operations, without first obtaining EuroBank approval, which approval EuroBank may withhold in its sole discretion.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o)</w:t>
        <w:tab/>
        <w:t>Under the guidance of the 2IM, the PST Supplier must ensure that the Change Management process achieves a set of clearly defined objectives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Efficient implementation of Changes.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Clear accountability.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Minimization of risk.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Minimization of business disruption.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Effective coordination and communication.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Making any Changes necessary to provide the Services and meeting all required Service Levels, based on EuroBank approved Change Control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p)</w:t>
        <w:tab/>
        <w:t>In an emergency, making temporary Changes if the PST Supplier has been unable to obtain approval, so long as all reasonable efforts have been made to obtain such approval and the Emergency Changes are documented and promptly reported to the 2IM, in accordance with EuroBank’s Change Control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q)</w:t>
        <w:tab/>
        <w:t>Providing 7 x 24 emergency coverage.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r)</w:t>
        <w:tab/>
        <w:t>Where Change controlled maintenance periods are required, the PST Supplier’s responsibilities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Managing routine maintenance during regular periods scheduled in advance and approved by EuroBank, and ensuring that systems will be unavailable during maintenance windows only to the extent necessary for systems maintenance purposes.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Providing at least thirty (30) days or another agreed period, prior notice to EuroBank of the maintenance to be performed during scheduled maintenance windows and changing scheduled maintenance windows at EuroBank’s request and upon reasonable notice.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Scheduling outages for maintenance, expansions and modifications during hours that meet EuroBank’s operational needs.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EuroBank, at any time at its discretion, may specify “freeze” periods during which the 2IM will not make any changes without the specific prior approval of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In the event that there is a need for emergency systems maintenance, providing EuroBank with as much notice as reasonably practicable and performing such maintenance so as to minimize interference with the business and operational needs of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Providing regular and appropriate progress updates to those Authorized Users or Third Parties who are affected by a Change.</w:t>
      </w:r>
    </w:p>
    <w:sectPr>
      <w:headerReference w:type="default" r:id="rId14"/>
      <w:headerReference w:type="first" r:id="rId15"/>
      <w:footerReference w:type="default" r:id="rId16"/>
      <w:footerReference w:type="first" r:id="rId17"/>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20"/>
      </w:rPr>
    </w:pPr>
    <w:r>
      <w:rPr>
        <w:sz w:val="20"/>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31</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2.0 (Statement of Work) Final v1.7.doc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2.0 (Statement of Work) Final v1.7.doc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9"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2.0 (Statement of Work) Final v1.7.doc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2">
    <w:name w:val="WW8Num1z2"/>
    <w:qFormat/>
    <w:rPr>
      <w:rFonts w:ascii="Times New Roman" w:hAnsi="Times New Roman" w:cs="Times New Roman"/>
      <w:b/>
      <w:i w:val="false"/>
      <w:sz w:val="24"/>
    </w:rPr>
  </w:style>
  <w:style w:type="character" w:styleId="WW8Num1z3">
    <w:name w:val="WW8Num1z3"/>
    <w:qFormat/>
    <w:rPr>
      <w:rFonts w:ascii="Times New Roman Bold;Times New Roman" w:hAnsi="Times New Roman Bold;Times New Roman" w:cs="Times New Roman Bold;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wmf"/><Relationship Id="rId9" Type="http://schemas.openxmlformats.org/officeDocument/2006/relationships/image" Target="media/image3.wmf"/><Relationship Id="rId10" Type="http://schemas.openxmlformats.org/officeDocument/2006/relationships/image" Target="media/image4.wmf"/><Relationship Id="rId11" Type="http://schemas.openxmlformats.org/officeDocument/2006/relationships/image" Target="media/image5.wmf"/><Relationship Id="rId12" Type="http://schemas.openxmlformats.org/officeDocument/2006/relationships/image" Target="media/image6.wmf"/><Relationship Id="rId13" Type="http://schemas.openxmlformats.org/officeDocument/2006/relationships/image" Target="media/image7.wmf"/><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2006-11-30T17:16:00Z</dcterms:created>
  <dc:creator> </dc:creator>
  <dc:description/>
  <cp:keywords/>
  <dc:language>en-US</dc:language>
  <cp:lastModifiedBy>Stuart Johnson</cp:lastModifiedBy>
  <cp:lastPrinted>2005-07-04T16:19:00Z</cp:lastPrinted>
  <dcterms:modified xsi:type="dcterms:W3CDTF">2006-11-30T17:17:00Z</dcterms:modified>
  <cp:revision>3</cp:revision>
  <dc:subject/>
  <dc:title> </dc:title>
</cp:coreProperties>
</file>