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t>EuroBank</w:t>
      </w:r>
    </w:p>
    <w:p>
      <w:pPr>
        <w:pStyle w:val="Title"/>
        <w:rPr>
          <w:lang w:val="en-GB"/>
        </w:rPr>
      </w:pPr>
      <w:r>
        <w:rPr>
          <w:lang w:val="en-GB"/>
        </w:rPr>
      </w:r>
    </w:p>
    <w:p>
      <w:pPr>
        <w:pStyle w:val="Title"/>
        <w:rPr>
          <w:lang w:val="en-GB"/>
        </w:rPr>
      </w:pPr>
      <w:r>
        <w:rPr>
          <w:lang w:val="en-GB"/>
        </w:rPr>
        <w:t>exhibit 2.1</w:t>
      </w:r>
    </w:p>
    <w:p>
      <w:pPr>
        <w:pStyle w:val="Title"/>
        <w:rPr>
          <w:lang w:val="en-GB"/>
        </w:rPr>
      </w:pPr>
      <w:r>
        <w:rPr>
          <w:lang w:val="en-GB"/>
        </w:rPr>
      </w:r>
    </w:p>
    <w:p>
      <w:pPr>
        <w:pStyle w:val="Title"/>
        <w:rPr>
          <w:lang w:val="en-GB"/>
        </w:rPr>
      </w:pPr>
      <w:r>
        <w:rPr>
          <w:lang w:val="en-GB"/>
        </w:rPr>
        <w:t>End User Computing</w:t>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sectPr>
          <w:headerReference w:type="default" r:id="rId2"/>
          <w:footerReference w:type="default" r:id="rId3"/>
          <w:type w:val="nextPage"/>
          <w:pgSz w:w="11906" w:h="16838"/>
          <w:pgMar w:left="1729" w:right="1729" w:gutter="0" w:header="720" w:top="776" w:footer="720" w:bottom="1094"/>
          <w:pgNumType w:fmt="decimal"/>
          <w:formProt w:val="false"/>
          <w:textDirection w:val="lrTb"/>
          <w:docGrid w:type="default" w:linePitch="360" w:charSpace="0"/>
        </w:sectPr>
        <w:pStyle w:val="Normal"/>
        <w:jc w:val="both"/>
        <w:rPr>
          <w:lang w:val="en-GB"/>
        </w:rPr>
      </w:pPr>
      <w:r>
        <w:rPr>
          <w:lang w:val="en-GB"/>
        </w:rPr>
      </w:r>
    </w:p>
    <w:p>
      <w:pPr>
        <w:pStyle w:val="Normal"/>
        <w:jc w:val="both"/>
        <w:rPr>
          <w:lang w:val="en-GB"/>
        </w:rPr>
      </w:pPr>
      <w:r>
        <w:rPr>
          <w:lang w:val="en-GB"/>
        </w:rPr>
      </w:r>
    </w:p>
    <w:p>
      <w:pPr>
        <w:pStyle w:val="Title"/>
        <w:rPr/>
      </w:pPr>
      <w:r>
        <w:rPr/>
        <w:t>Table of Contents</w:t>
      </w:r>
    </w:p>
    <w:sdt>
      <w:sdtPr>
        <w:docPartObj>
          <w:docPartGallery w:val="Table of Contents"/>
          <w:docPartUnique w:val="true"/>
        </w:docPartObj>
      </w:sdtPr>
      <w:sdtContent>
        <w:p>
          <w:pPr>
            <w:pStyle w:val="TOC1"/>
            <w:tabs>
              <w:tab w:val="clear" w:pos="720"/>
              <w:tab w:val="left" w:pos="440" w:leader="none"/>
              <w:tab w:val="right" w:pos="8441" w:leader="dot"/>
            </w:tabs>
            <w:rPr>
              <w:b w:val="false"/>
              <w:sz w:val="18"/>
              <w:szCs w:val="18"/>
              <w:lang w:val="en-US" w:eastAsia="en-US"/>
            </w:rPr>
          </w:pPr>
          <w:r>
            <w:fldChar w:fldCharType="begin"/>
          </w:r>
          <w:r>
            <w:rPr>
              <w:sz w:val="18"/>
              <w:szCs w:val="18"/>
              <w:lang w:val="en-GB" w:eastAsia="en-US"/>
            </w:rPr>
            <w:instrText xml:space="preserve"> TOC \o "3-9" \t "Heading 1 Numbered,1,Heading 2 Numbered,2" </w:instrText>
          </w:r>
          <w:r>
            <w:rPr>
              <w:sz w:val="18"/>
              <w:szCs w:val="18"/>
              <w:lang w:val="en-GB" w:eastAsia="en-US"/>
            </w:rPr>
            <w:fldChar w:fldCharType="separate"/>
          </w:r>
          <w:r>
            <w:rPr>
              <w:sz w:val="18"/>
              <w:szCs w:val="18"/>
              <w:lang w:val="en-GB" w:eastAsia="en-US"/>
            </w:rPr>
            <w:t>1.</w:t>
          </w:r>
          <w:r>
            <w:rPr>
              <w:b w:val="false"/>
              <w:sz w:val="18"/>
              <w:szCs w:val="18"/>
              <w:lang w:val="en-US" w:eastAsia="en-US"/>
            </w:rPr>
            <w:tab/>
          </w:r>
          <w:r>
            <w:rPr>
              <w:sz w:val="18"/>
              <w:szCs w:val="18"/>
              <w:lang w:val="en-GB" w:eastAsia="en-US"/>
            </w:rPr>
            <w:t>DESIGN AND SUPPORT SERVICES</w:t>
          </w:r>
          <w:r>
            <w:rPr>
              <w:sz w:val="18"/>
              <w:szCs w:val="18"/>
              <w:lang w:val="en-US" w:eastAsia="en-US"/>
            </w:rPr>
            <w:tab/>
          </w:r>
          <w:hyperlink w:anchor="__RefHeading___Toc150051188">
            <w:r>
              <w:rPr>
                <w:rStyle w:val="IndexLink"/>
                <w:sz w:val="18"/>
                <w:szCs w:val="18"/>
                <w:lang w:val="en-US" w:eastAsia="en-US"/>
              </w:rPr>
              <w:t>1</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1.2</w:t>
          </w:r>
          <w:r>
            <w:rPr>
              <w:b w:val="false"/>
              <w:sz w:val="18"/>
              <w:szCs w:val="18"/>
              <w:lang w:val="en-US" w:eastAsia="en-US"/>
            </w:rPr>
            <w:tab/>
          </w:r>
          <w:r>
            <w:rPr>
              <w:sz w:val="18"/>
              <w:szCs w:val="18"/>
              <w:lang w:val="en-GB" w:eastAsia="en-US"/>
            </w:rPr>
            <w:t>Design &amp; Support Service Creation</w:t>
          </w:r>
          <w:r>
            <w:rPr>
              <w:sz w:val="18"/>
              <w:szCs w:val="18"/>
              <w:lang w:val="en-US" w:eastAsia="en-US"/>
            </w:rPr>
            <w:tab/>
          </w:r>
          <w:hyperlink w:anchor="__RefHeading___Toc150051189">
            <w:r>
              <w:rPr>
                <w:rStyle w:val="IndexLink"/>
                <w:sz w:val="18"/>
                <w:szCs w:val="18"/>
                <w:lang w:val="en-US" w:eastAsia="en-US"/>
              </w:rPr>
              <w:t>5</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1.3</w:t>
          </w:r>
          <w:r>
            <w:rPr>
              <w:b w:val="false"/>
              <w:sz w:val="18"/>
              <w:szCs w:val="18"/>
              <w:lang w:val="en-US" w:eastAsia="en-US"/>
            </w:rPr>
            <w:tab/>
          </w:r>
          <w:r>
            <w:rPr>
              <w:sz w:val="18"/>
              <w:szCs w:val="18"/>
              <w:lang w:val="en-GB" w:eastAsia="en-US"/>
            </w:rPr>
            <w:t>Design and Support Incident Resolution</w:t>
          </w:r>
          <w:r>
            <w:rPr>
              <w:sz w:val="18"/>
              <w:szCs w:val="18"/>
              <w:lang w:val="en-US" w:eastAsia="en-US"/>
            </w:rPr>
            <w:tab/>
          </w:r>
          <w:hyperlink w:anchor="__RefHeading___Toc150051190">
            <w:r>
              <w:rPr>
                <w:rStyle w:val="IndexLink"/>
                <w:sz w:val="18"/>
                <w:szCs w:val="18"/>
                <w:lang w:val="en-US" w:eastAsia="en-US"/>
              </w:rPr>
              <w:t>9</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1.4</w:t>
          </w:r>
          <w:r>
            <w:rPr>
              <w:b w:val="false"/>
              <w:sz w:val="18"/>
              <w:szCs w:val="18"/>
              <w:lang w:val="en-US" w:eastAsia="en-US"/>
            </w:rPr>
            <w:tab/>
          </w:r>
          <w:r>
            <w:rPr>
              <w:sz w:val="18"/>
              <w:szCs w:val="18"/>
              <w:lang w:val="en-GB" w:eastAsia="en-US"/>
            </w:rPr>
            <w:t>Security Services (including Virus, Spam, Spyware Protection)</w:t>
          </w:r>
          <w:r>
            <w:rPr>
              <w:sz w:val="18"/>
              <w:szCs w:val="18"/>
              <w:lang w:val="en-US" w:eastAsia="en-US"/>
            </w:rPr>
            <w:tab/>
          </w:r>
          <w:hyperlink w:anchor="__RefHeading___Toc150051191">
            <w:r>
              <w:rPr>
                <w:rStyle w:val="IndexLink"/>
                <w:sz w:val="18"/>
                <w:szCs w:val="18"/>
                <w:lang w:val="en-US" w:eastAsia="en-US"/>
              </w:rPr>
              <w:t>9</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1.5</w:t>
          </w:r>
          <w:r>
            <w:rPr>
              <w:b w:val="false"/>
              <w:sz w:val="18"/>
              <w:szCs w:val="18"/>
              <w:lang w:val="en-US" w:eastAsia="en-US"/>
            </w:rPr>
            <w:tab/>
          </w:r>
          <w:r>
            <w:rPr>
              <w:sz w:val="18"/>
              <w:szCs w:val="18"/>
              <w:lang w:val="en-GB" w:eastAsia="en-US"/>
            </w:rPr>
            <w:t>Electronic Software Distribution</w:t>
          </w:r>
          <w:r>
            <w:rPr>
              <w:sz w:val="18"/>
              <w:szCs w:val="18"/>
              <w:lang w:val="en-US" w:eastAsia="en-US"/>
            </w:rPr>
            <w:tab/>
          </w:r>
          <w:hyperlink w:anchor="__RefHeading___Toc150051192">
            <w:r>
              <w:rPr>
                <w:rStyle w:val="IndexLink"/>
                <w:sz w:val="18"/>
                <w:szCs w:val="18"/>
                <w:lang w:val="en-US" w:eastAsia="en-US"/>
              </w:rPr>
              <w:t>11</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1.6</w:t>
          </w:r>
          <w:r>
            <w:rPr>
              <w:b w:val="false"/>
              <w:sz w:val="18"/>
              <w:szCs w:val="18"/>
              <w:lang w:val="en-US" w:eastAsia="en-US"/>
            </w:rPr>
            <w:tab/>
          </w:r>
          <w:r>
            <w:rPr>
              <w:sz w:val="18"/>
              <w:szCs w:val="18"/>
              <w:lang w:val="en-GB" w:eastAsia="en-US"/>
            </w:rPr>
            <w:t>License Management and Compliance</w:t>
          </w:r>
          <w:r>
            <w:rPr>
              <w:sz w:val="18"/>
              <w:szCs w:val="18"/>
              <w:lang w:val="en-US" w:eastAsia="en-US"/>
            </w:rPr>
            <w:tab/>
          </w:r>
          <w:hyperlink w:anchor="__RefHeading___Toc150051193">
            <w:r>
              <w:rPr>
                <w:rStyle w:val="IndexLink"/>
                <w:sz w:val="18"/>
                <w:szCs w:val="18"/>
                <w:lang w:val="en-US" w:eastAsia="en-US"/>
              </w:rPr>
              <w:t>12</w:t>
            </w:r>
          </w:hyperlink>
        </w:p>
        <w:p>
          <w:pPr>
            <w:pStyle w:val="TOC1"/>
            <w:tabs>
              <w:tab w:val="clear" w:pos="720"/>
              <w:tab w:val="left" w:pos="440" w:leader="none"/>
              <w:tab w:val="right" w:pos="8441" w:leader="dot"/>
            </w:tabs>
            <w:rPr>
              <w:b w:val="false"/>
              <w:sz w:val="18"/>
              <w:szCs w:val="18"/>
              <w:lang w:val="en-US" w:eastAsia="en-US"/>
            </w:rPr>
          </w:pPr>
          <w:r>
            <w:rPr>
              <w:sz w:val="18"/>
              <w:szCs w:val="18"/>
              <w:lang w:val="en-GB" w:eastAsia="en-US"/>
            </w:rPr>
            <w:t>2.</w:t>
          </w:r>
          <w:r>
            <w:rPr>
              <w:b w:val="false"/>
              <w:sz w:val="18"/>
              <w:szCs w:val="18"/>
              <w:lang w:val="en-US" w:eastAsia="en-US"/>
            </w:rPr>
            <w:tab/>
          </w:r>
          <w:r>
            <w:rPr>
              <w:sz w:val="18"/>
              <w:szCs w:val="18"/>
              <w:lang w:val="en-GB" w:eastAsia="en-US"/>
            </w:rPr>
            <w:t>APPLICATION SERVICES</w:t>
          </w:r>
          <w:r>
            <w:rPr>
              <w:sz w:val="18"/>
              <w:szCs w:val="18"/>
              <w:lang w:val="en-US" w:eastAsia="en-US"/>
            </w:rPr>
            <w:tab/>
          </w:r>
          <w:hyperlink w:anchor="__RefHeading___Toc150051194">
            <w:r>
              <w:rPr>
                <w:rStyle w:val="IndexLink"/>
                <w:sz w:val="18"/>
                <w:szCs w:val="18"/>
                <w:lang w:val="en-US" w:eastAsia="en-US"/>
              </w:rPr>
              <w:t>14</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2.1</w:t>
          </w:r>
          <w:r>
            <w:rPr>
              <w:b w:val="false"/>
              <w:sz w:val="18"/>
              <w:szCs w:val="18"/>
              <w:lang w:val="en-US" w:eastAsia="en-US"/>
            </w:rPr>
            <w:tab/>
          </w:r>
          <w:r>
            <w:rPr>
              <w:sz w:val="18"/>
              <w:szCs w:val="18"/>
              <w:lang w:val="en-GB" w:eastAsia="en-US"/>
            </w:rPr>
            <w:t>Functional Support</w:t>
          </w:r>
          <w:r>
            <w:rPr>
              <w:sz w:val="18"/>
              <w:szCs w:val="18"/>
              <w:lang w:val="en-US" w:eastAsia="en-US"/>
            </w:rPr>
            <w:tab/>
          </w:r>
          <w:hyperlink w:anchor="__RefHeading___Toc150051195">
            <w:r>
              <w:rPr>
                <w:rStyle w:val="IndexLink"/>
                <w:sz w:val="18"/>
                <w:szCs w:val="18"/>
                <w:lang w:val="en-US" w:eastAsia="en-US"/>
              </w:rPr>
              <w:t>17</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2.2</w:t>
          </w:r>
          <w:r>
            <w:rPr>
              <w:b w:val="false"/>
              <w:sz w:val="18"/>
              <w:szCs w:val="18"/>
              <w:lang w:val="en-US" w:eastAsia="en-US"/>
            </w:rPr>
            <w:tab/>
          </w:r>
          <w:r>
            <w:rPr>
              <w:sz w:val="18"/>
              <w:szCs w:val="18"/>
              <w:lang w:val="en-GB" w:eastAsia="en-US"/>
            </w:rPr>
            <w:t>Technical support</w:t>
          </w:r>
          <w:r>
            <w:rPr>
              <w:sz w:val="18"/>
              <w:szCs w:val="18"/>
              <w:lang w:val="en-US" w:eastAsia="en-US"/>
            </w:rPr>
            <w:tab/>
          </w:r>
          <w:hyperlink w:anchor="__RefHeading___Toc150051196">
            <w:r>
              <w:rPr>
                <w:rStyle w:val="IndexLink"/>
                <w:sz w:val="18"/>
                <w:szCs w:val="18"/>
                <w:lang w:val="en-US" w:eastAsia="en-US"/>
              </w:rPr>
              <w:t>18</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2.3</w:t>
          </w:r>
          <w:r>
            <w:rPr>
              <w:b w:val="false"/>
              <w:sz w:val="18"/>
              <w:szCs w:val="18"/>
              <w:lang w:val="en-US" w:eastAsia="en-US"/>
            </w:rPr>
            <w:tab/>
          </w:r>
          <w:r>
            <w:rPr>
              <w:sz w:val="18"/>
              <w:szCs w:val="18"/>
              <w:lang w:val="en-GB" w:eastAsia="en-US"/>
            </w:rPr>
            <w:t>Rollouts</w:t>
          </w:r>
          <w:r>
            <w:rPr>
              <w:sz w:val="18"/>
              <w:szCs w:val="18"/>
              <w:lang w:val="en-US" w:eastAsia="en-US"/>
            </w:rPr>
            <w:tab/>
          </w:r>
          <w:hyperlink w:anchor="__RefHeading___Toc150051197">
            <w:r>
              <w:rPr>
                <w:rStyle w:val="IndexLink"/>
                <w:sz w:val="18"/>
                <w:szCs w:val="18"/>
                <w:lang w:val="en-US" w:eastAsia="en-US"/>
              </w:rPr>
              <w:t>18</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2.4</w:t>
          </w:r>
          <w:r>
            <w:rPr>
              <w:b w:val="false"/>
              <w:sz w:val="18"/>
              <w:szCs w:val="18"/>
              <w:lang w:val="en-US" w:eastAsia="en-US"/>
            </w:rPr>
            <w:tab/>
          </w:r>
          <w:r>
            <w:rPr>
              <w:sz w:val="18"/>
              <w:szCs w:val="18"/>
              <w:lang w:val="en-GB" w:eastAsia="en-US"/>
            </w:rPr>
            <w:t>Service Delivery Application Services</w:t>
          </w:r>
          <w:r>
            <w:rPr>
              <w:sz w:val="18"/>
              <w:szCs w:val="18"/>
              <w:lang w:val="en-US" w:eastAsia="en-US"/>
            </w:rPr>
            <w:tab/>
          </w:r>
          <w:hyperlink w:anchor="__RefHeading___Toc150051198">
            <w:r>
              <w:rPr>
                <w:rStyle w:val="IndexLink"/>
                <w:sz w:val="18"/>
                <w:szCs w:val="18"/>
                <w:lang w:val="en-US" w:eastAsia="en-US"/>
              </w:rPr>
              <w:t>18</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2.5</w:t>
          </w:r>
          <w:r>
            <w:rPr>
              <w:b w:val="false"/>
              <w:sz w:val="18"/>
              <w:szCs w:val="18"/>
              <w:lang w:val="en-US" w:eastAsia="en-US"/>
            </w:rPr>
            <w:tab/>
          </w:r>
          <w:r>
            <w:rPr>
              <w:sz w:val="18"/>
              <w:szCs w:val="18"/>
              <w:lang w:val="en-GB" w:eastAsia="en-US"/>
            </w:rPr>
            <w:t>Electronic Software Distribution</w:t>
          </w:r>
          <w:r>
            <w:rPr>
              <w:sz w:val="18"/>
              <w:szCs w:val="18"/>
              <w:lang w:val="en-US" w:eastAsia="en-US"/>
            </w:rPr>
            <w:tab/>
          </w:r>
          <w:hyperlink w:anchor="__RefHeading___Toc150051199">
            <w:r>
              <w:rPr>
                <w:rStyle w:val="IndexLink"/>
                <w:sz w:val="18"/>
                <w:szCs w:val="18"/>
                <w:lang w:val="en-US" w:eastAsia="en-US"/>
              </w:rPr>
              <w:t>19</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2.6</w:t>
          </w:r>
          <w:r>
            <w:rPr>
              <w:b w:val="false"/>
              <w:sz w:val="18"/>
              <w:szCs w:val="18"/>
              <w:lang w:val="en-US" w:eastAsia="en-US"/>
            </w:rPr>
            <w:tab/>
          </w:r>
          <w:r>
            <w:rPr>
              <w:sz w:val="18"/>
              <w:szCs w:val="18"/>
              <w:lang w:val="en-GB" w:eastAsia="en-US"/>
            </w:rPr>
            <w:t>Release Management</w:t>
          </w:r>
          <w:r>
            <w:rPr>
              <w:sz w:val="18"/>
              <w:szCs w:val="18"/>
              <w:lang w:val="en-US" w:eastAsia="en-US"/>
            </w:rPr>
            <w:tab/>
          </w:r>
          <w:hyperlink w:anchor="__RefHeading___Toc150051200">
            <w:r>
              <w:rPr>
                <w:rStyle w:val="IndexLink"/>
                <w:sz w:val="18"/>
                <w:szCs w:val="18"/>
                <w:lang w:val="en-US" w:eastAsia="en-US"/>
              </w:rPr>
              <w:t>20</w:t>
            </w:r>
          </w:hyperlink>
        </w:p>
        <w:p>
          <w:pPr>
            <w:pStyle w:val="TOC1"/>
            <w:tabs>
              <w:tab w:val="clear" w:pos="720"/>
              <w:tab w:val="left" w:pos="440" w:leader="none"/>
              <w:tab w:val="right" w:pos="8441" w:leader="dot"/>
            </w:tabs>
            <w:rPr>
              <w:b w:val="false"/>
              <w:sz w:val="18"/>
              <w:szCs w:val="18"/>
              <w:lang w:val="en-US" w:eastAsia="en-US"/>
            </w:rPr>
          </w:pPr>
          <w:r>
            <w:rPr>
              <w:sz w:val="18"/>
              <w:szCs w:val="18"/>
              <w:lang w:val="en-GB" w:eastAsia="en-US"/>
            </w:rPr>
            <w:t>3.</w:t>
          </w:r>
          <w:r>
            <w:rPr>
              <w:b w:val="false"/>
              <w:sz w:val="18"/>
              <w:szCs w:val="18"/>
              <w:lang w:val="en-US" w:eastAsia="en-US"/>
            </w:rPr>
            <w:tab/>
          </w:r>
          <w:r>
            <w:rPr>
              <w:sz w:val="18"/>
              <w:szCs w:val="18"/>
              <w:lang w:val="en-GB" w:eastAsia="en-US"/>
            </w:rPr>
            <w:t>SOFTWARE OPERATIONS AND SUPPORT</w:t>
          </w:r>
          <w:r>
            <w:rPr>
              <w:sz w:val="18"/>
              <w:szCs w:val="18"/>
              <w:lang w:val="en-US" w:eastAsia="en-US"/>
            </w:rPr>
            <w:tab/>
          </w:r>
          <w:hyperlink w:anchor="__RefHeading___Toc150051201">
            <w:r>
              <w:rPr>
                <w:rStyle w:val="IndexLink"/>
                <w:sz w:val="18"/>
                <w:szCs w:val="18"/>
                <w:lang w:val="en-US" w:eastAsia="en-US"/>
              </w:rPr>
              <w:t>21</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3.1</w:t>
          </w:r>
          <w:r>
            <w:rPr>
              <w:b w:val="false"/>
              <w:sz w:val="18"/>
              <w:szCs w:val="18"/>
              <w:lang w:val="en-US" w:eastAsia="en-US"/>
            </w:rPr>
            <w:tab/>
          </w:r>
          <w:r>
            <w:rPr>
              <w:sz w:val="18"/>
              <w:szCs w:val="18"/>
              <w:lang w:val="en-GB" w:eastAsia="en-US"/>
            </w:rPr>
            <w:t>Installation, Upgrades and Changes</w:t>
          </w:r>
          <w:r>
            <w:rPr>
              <w:sz w:val="18"/>
              <w:szCs w:val="18"/>
              <w:lang w:val="en-US" w:eastAsia="en-US"/>
            </w:rPr>
            <w:tab/>
          </w:r>
          <w:hyperlink w:anchor="__RefHeading___Toc150051202">
            <w:r>
              <w:rPr>
                <w:rStyle w:val="IndexLink"/>
                <w:sz w:val="18"/>
                <w:szCs w:val="18"/>
                <w:lang w:val="en-US" w:eastAsia="en-US"/>
              </w:rPr>
              <w:t>21</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3.2</w:t>
          </w:r>
          <w:r>
            <w:rPr>
              <w:b w:val="false"/>
              <w:sz w:val="18"/>
              <w:szCs w:val="18"/>
              <w:lang w:val="en-US" w:eastAsia="en-US"/>
            </w:rPr>
            <w:tab/>
          </w:r>
          <w:r>
            <w:rPr>
              <w:sz w:val="18"/>
              <w:szCs w:val="18"/>
              <w:lang w:val="en-GB" w:eastAsia="en-US"/>
            </w:rPr>
            <w:t>Software Support</w:t>
          </w:r>
          <w:r>
            <w:rPr>
              <w:sz w:val="18"/>
              <w:szCs w:val="18"/>
              <w:lang w:val="en-US" w:eastAsia="en-US"/>
            </w:rPr>
            <w:tab/>
          </w:r>
          <w:hyperlink w:anchor="__RefHeading___Toc150051203">
            <w:r>
              <w:rPr>
                <w:rStyle w:val="IndexLink"/>
                <w:sz w:val="18"/>
                <w:szCs w:val="18"/>
                <w:lang w:val="en-US" w:eastAsia="en-US"/>
              </w:rPr>
              <w:t>23</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3.3</w:t>
          </w:r>
          <w:r>
            <w:rPr>
              <w:b w:val="false"/>
              <w:sz w:val="18"/>
              <w:szCs w:val="18"/>
              <w:lang w:val="en-US" w:eastAsia="en-US"/>
            </w:rPr>
            <w:tab/>
          </w:r>
          <w:r>
            <w:rPr>
              <w:sz w:val="18"/>
              <w:szCs w:val="18"/>
              <w:lang w:val="en-GB" w:eastAsia="en-US"/>
            </w:rPr>
            <w:t>Security Services (including Virus, Spam, Spy ware Protection)</w:t>
          </w:r>
          <w:r>
            <w:rPr>
              <w:sz w:val="18"/>
              <w:szCs w:val="18"/>
              <w:lang w:val="en-US" w:eastAsia="en-US"/>
            </w:rPr>
            <w:tab/>
          </w:r>
          <w:hyperlink w:anchor="__RefHeading___Toc150051204">
            <w:r>
              <w:rPr>
                <w:rStyle w:val="IndexLink"/>
                <w:sz w:val="18"/>
                <w:szCs w:val="18"/>
                <w:lang w:val="en-US" w:eastAsia="en-US"/>
              </w:rPr>
              <w:t>25</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3.4</w:t>
          </w:r>
          <w:r>
            <w:rPr>
              <w:b w:val="false"/>
              <w:sz w:val="18"/>
              <w:szCs w:val="18"/>
              <w:lang w:val="en-US" w:eastAsia="en-US"/>
            </w:rPr>
            <w:tab/>
          </w:r>
          <w:r>
            <w:rPr>
              <w:sz w:val="18"/>
              <w:szCs w:val="18"/>
              <w:lang w:val="en-GB" w:eastAsia="en-US"/>
            </w:rPr>
            <w:t>Training and Education</w:t>
          </w:r>
          <w:r>
            <w:rPr>
              <w:sz w:val="18"/>
              <w:szCs w:val="18"/>
              <w:lang w:val="en-US" w:eastAsia="en-US"/>
            </w:rPr>
            <w:tab/>
          </w:r>
          <w:hyperlink w:anchor="__RefHeading___Toc150051205">
            <w:r>
              <w:rPr>
                <w:rStyle w:val="IndexLink"/>
                <w:sz w:val="18"/>
                <w:szCs w:val="18"/>
                <w:lang w:val="en-US" w:eastAsia="en-US"/>
              </w:rPr>
              <w:t>25</w:t>
            </w:r>
          </w:hyperlink>
        </w:p>
        <w:p>
          <w:pPr>
            <w:pStyle w:val="TOC1"/>
            <w:tabs>
              <w:tab w:val="clear" w:pos="720"/>
              <w:tab w:val="left" w:pos="440" w:leader="none"/>
              <w:tab w:val="right" w:pos="8441" w:leader="dot"/>
            </w:tabs>
            <w:rPr>
              <w:b w:val="false"/>
              <w:sz w:val="18"/>
              <w:szCs w:val="18"/>
              <w:lang w:val="en-US" w:eastAsia="en-US"/>
            </w:rPr>
          </w:pPr>
          <w:r>
            <w:rPr>
              <w:sz w:val="18"/>
              <w:szCs w:val="18"/>
              <w:lang w:val="en-GB" w:eastAsia="en-US"/>
            </w:rPr>
            <w:t>4.</w:t>
          </w:r>
          <w:r>
            <w:rPr>
              <w:b w:val="false"/>
              <w:sz w:val="18"/>
              <w:szCs w:val="18"/>
              <w:lang w:val="en-US" w:eastAsia="en-US"/>
            </w:rPr>
            <w:tab/>
          </w:r>
          <w:r>
            <w:rPr>
              <w:sz w:val="18"/>
              <w:szCs w:val="18"/>
              <w:lang w:val="en-GB" w:eastAsia="en-US"/>
            </w:rPr>
            <w:t>USER ACCESS SERVICES (LOGICAL SECURITY ADMINISTRATION)</w:t>
          </w:r>
          <w:r>
            <w:rPr>
              <w:sz w:val="18"/>
              <w:szCs w:val="18"/>
              <w:lang w:val="en-US" w:eastAsia="en-US"/>
            </w:rPr>
            <w:tab/>
          </w:r>
          <w:hyperlink w:anchor="__RefHeading___Toc150051206">
            <w:r>
              <w:rPr>
                <w:rStyle w:val="IndexLink"/>
                <w:sz w:val="18"/>
                <w:szCs w:val="18"/>
                <w:lang w:val="en-US" w:eastAsia="en-US"/>
              </w:rPr>
              <w:t>28</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4.1</w:t>
          </w:r>
          <w:r>
            <w:rPr>
              <w:b w:val="false"/>
              <w:sz w:val="18"/>
              <w:szCs w:val="18"/>
              <w:lang w:val="en-US" w:eastAsia="en-US"/>
            </w:rPr>
            <w:tab/>
          </w:r>
          <w:r>
            <w:rPr>
              <w:sz w:val="18"/>
              <w:szCs w:val="18"/>
              <w:lang w:val="en-GB" w:eastAsia="en-US"/>
            </w:rPr>
            <w:t>Introduction</w:t>
          </w:r>
          <w:r>
            <w:rPr>
              <w:sz w:val="18"/>
              <w:szCs w:val="18"/>
              <w:lang w:val="en-US" w:eastAsia="en-US"/>
            </w:rPr>
            <w:tab/>
          </w:r>
          <w:hyperlink w:anchor="__RefHeading___Toc150051207">
            <w:r>
              <w:rPr>
                <w:rStyle w:val="IndexLink"/>
                <w:sz w:val="18"/>
                <w:szCs w:val="18"/>
                <w:lang w:val="en-US" w:eastAsia="en-US"/>
              </w:rPr>
              <w:t>28</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4.2</w:t>
          </w:r>
          <w:r>
            <w:rPr>
              <w:b w:val="false"/>
              <w:sz w:val="18"/>
              <w:szCs w:val="18"/>
              <w:lang w:val="en-US" w:eastAsia="en-US"/>
            </w:rPr>
            <w:tab/>
          </w:r>
          <w:r>
            <w:rPr>
              <w:sz w:val="18"/>
              <w:szCs w:val="18"/>
              <w:lang w:val="en-GB" w:eastAsia="en-US"/>
            </w:rPr>
            <w:t>ING Corporate IT Policies</w:t>
          </w:r>
          <w:r>
            <w:rPr>
              <w:sz w:val="18"/>
              <w:szCs w:val="18"/>
              <w:lang w:val="en-US" w:eastAsia="en-US"/>
            </w:rPr>
            <w:tab/>
          </w:r>
          <w:hyperlink w:anchor="__RefHeading___Toc150051208">
            <w:r>
              <w:rPr>
                <w:rStyle w:val="IndexLink"/>
                <w:sz w:val="18"/>
                <w:szCs w:val="18"/>
                <w:lang w:val="en-US" w:eastAsia="en-US"/>
              </w:rPr>
              <w:t>31</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4.3</w:t>
          </w:r>
          <w:r>
            <w:rPr>
              <w:b w:val="false"/>
              <w:sz w:val="18"/>
              <w:szCs w:val="18"/>
              <w:lang w:val="en-US" w:eastAsia="en-US"/>
            </w:rPr>
            <w:tab/>
          </w:r>
          <w:r>
            <w:rPr>
              <w:sz w:val="18"/>
              <w:szCs w:val="18"/>
              <w:lang w:val="en-GB" w:eastAsia="en-US"/>
            </w:rPr>
            <w:t>Personnel Security</w:t>
          </w:r>
          <w:r>
            <w:rPr>
              <w:sz w:val="18"/>
              <w:szCs w:val="18"/>
              <w:lang w:val="en-US" w:eastAsia="en-US"/>
            </w:rPr>
            <w:tab/>
          </w:r>
          <w:hyperlink w:anchor="__RefHeading___Toc150051209">
            <w:r>
              <w:rPr>
                <w:rStyle w:val="IndexLink"/>
                <w:sz w:val="18"/>
                <w:szCs w:val="18"/>
                <w:lang w:val="en-US" w:eastAsia="en-US"/>
              </w:rPr>
              <w:t>33</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4.4</w:t>
          </w:r>
          <w:r>
            <w:rPr>
              <w:b w:val="false"/>
              <w:sz w:val="18"/>
              <w:szCs w:val="18"/>
              <w:lang w:val="en-US" w:eastAsia="en-US"/>
            </w:rPr>
            <w:tab/>
          </w:r>
          <w:r>
            <w:rPr>
              <w:sz w:val="18"/>
              <w:szCs w:val="18"/>
              <w:lang w:val="en-GB" w:eastAsia="en-US"/>
            </w:rPr>
            <w:t>Data protection</w:t>
          </w:r>
          <w:r>
            <w:rPr>
              <w:sz w:val="18"/>
              <w:szCs w:val="18"/>
              <w:lang w:val="en-US" w:eastAsia="en-US"/>
            </w:rPr>
            <w:tab/>
          </w:r>
          <w:hyperlink w:anchor="__RefHeading___Toc150051210">
            <w:r>
              <w:rPr>
                <w:rStyle w:val="IndexLink"/>
                <w:sz w:val="18"/>
                <w:szCs w:val="18"/>
                <w:lang w:val="en-US" w:eastAsia="en-US"/>
              </w:rPr>
              <w:t>34</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4.5</w:t>
          </w:r>
          <w:r>
            <w:rPr>
              <w:b w:val="false"/>
              <w:sz w:val="18"/>
              <w:szCs w:val="18"/>
              <w:lang w:val="en-US" w:eastAsia="en-US"/>
            </w:rPr>
            <w:tab/>
          </w:r>
          <w:r>
            <w:rPr>
              <w:sz w:val="18"/>
              <w:szCs w:val="18"/>
              <w:lang w:val="en-GB" w:eastAsia="en-US"/>
            </w:rPr>
            <w:t>Operational Security Management</w:t>
          </w:r>
          <w:r>
            <w:rPr>
              <w:sz w:val="18"/>
              <w:szCs w:val="18"/>
              <w:lang w:val="en-US" w:eastAsia="en-US"/>
            </w:rPr>
            <w:tab/>
          </w:r>
          <w:hyperlink w:anchor="__RefHeading___Toc150051211">
            <w:r>
              <w:rPr>
                <w:rStyle w:val="IndexLink"/>
                <w:sz w:val="18"/>
                <w:szCs w:val="18"/>
                <w:lang w:val="en-US" w:eastAsia="en-US"/>
              </w:rPr>
              <w:t>34</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4.6</w:t>
          </w:r>
          <w:r>
            <w:rPr>
              <w:b w:val="false"/>
              <w:sz w:val="18"/>
              <w:szCs w:val="18"/>
              <w:lang w:val="en-US" w:eastAsia="en-US"/>
            </w:rPr>
            <w:tab/>
          </w:r>
          <w:r>
            <w:rPr>
              <w:sz w:val="18"/>
              <w:szCs w:val="18"/>
              <w:lang w:val="en-GB" w:eastAsia="en-US"/>
            </w:rPr>
            <w:t>Reviews and Matrices</w:t>
          </w:r>
          <w:r>
            <w:rPr>
              <w:sz w:val="18"/>
              <w:szCs w:val="18"/>
              <w:lang w:val="en-US" w:eastAsia="en-US"/>
            </w:rPr>
            <w:tab/>
          </w:r>
          <w:hyperlink w:anchor="__RefHeading___Toc150051212">
            <w:r>
              <w:rPr>
                <w:rStyle w:val="IndexLink"/>
                <w:sz w:val="18"/>
                <w:szCs w:val="18"/>
                <w:lang w:val="en-US" w:eastAsia="en-US"/>
              </w:rPr>
              <w:t>35</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4.7</w:t>
          </w:r>
          <w:r>
            <w:rPr>
              <w:b w:val="false"/>
              <w:sz w:val="18"/>
              <w:szCs w:val="18"/>
              <w:lang w:val="en-US" w:eastAsia="en-US"/>
            </w:rPr>
            <w:tab/>
          </w:r>
          <w:r>
            <w:rPr>
              <w:sz w:val="18"/>
              <w:szCs w:val="18"/>
              <w:lang w:val="en-GB" w:eastAsia="en-US"/>
            </w:rPr>
            <w:t>Auditing and Reporting</w:t>
          </w:r>
          <w:r>
            <w:rPr>
              <w:sz w:val="18"/>
              <w:szCs w:val="18"/>
              <w:lang w:val="en-US" w:eastAsia="en-US"/>
            </w:rPr>
            <w:tab/>
          </w:r>
          <w:hyperlink w:anchor="__RefHeading___Toc150051213">
            <w:r>
              <w:rPr>
                <w:rStyle w:val="IndexLink"/>
                <w:sz w:val="18"/>
                <w:szCs w:val="18"/>
                <w:lang w:val="en-US" w:eastAsia="en-US"/>
              </w:rPr>
              <w:t>36</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4.8</w:t>
          </w:r>
          <w:r>
            <w:rPr>
              <w:b w:val="false"/>
              <w:sz w:val="18"/>
              <w:szCs w:val="18"/>
              <w:lang w:val="en-US" w:eastAsia="en-US"/>
            </w:rPr>
            <w:tab/>
          </w:r>
          <w:r>
            <w:rPr>
              <w:sz w:val="18"/>
              <w:szCs w:val="18"/>
              <w:lang w:val="en-GB" w:eastAsia="en-US"/>
            </w:rPr>
            <w:t>Security Incident Response</w:t>
          </w:r>
          <w:r>
            <w:rPr>
              <w:sz w:val="18"/>
              <w:szCs w:val="18"/>
              <w:lang w:val="en-US" w:eastAsia="en-US"/>
            </w:rPr>
            <w:tab/>
          </w:r>
          <w:hyperlink w:anchor="__RefHeading___Toc150051214">
            <w:r>
              <w:rPr>
                <w:rStyle w:val="IndexLink"/>
                <w:sz w:val="18"/>
                <w:szCs w:val="18"/>
                <w:lang w:val="en-US" w:eastAsia="en-US"/>
              </w:rPr>
              <w:t>37</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4.9</w:t>
          </w:r>
          <w:r>
            <w:rPr>
              <w:b w:val="false"/>
              <w:sz w:val="18"/>
              <w:szCs w:val="18"/>
              <w:lang w:val="en-US" w:eastAsia="en-US"/>
            </w:rPr>
            <w:tab/>
          </w:r>
          <w:r>
            <w:rPr>
              <w:sz w:val="18"/>
              <w:szCs w:val="18"/>
              <w:lang w:val="en-GB" w:eastAsia="en-US"/>
            </w:rPr>
            <w:t>Providing Assistance and Advice</w:t>
          </w:r>
          <w:r>
            <w:rPr>
              <w:sz w:val="18"/>
              <w:szCs w:val="18"/>
              <w:lang w:val="en-US" w:eastAsia="en-US"/>
            </w:rPr>
            <w:tab/>
          </w:r>
          <w:hyperlink w:anchor="__RefHeading___Toc150051215">
            <w:r>
              <w:rPr>
                <w:rStyle w:val="IndexLink"/>
                <w:sz w:val="18"/>
                <w:szCs w:val="18"/>
                <w:lang w:val="en-US" w:eastAsia="en-US"/>
              </w:rPr>
              <w:t>37</w:t>
            </w:r>
          </w:hyperlink>
        </w:p>
        <w:p>
          <w:pPr>
            <w:pStyle w:val="TOC1"/>
            <w:tabs>
              <w:tab w:val="clear" w:pos="720"/>
              <w:tab w:val="left" w:pos="440" w:leader="none"/>
              <w:tab w:val="right" w:pos="8441" w:leader="dot"/>
            </w:tabs>
            <w:rPr>
              <w:b w:val="false"/>
              <w:sz w:val="18"/>
              <w:szCs w:val="18"/>
              <w:lang w:val="fr-FR" w:eastAsia="en-US"/>
            </w:rPr>
          </w:pPr>
          <w:r>
            <w:rPr>
              <w:sz w:val="18"/>
              <w:szCs w:val="18"/>
              <w:lang w:val="fr-FR" w:eastAsia="en-US"/>
            </w:rPr>
            <w:t>5.</w:t>
          </w:r>
          <w:r>
            <w:rPr>
              <w:b w:val="false"/>
              <w:sz w:val="18"/>
              <w:szCs w:val="18"/>
              <w:lang w:val="fr-FR" w:eastAsia="en-US"/>
            </w:rPr>
            <w:tab/>
          </w:r>
          <w:r>
            <w:rPr>
              <w:sz w:val="18"/>
              <w:szCs w:val="18"/>
              <w:lang w:val="fr-FR" w:eastAsia="en-US"/>
            </w:rPr>
            <w:t>USER INFRASTRUCTURE SERVICES</w:t>
            <w:tab/>
          </w:r>
          <w:hyperlink w:anchor="__RefHeading___Toc150051216">
            <w:r>
              <w:rPr>
                <w:rStyle w:val="IndexLink"/>
                <w:sz w:val="18"/>
                <w:szCs w:val="18"/>
                <w:lang w:val="fr-FR" w:eastAsia="en-US"/>
              </w:rPr>
              <w:t>38</w:t>
            </w:r>
          </w:hyperlink>
        </w:p>
        <w:p>
          <w:pPr>
            <w:pStyle w:val="TOC1"/>
            <w:tabs>
              <w:tab w:val="clear" w:pos="720"/>
              <w:tab w:val="left" w:pos="440" w:leader="none"/>
              <w:tab w:val="right" w:pos="8441" w:leader="dot"/>
            </w:tabs>
            <w:rPr>
              <w:b w:val="false"/>
              <w:sz w:val="18"/>
              <w:szCs w:val="18"/>
              <w:lang w:val="fr-FR" w:eastAsia="en-US"/>
            </w:rPr>
          </w:pPr>
          <w:r>
            <w:rPr>
              <w:sz w:val="18"/>
              <w:szCs w:val="18"/>
              <w:lang w:val="fr-FR" w:eastAsia="en-US"/>
            </w:rPr>
            <w:t>6.</w:t>
          </w:r>
          <w:r>
            <w:rPr>
              <w:b w:val="false"/>
              <w:sz w:val="18"/>
              <w:szCs w:val="18"/>
              <w:lang w:val="fr-FR" w:eastAsia="en-US"/>
            </w:rPr>
            <w:tab/>
          </w:r>
          <w:r>
            <w:rPr>
              <w:sz w:val="18"/>
              <w:szCs w:val="18"/>
              <w:lang w:val="fr-FR" w:eastAsia="en-US"/>
            </w:rPr>
            <w:t>MOBILE COMPUTING SERVICES</w:t>
            <w:tab/>
          </w:r>
          <w:hyperlink w:anchor="__RefHeading___Toc150051217">
            <w:r>
              <w:rPr>
                <w:rStyle w:val="IndexLink"/>
                <w:sz w:val="18"/>
                <w:szCs w:val="18"/>
                <w:lang w:val="fr-FR" w:eastAsia="en-US"/>
              </w:rPr>
              <w:t>43</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6.1</w:t>
          </w:r>
          <w:r>
            <w:rPr>
              <w:b w:val="false"/>
              <w:sz w:val="18"/>
              <w:szCs w:val="18"/>
              <w:lang w:val="en-US" w:eastAsia="en-US"/>
            </w:rPr>
            <w:tab/>
          </w:r>
          <w:r>
            <w:rPr>
              <w:sz w:val="18"/>
              <w:szCs w:val="18"/>
              <w:lang w:val="en-GB" w:eastAsia="en-US"/>
            </w:rPr>
            <w:t>Mobile access and support</w:t>
          </w:r>
          <w:r>
            <w:rPr>
              <w:sz w:val="18"/>
              <w:szCs w:val="18"/>
              <w:lang w:val="en-US" w:eastAsia="en-US"/>
            </w:rPr>
            <w:tab/>
          </w:r>
          <w:hyperlink w:anchor="__RefHeading___Toc150051218">
            <w:r>
              <w:rPr>
                <w:rStyle w:val="IndexLink"/>
                <w:sz w:val="18"/>
                <w:szCs w:val="18"/>
                <w:lang w:val="en-US" w:eastAsia="en-US"/>
              </w:rPr>
              <w:t>45</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6.2</w:t>
          </w:r>
          <w:r>
            <w:rPr>
              <w:b w:val="false"/>
              <w:sz w:val="18"/>
              <w:szCs w:val="18"/>
              <w:lang w:val="en-US" w:eastAsia="en-US"/>
            </w:rPr>
            <w:tab/>
          </w:r>
          <w:r>
            <w:rPr>
              <w:sz w:val="18"/>
              <w:szCs w:val="18"/>
              <w:lang w:val="en-GB" w:eastAsia="en-US"/>
            </w:rPr>
            <w:t>Mobile Repair and Maintenance (a)</w:t>
          </w:r>
          <w:r>
            <w:rPr>
              <w:sz w:val="18"/>
              <w:szCs w:val="18"/>
              <w:lang w:val="en-US" w:eastAsia="en-US"/>
            </w:rPr>
            <w:tab/>
          </w:r>
          <w:hyperlink w:anchor="__RefHeading___Toc150051219">
            <w:r>
              <w:rPr>
                <w:rStyle w:val="IndexLink"/>
                <w:sz w:val="18"/>
                <w:szCs w:val="18"/>
                <w:lang w:val="en-US" w:eastAsia="en-US"/>
              </w:rPr>
              <w:t>45</w:t>
            </w:r>
          </w:hyperlink>
        </w:p>
        <w:p>
          <w:pPr>
            <w:pStyle w:val="TOC2"/>
            <w:tabs>
              <w:tab w:val="clear" w:pos="720"/>
              <w:tab w:val="left" w:pos="880" w:leader="none"/>
              <w:tab w:val="right" w:pos="8441" w:leader="dot"/>
            </w:tabs>
            <w:rPr>
              <w:sz w:val="18"/>
              <w:szCs w:val="18"/>
              <w:lang w:val="en-US" w:eastAsia="en-US"/>
            </w:rPr>
          </w:pPr>
          <w:r>
            <w:rPr>
              <w:b w:val="false"/>
              <w:sz w:val="18"/>
              <w:szCs w:val="18"/>
              <w:lang w:val="en-GB" w:eastAsia="en-US"/>
            </w:rPr>
            <w:t>6.3</w:t>
          </w:r>
          <w:r>
            <w:rPr>
              <w:b w:val="false"/>
              <w:sz w:val="18"/>
              <w:szCs w:val="18"/>
              <w:lang w:val="en-US" w:eastAsia="en-US"/>
            </w:rPr>
            <w:tab/>
          </w:r>
          <w:r>
            <w:rPr>
              <w:b w:val="false"/>
              <w:sz w:val="18"/>
              <w:szCs w:val="18"/>
              <w:lang w:val="en-GB" w:eastAsia="en-US"/>
            </w:rPr>
            <w:t>Mobile Repair and Maintenance (b)</w:t>
          </w:r>
          <w:r>
            <w:rPr>
              <w:b w:val="false"/>
              <w:sz w:val="18"/>
              <w:szCs w:val="18"/>
              <w:lang w:val="en-US" w:eastAsia="en-US"/>
            </w:rPr>
            <w:tab/>
          </w:r>
          <w:hyperlink w:anchor="__RefHeading___Toc150051220">
            <w:r>
              <w:rPr>
                <w:rStyle w:val="IndexLink"/>
                <w:b w:val="false"/>
                <w:sz w:val="18"/>
                <w:szCs w:val="18"/>
                <w:lang w:val="en-US" w:eastAsia="en-US"/>
              </w:rPr>
              <w:t>46</w:t>
            </w:r>
          </w:hyperlink>
          <w:r>
            <w:rPr>
              <w:rStyle w:val="IndexLink"/>
              <w:sz w:val="18"/>
              <w:b w:val="false"/>
              <w:szCs w:val="18"/>
              <w:lang w:val="en-US" w:eastAsia="en-US"/>
            </w:rPr>
            <w:fldChar w:fldCharType="end"/>
          </w:r>
        </w:p>
      </w:sdtContent>
    </w:sdt>
    <w:p>
      <w:pPr>
        <w:sectPr>
          <w:headerReference w:type="default" r:id="rId4"/>
          <w:headerReference w:type="first" r:id="rId5"/>
          <w:footerReference w:type="default" r:id="rId6"/>
          <w:footerReference w:type="first" r:id="rId7"/>
          <w:type w:val="nextPage"/>
          <w:pgSz w:w="11906" w:h="16838"/>
          <w:pgMar w:left="1729" w:right="1729" w:gutter="0" w:header="720" w:top="776" w:footer="720" w:bottom="1094"/>
          <w:pgNumType w:start="1" w:fmt="lowerRoman"/>
          <w:formProt w:val="false"/>
          <w:textDirection w:val="lrTb"/>
          <w:docGrid w:type="default" w:linePitch="360" w:charSpace="0"/>
        </w:sectPr>
        <w:pStyle w:val="Normal"/>
        <w:jc w:val="both"/>
        <w:rPr>
          <w:b/>
          <w:caps/>
          <w:sz w:val="18"/>
          <w:szCs w:val="18"/>
          <w:lang w:val="en-GB" w:eastAsia="en-US"/>
        </w:rPr>
      </w:pPr>
      <w:r>
        <w:rPr>
          <w:b/>
          <w:caps/>
          <w:sz w:val="18"/>
          <w:szCs w:val="18"/>
          <w:lang w:val="en-GB" w:eastAsia="en-US"/>
        </w:rPr>
      </w:r>
    </w:p>
    <w:p>
      <w:pPr>
        <w:pStyle w:val="Normal"/>
        <w:spacing w:before="0" w:after="0"/>
        <w:jc w:val="both"/>
        <w:rPr>
          <w:sz w:val="18"/>
          <w:szCs w:val="18"/>
          <w:lang w:val="en-GB"/>
        </w:rPr>
      </w:pPr>
      <w:r>
        <w:rPr>
          <w:sz w:val="18"/>
          <w:szCs w:val="18"/>
          <w:lang w:val="en-GB"/>
        </w:rPr>
      </w:r>
    </w:p>
    <w:p>
      <w:pPr>
        <w:pStyle w:val="Heading1Numbered"/>
        <w:numPr>
          <w:ilvl w:val="0"/>
          <w:numId w:val="2"/>
        </w:numPr>
        <w:ind w:hanging="0" w:start="0"/>
        <w:jc w:val="both"/>
        <w:rPr>
          <w:sz w:val="22"/>
          <w:szCs w:val="22"/>
          <w:lang w:val="en-GB"/>
        </w:rPr>
      </w:pPr>
      <w:bookmarkStart w:id="0" w:name="__RefHeading___Toc150051188"/>
      <w:bookmarkEnd w:id="0"/>
      <w:r>
        <w:rPr>
          <w:sz w:val="22"/>
          <w:szCs w:val="22"/>
          <w:lang w:val="en-GB"/>
        </w:rPr>
        <w:t>DESIGN AND SUPPORT SERVICES</w:t>
      </w:r>
    </w:p>
    <w:p>
      <w:pPr>
        <w:pStyle w:val="Normal"/>
        <w:spacing w:before="0" w:after="0"/>
        <w:jc w:val="both"/>
        <w:rPr/>
      </w:pPr>
      <w:r>
        <w:rPr>
          <w:lang w:val="en-GB"/>
        </w:rPr>
        <w:t>This section describes the design and support Services for the workplace, including: Common Service Layer (“CSL”); Central Optional Service Layer (COSL); file and print servers; mail back-end; directory services collaboration back-end; voice back-end; video back-end; “Wintel” server platform and tooling back-end</w:t>
      </w:r>
    </w:p>
    <w:p>
      <w:pPr>
        <w:pStyle w:val="Heading3Numbered"/>
        <w:numPr>
          <w:ilvl w:val="2"/>
          <w:numId w:val="2"/>
        </w:numPr>
        <w:ind w:hanging="0" w:start="0"/>
        <w:rPr>
          <w:sz w:val="22"/>
          <w:szCs w:val="22"/>
          <w:lang w:val="en-GB"/>
        </w:rPr>
      </w:pPr>
      <w:r>
        <w:rPr>
          <w:sz w:val="22"/>
          <w:szCs w:val="22"/>
          <w:lang w:val="en-GB"/>
        </w:rPr>
        <w:t>Front End and Back End</w:t>
      </w:r>
    </w:p>
    <w:p>
      <w:pPr>
        <w:pStyle w:val="Normal"/>
        <w:spacing w:before="0" w:after="0"/>
        <w:jc w:val="both"/>
        <w:rPr>
          <w:lang w:val="en-GB"/>
        </w:rPr>
      </w:pPr>
      <w:r>
        <w:rPr>
          <w:lang w:val="en-GB"/>
        </w:rPr>
        <w:t>The PST Supplier will meet the EuroBank design and support requirements for the CSL and COSL environment of EuroBank in the following way:</w:t>
      </w:r>
    </w:p>
    <w:p>
      <w:pPr>
        <w:pStyle w:val="Normal"/>
        <w:spacing w:before="0" w:after="0"/>
        <w:jc w:val="both"/>
        <w:rPr>
          <w:lang w:val="en-GB"/>
        </w:rPr>
      </w:pPr>
      <w:r>
        <w:rPr>
          <w:lang w:val="en-GB"/>
        </w:rPr>
      </w:r>
    </w:p>
    <w:p>
      <w:pPr>
        <w:pStyle w:val="Normal"/>
        <w:spacing w:before="0" w:after="0"/>
        <w:ind w:hanging="720" w:start="720" w:end="0"/>
        <w:jc w:val="both"/>
        <w:rPr>
          <w:lang w:val="en-GB"/>
        </w:rPr>
      </w:pPr>
      <w:r>
        <w:rPr>
          <w:lang w:val="en-GB"/>
        </w:rPr>
        <w:t>•</w:t>
        <w:tab/>
        <w:t xml:space="preserve">The PST Supplier design process will meet EuroBank’s needs, within the scope of SWS, for business functionality in the user environment (front end components) – this will be made possible by having clear supporting services from the back end. For business continuity and efficiency, the front end and back will be easily manageable. </w:t>
      </w:r>
      <w:r>
        <w:rPr>
          <w:lang w:val="en-GB"/>
        </w:rPr>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w:t>
        <w:tab/>
        <w:t>Additional to the technical and functional designs, the PST Supplier will implement the processes that support the design functions into fully documented Services for EuroBank. These Services will be sets of support activities based on ITIL support processes. This structure will keep the front and back end components running (i.e. enabling EuroBank to undertake its business activities), and supports the end users and the EuroBank business, in accordance with the Critical Service Levels and Key Measures.</w:t>
      </w:r>
      <w:r>
        <w:rPr>
          <w:lang w:val="en-GB"/>
        </w:rPr>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w:t>
        <w:tab/>
        <w:t>The design and support processes will be structured using a lifecycle management model, agreed with EuroBank, to be applied to the management of the infrastructure and services that support EuroBank’s business requirements.</w:t>
      </w:r>
      <w:r>
        <w:rPr>
          <w:lang w:val="en-GB"/>
        </w:rPr>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w:t>
        <w:tab/>
        <w:t>Any design proposals and supporting services will be customised for EuroBank’s needs, where required, in agreement with EuroBank, but at first be based on existing designs and service catalogue and where required, the best practices from the PST Supplier and partners (Microsoft, Gartner, Hardware vendors). All these services and related products will be documented in the updated Service Catalogue.</w:t>
      </w:r>
      <w:r>
        <w:rPr>
          <w:lang w:val="en-GB"/>
        </w:rPr>
      </w:r>
    </w:p>
    <w:p>
      <w:pPr>
        <w:pStyle w:val="Normal"/>
        <w:spacing w:before="0" w:after="0"/>
        <w:jc w:val="both"/>
        <w:rPr>
          <w:lang w:val="en-GB"/>
        </w:rPr>
      </w:pPr>
      <w:r>
        <w:rPr>
          <w:lang w:val="en-GB"/>
        </w:rPr>
      </w:r>
    </w:p>
    <w:p>
      <w:pPr>
        <w:pStyle w:val="Normal"/>
        <w:spacing w:before="0" w:after="0"/>
        <w:jc w:val="both"/>
        <w:rPr>
          <w:u w:val="single"/>
          <w:lang w:val="en-GB"/>
        </w:rPr>
      </w:pPr>
      <w:r>
        <w:rPr>
          <w:u w:val="single"/>
          <w:lang w:val="en-GB"/>
        </w:rPr>
        <w:t>Meeting EuroBank’s Design Requirements</w:t>
      </w:r>
    </w:p>
    <w:p>
      <w:pPr>
        <w:pStyle w:val="Normal"/>
        <w:spacing w:before="0" w:after="0"/>
        <w:jc w:val="both"/>
        <w:rPr>
          <w:u w:val="single"/>
          <w:lang w:val="en-GB"/>
        </w:rPr>
      </w:pPr>
      <w:r>
        <w:rPr>
          <w:u w:val="single"/>
          <w:lang w:val="en-GB"/>
        </w:rPr>
      </w:r>
    </w:p>
    <w:p>
      <w:pPr>
        <w:pStyle w:val="Normal"/>
        <w:spacing w:before="0" w:after="0"/>
        <w:jc w:val="both"/>
        <w:rPr/>
      </w:pPr>
      <w:r>
        <w:rPr>
          <w:lang w:val="en-GB"/>
        </w:rPr>
        <w:t xml:space="preserve">The PST Supplier will produce a consistent set of design documents for the EuroBank CSL and COSL environment (front and back end), based on an existing reference architecture (i.e. the design blueprint documents) that has been developed during the past few years in close cooperation with Microsoft. </w:t>
      </w:r>
    </w:p>
    <w:p>
      <w:pPr>
        <w:pStyle w:val="Normal"/>
        <w:spacing w:before="0" w:after="0"/>
        <w:jc w:val="both"/>
        <w:rPr>
          <w:lang w:val="en-GB"/>
        </w:rPr>
      </w:pPr>
      <w:r>
        <w:rPr>
          <w:lang w:val="en-GB"/>
        </w:rPr>
      </w:r>
    </w:p>
    <w:p>
      <w:pPr>
        <w:pStyle w:val="Normal"/>
        <w:spacing w:before="0" w:after="0"/>
        <w:jc w:val="both"/>
        <w:rPr/>
      </w:pPr>
      <w:r>
        <w:rPr>
          <w:u w:val="single"/>
          <w:lang w:val="en-GB"/>
        </w:rPr>
        <w:t>The Design Process</w:t>
      </w:r>
    </w:p>
    <w:p>
      <w:pPr>
        <w:pStyle w:val="Normal"/>
        <w:spacing w:before="0" w:after="0"/>
        <w:jc w:val="both"/>
        <w:rPr>
          <w:u w:val="single"/>
          <w:lang w:val="en-GB"/>
        </w:rPr>
      </w:pPr>
      <w:r>
        <w:rPr>
          <w:u w:val="single"/>
          <w:lang w:val="en-GB"/>
        </w:rPr>
      </w:r>
    </w:p>
    <w:p>
      <w:pPr>
        <w:pStyle w:val="Normal"/>
        <w:spacing w:before="0" w:after="0"/>
        <w:jc w:val="both"/>
        <w:rPr/>
      </w:pPr>
      <w:r>
        <w:rPr>
          <w:lang w:val="en-GB"/>
        </w:rPr>
        <w:t xml:space="preserve">In producing these design documents the PST Supplier will start with the Windows Server System Reference Architecture produced by Microsoft. This will be developed, by the PST Supplier product management group into a design blueprint that will then be used to create the EuroBank design documentation. </w:t>
      </w:r>
    </w:p>
    <w:p>
      <w:pPr>
        <w:pStyle w:val="Normal"/>
        <w:spacing w:before="0" w:after="0"/>
        <w:jc w:val="both"/>
        <w:rPr>
          <w:lang w:val="en-GB"/>
        </w:rPr>
      </w:pPr>
      <w:r>
        <w:rPr>
          <w:lang w:val="en-GB"/>
        </w:rPr>
      </w:r>
    </w:p>
    <w:tbl>
      <w:tblPr>
        <w:tblW w:w="8280" w:type="dxa"/>
        <w:jc w:val="start"/>
        <w:tblInd w:w="85" w:type="dxa"/>
        <w:tblLayout w:type="fixed"/>
        <w:tblCellMar>
          <w:top w:w="28" w:type="dxa"/>
          <w:start w:w="85" w:type="dxa"/>
          <w:bottom w:w="28" w:type="dxa"/>
          <w:end w:w="85" w:type="dxa"/>
        </w:tblCellMar>
      </w:tblPr>
      <w:tblGrid>
        <w:gridCol w:w="2520"/>
        <w:gridCol w:w="2700"/>
        <w:gridCol w:w="3060"/>
      </w:tblGrid>
      <w:tr>
        <w:trPr>
          <w:tblHeader w:val="true"/>
          <w:cantSplit w:val="true"/>
        </w:trPr>
        <w:tc>
          <w:tcPr>
            <w:tcW w:w="2520" w:type="dxa"/>
            <w:tcBorders>
              <w:top w:val="single" w:sz="4" w:space="0" w:color="000000"/>
              <w:start w:val="single" w:sz="4" w:space="0" w:color="000000"/>
              <w:bottom w:val="single" w:sz="4" w:space="0" w:color="000000"/>
              <w:end w:val="single" w:sz="4" w:space="0" w:color="FFFFFF"/>
            </w:tcBorders>
            <w:shd w:fill="000080" w:val="clear"/>
          </w:tcPr>
          <w:p>
            <w:pPr>
              <w:pStyle w:val="Normal"/>
              <w:spacing w:before="120" w:after="120"/>
              <w:rPr>
                <w:b/>
                <w:bCs/>
                <w:lang w:val="en-GB"/>
              </w:rPr>
            </w:pPr>
            <w:r>
              <w:rPr>
                <w:b/>
                <w:bCs/>
                <w:lang w:val="en-GB"/>
              </w:rPr>
              <w:t>WSSRA Service Blueprint</w:t>
            </w:r>
          </w:p>
        </w:tc>
        <w:tc>
          <w:tcPr>
            <w:tcW w:w="2700" w:type="dxa"/>
            <w:tcBorders>
              <w:top w:val="single" w:sz="4" w:space="0" w:color="000000"/>
              <w:start w:val="single" w:sz="4" w:space="0" w:color="FFFFFF"/>
              <w:bottom w:val="single" w:sz="4" w:space="0" w:color="000000"/>
              <w:end w:val="single" w:sz="4" w:space="0" w:color="FFFFFF"/>
            </w:tcBorders>
            <w:shd w:fill="000080" w:val="clear"/>
          </w:tcPr>
          <w:p>
            <w:pPr>
              <w:pStyle w:val="Normal"/>
              <w:spacing w:before="120" w:after="120"/>
              <w:rPr>
                <w:b/>
                <w:bCs/>
                <w:lang w:val="en-GB"/>
              </w:rPr>
            </w:pPr>
            <w:r>
              <w:rPr>
                <w:b/>
                <w:bCs/>
                <w:lang w:val="en-GB"/>
              </w:rPr>
              <w:t>PST Supplier Design Blueprint</w:t>
            </w:r>
          </w:p>
        </w:tc>
        <w:tc>
          <w:tcPr>
            <w:tcW w:w="3060" w:type="dxa"/>
            <w:tcBorders>
              <w:top w:val="single" w:sz="4" w:space="0" w:color="000000"/>
              <w:start w:val="single" w:sz="4" w:space="0" w:color="FFFFFF"/>
              <w:bottom w:val="single" w:sz="4" w:space="0" w:color="000000"/>
              <w:end w:val="single" w:sz="4" w:space="0" w:color="000000"/>
            </w:tcBorders>
            <w:shd w:fill="000080" w:val="clear"/>
          </w:tcPr>
          <w:p>
            <w:pPr>
              <w:pStyle w:val="Normal"/>
              <w:spacing w:before="120" w:after="120"/>
              <w:rPr>
                <w:b/>
                <w:bCs/>
                <w:lang w:val="en-GB"/>
              </w:rPr>
            </w:pPr>
            <w:r>
              <w:rPr>
                <w:b/>
                <w:bCs/>
                <w:lang w:val="en-GB"/>
              </w:rPr>
              <w:t>EuroBank Design Document</w:t>
            </w:r>
          </w:p>
        </w:tc>
      </w:tr>
      <w:tr>
        <w:trPr>
          <w:cantSplit w:val="true"/>
        </w:trPr>
        <w:tc>
          <w:tcPr>
            <w:tcW w:w="2520" w:type="dxa"/>
            <w:tcBorders>
              <w:top w:val="single" w:sz="4" w:space="0" w:color="000000"/>
              <w:start w:val="single" w:sz="4" w:space="0" w:color="000080"/>
              <w:bottom w:val="single" w:sz="4" w:space="0" w:color="000080"/>
              <w:end w:val="single" w:sz="4" w:space="0" w:color="000080"/>
            </w:tcBorders>
          </w:tcPr>
          <w:p>
            <w:pPr>
              <w:pStyle w:val="Normal"/>
              <w:spacing w:before="120" w:after="120"/>
              <w:rPr>
                <w:szCs w:val="18"/>
                <w:lang w:val="en-GB"/>
              </w:rPr>
            </w:pPr>
            <w:r>
              <w:rPr>
                <w:szCs w:val="18"/>
                <w:lang w:val="en-GB"/>
              </w:rPr>
              <w:t>Windows Server System Reference Architecture, by Microsoft Corporation (if available)</w:t>
            </w:r>
          </w:p>
        </w:tc>
        <w:tc>
          <w:tcPr>
            <w:tcW w:w="2700" w:type="dxa"/>
            <w:tcBorders>
              <w:top w:val="single" w:sz="4" w:space="0" w:color="000000"/>
              <w:start w:val="single" w:sz="4" w:space="0" w:color="000080"/>
              <w:bottom w:val="single" w:sz="4" w:space="0" w:color="000080"/>
              <w:end w:val="single" w:sz="4" w:space="0" w:color="000080"/>
            </w:tcBorders>
          </w:tcPr>
          <w:p>
            <w:pPr>
              <w:pStyle w:val="Normal"/>
              <w:widowControl/>
              <w:bidi w:val="0"/>
              <w:spacing w:before="120" w:after="120"/>
              <w:rPr/>
            </w:pPr>
            <w:r>
              <w:rPr>
                <w:szCs w:val="18"/>
                <w:lang w:val="en-GB"/>
              </w:rPr>
              <w:t>Design blueprint for the Service, by the PST Supplier product management</w:t>
            </w:r>
          </w:p>
        </w:tc>
        <w:tc>
          <w:tcPr>
            <w:tcW w:w="3060" w:type="dxa"/>
            <w:tcBorders>
              <w:top w:val="single" w:sz="4" w:space="0" w:color="000000"/>
              <w:start w:val="single" w:sz="4" w:space="0" w:color="000080"/>
              <w:bottom w:val="single" w:sz="4" w:space="0" w:color="000080"/>
              <w:end w:val="single" w:sz="4" w:space="0" w:color="000080"/>
            </w:tcBorders>
          </w:tcPr>
          <w:p>
            <w:pPr>
              <w:pStyle w:val="Normal"/>
              <w:widowControl/>
              <w:bidi w:val="0"/>
              <w:spacing w:before="120" w:after="120"/>
              <w:rPr/>
            </w:pPr>
            <w:r>
              <w:rPr>
                <w:szCs w:val="18"/>
                <w:lang w:val="en-GB"/>
              </w:rPr>
              <w:t>EuroBank design, by EuroBank and the PST Supplier design team</w:t>
            </w:r>
          </w:p>
        </w:tc>
      </w:tr>
    </w:tbl>
    <w:p>
      <w:pPr>
        <w:pStyle w:val="Normal"/>
        <w:spacing w:before="0" w:after="0"/>
        <w:jc w:val="both"/>
        <w:rPr>
          <w:lang w:val="en-GB"/>
        </w:rPr>
      </w:pPr>
      <w:r>
        <w:rPr>
          <w:lang w:val="en-GB"/>
        </w:rPr>
      </w:r>
    </w:p>
    <w:p>
      <w:pPr>
        <w:pStyle w:val="Normal"/>
        <w:spacing w:before="0" w:after="0"/>
        <w:jc w:val="both"/>
        <w:rPr/>
      </w:pPr>
      <w:r>
        <w:rPr>
          <w:lang w:val="en-GB"/>
        </w:rPr>
        <w:t>In the design blueprint document, each paragraph has three sections with a different purpose:</w:t>
      </w:r>
    </w:p>
    <w:p>
      <w:pPr>
        <w:pStyle w:val="Normal"/>
        <w:spacing w:before="0" w:after="0"/>
        <w:jc w:val="both"/>
        <w:rPr>
          <w:lang w:val="en-GB"/>
        </w:rPr>
      </w:pPr>
      <w:r>
        <w:rPr>
          <w:lang w:val="en-GB"/>
        </w:rPr>
      </w:r>
    </w:p>
    <w:tbl>
      <w:tblPr>
        <w:tblW w:w="8280" w:type="dxa"/>
        <w:jc w:val="start"/>
        <w:tblInd w:w="85" w:type="dxa"/>
        <w:tblLayout w:type="fixed"/>
        <w:tblCellMar>
          <w:top w:w="28" w:type="dxa"/>
          <w:start w:w="85" w:type="dxa"/>
          <w:bottom w:w="28" w:type="dxa"/>
          <w:end w:w="85" w:type="dxa"/>
        </w:tblCellMar>
      </w:tblPr>
      <w:tblGrid>
        <w:gridCol w:w="1440"/>
        <w:gridCol w:w="6840"/>
      </w:tblGrid>
      <w:tr>
        <w:trPr>
          <w:tblHeader w:val="true"/>
          <w:cantSplit w:val="true"/>
        </w:trPr>
        <w:tc>
          <w:tcPr>
            <w:tcW w:w="1440" w:type="dxa"/>
            <w:tcBorders>
              <w:top w:val="single" w:sz="4" w:space="0" w:color="000000"/>
              <w:start w:val="single" w:sz="4" w:space="0" w:color="000000"/>
              <w:bottom w:val="single" w:sz="4" w:space="0" w:color="000000"/>
              <w:end w:val="single" w:sz="4" w:space="0" w:color="FFFFFF"/>
            </w:tcBorders>
            <w:shd w:fill="000080" w:val="clear"/>
          </w:tcPr>
          <w:p>
            <w:pPr>
              <w:pStyle w:val="Normal"/>
              <w:spacing w:before="120" w:after="120"/>
              <w:rPr>
                <w:b/>
                <w:bCs/>
                <w:lang w:val="en-GB"/>
              </w:rPr>
            </w:pPr>
            <w:r>
              <w:rPr>
                <w:b/>
                <w:bCs/>
                <w:lang w:val="en-GB"/>
              </w:rPr>
              <w:t>Paragraph</w:t>
            </w:r>
          </w:p>
        </w:tc>
        <w:tc>
          <w:tcPr>
            <w:tcW w:w="6840" w:type="dxa"/>
            <w:tcBorders>
              <w:top w:val="single" w:sz="4" w:space="0" w:color="000000"/>
              <w:start w:val="single" w:sz="4" w:space="0" w:color="FFFFFF"/>
              <w:bottom w:val="single" w:sz="4" w:space="0" w:color="000000"/>
              <w:end w:val="single" w:sz="4" w:space="0" w:color="000000"/>
            </w:tcBorders>
            <w:shd w:fill="000080" w:val="clear"/>
          </w:tcPr>
          <w:p>
            <w:pPr>
              <w:pStyle w:val="Normal"/>
              <w:spacing w:before="120" w:after="120"/>
              <w:rPr>
                <w:b/>
                <w:bCs/>
                <w:lang w:val="en-GB"/>
              </w:rPr>
            </w:pPr>
            <w:r>
              <w:rPr>
                <w:b/>
                <w:bCs/>
                <w:lang w:val="en-GB"/>
              </w:rPr>
              <w:t>Purpose</w:t>
            </w:r>
          </w:p>
        </w:tc>
      </w:tr>
      <w:tr>
        <w:trPr>
          <w:cantSplit w:val="true"/>
        </w:trPr>
        <w:tc>
          <w:tcPr>
            <w:tcW w:w="1440" w:type="dxa"/>
            <w:tcBorders>
              <w:top w:val="single" w:sz="4" w:space="0" w:color="000000"/>
              <w:start w:val="single" w:sz="4" w:space="0" w:color="000080"/>
              <w:bottom w:val="single" w:sz="4" w:space="0" w:color="000080"/>
              <w:end w:val="single" w:sz="4" w:space="0" w:color="000080"/>
            </w:tcBorders>
          </w:tcPr>
          <w:p>
            <w:pPr>
              <w:pStyle w:val="Normal"/>
              <w:spacing w:before="120" w:after="120"/>
              <w:rPr>
                <w:szCs w:val="18"/>
                <w:lang w:val="en-GB"/>
              </w:rPr>
            </w:pPr>
            <w:r>
              <w:rPr>
                <w:szCs w:val="18"/>
                <w:lang w:val="en-GB"/>
              </w:rPr>
              <w:t>Introduction</w:t>
            </w:r>
          </w:p>
        </w:tc>
        <w:tc>
          <w:tcPr>
            <w:tcW w:w="6840" w:type="dxa"/>
            <w:tcBorders>
              <w:top w:val="single" w:sz="4" w:space="0" w:color="000000"/>
              <w:start w:val="single" w:sz="4" w:space="0" w:color="000080"/>
              <w:bottom w:val="single" w:sz="4" w:space="0" w:color="000080"/>
              <w:end w:val="single" w:sz="4" w:space="0" w:color="000080"/>
            </w:tcBorders>
          </w:tcPr>
          <w:p>
            <w:pPr>
              <w:pStyle w:val="Normal"/>
              <w:spacing w:before="120" w:after="120"/>
              <w:rPr>
                <w:szCs w:val="18"/>
                <w:lang w:val="en-GB"/>
              </w:rPr>
            </w:pPr>
            <w:r>
              <w:rPr>
                <w:szCs w:val="18"/>
                <w:lang w:val="en-GB"/>
              </w:rPr>
              <w:t>Positioning and discussion of the topic at hand, explaining available design choices.</w:t>
            </w:r>
          </w:p>
        </w:tc>
      </w:tr>
      <w:tr>
        <w:trPr>
          <w:cantSplit w:val="true"/>
        </w:trPr>
        <w:tc>
          <w:tcPr>
            <w:tcW w:w="1440" w:type="dxa"/>
            <w:tcBorders>
              <w:top w:val="single" w:sz="4" w:space="0" w:color="000080"/>
              <w:start w:val="single" w:sz="4" w:space="0" w:color="000080"/>
              <w:bottom w:val="single" w:sz="4" w:space="0" w:color="000080"/>
              <w:end w:val="single" w:sz="4" w:space="0" w:color="000080"/>
            </w:tcBorders>
          </w:tcPr>
          <w:p>
            <w:pPr>
              <w:pStyle w:val="Normal"/>
              <w:spacing w:before="120" w:after="120"/>
              <w:rPr>
                <w:szCs w:val="18"/>
                <w:lang w:val="en-GB"/>
              </w:rPr>
            </w:pPr>
            <w:r>
              <w:rPr>
                <w:szCs w:val="18"/>
                <w:lang w:val="en-GB"/>
              </w:rPr>
              <w:t>Vendor Default</w:t>
            </w:r>
          </w:p>
        </w:tc>
        <w:tc>
          <w:tcPr>
            <w:tcW w:w="6840" w:type="dxa"/>
            <w:tcBorders>
              <w:top w:val="single" w:sz="4" w:space="0" w:color="000080"/>
              <w:start w:val="single" w:sz="4" w:space="0" w:color="000080"/>
              <w:bottom w:val="single" w:sz="4" w:space="0" w:color="000080"/>
              <w:end w:val="single" w:sz="4" w:space="0" w:color="000080"/>
            </w:tcBorders>
          </w:tcPr>
          <w:p>
            <w:pPr>
              <w:pStyle w:val="Normal"/>
              <w:widowControl/>
              <w:bidi w:val="0"/>
              <w:spacing w:before="120" w:after="120"/>
              <w:rPr/>
            </w:pPr>
            <w:r>
              <w:rPr>
                <w:szCs w:val="18"/>
                <w:lang w:val="en-GB"/>
              </w:rPr>
              <w:t>Discussion of the design and/or Installation default, as suggested in vendor documentation or Installation materials.</w:t>
            </w:r>
          </w:p>
        </w:tc>
      </w:tr>
      <w:tr>
        <w:trPr>
          <w:cantSplit w:val="true"/>
        </w:trPr>
        <w:tc>
          <w:tcPr>
            <w:tcW w:w="1440" w:type="dxa"/>
            <w:tcBorders>
              <w:top w:val="single" w:sz="4" w:space="0" w:color="000080"/>
              <w:start w:val="single" w:sz="4" w:space="0" w:color="000080"/>
              <w:bottom w:val="single" w:sz="4" w:space="0" w:color="000080"/>
              <w:end w:val="single" w:sz="4" w:space="0" w:color="000080"/>
            </w:tcBorders>
          </w:tcPr>
          <w:p>
            <w:pPr>
              <w:pStyle w:val="Normal"/>
              <w:spacing w:before="120" w:after="120"/>
              <w:rPr>
                <w:szCs w:val="18"/>
                <w:lang w:val="en-GB"/>
              </w:rPr>
            </w:pPr>
            <w:r>
              <w:rPr>
                <w:szCs w:val="18"/>
                <w:lang w:val="en-GB"/>
              </w:rPr>
              <w:t>PST Supplier Design</w:t>
            </w:r>
          </w:p>
        </w:tc>
        <w:tc>
          <w:tcPr>
            <w:tcW w:w="6840" w:type="dxa"/>
            <w:tcBorders>
              <w:top w:val="single" w:sz="4" w:space="0" w:color="000080"/>
              <w:start w:val="single" w:sz="4" w:space="0" w:color="000080"/>
              <w:bottom w:val="single" w:sz="4" w:space="0" w:color="000080"/>
              <w:end w:val="single" w:sz="4" w:space="0" w:color="000080"/>
            </w:tcBorders>
          </w:tcPr>
          <w:p>
            <w:pPr>
              <w:pStyle w:val="Normal"/>
              <w:spacing w:before="120" w:after="120"/>
              <w:rPr>
                <w:szCs w:val="18"/>
                <w:lang w:val="en-GB"/>
              </w:rPr>
            </w:pPr>
            <w:r>
              <w:rPr>
                <w:szCs w:val="18"/>
                <w:lang w:val="en-GB"/>
              </w:rPr>
              <w:t xml:space="preserve">Recording of the PST design choices made, assuring compliance if this design with the PST Supplier Technical Reference Architecture. </w:t>
            </w:r>
          </w:p>
        </w:tc>
      </w:tr>
    </w:tbl>
    <w:p>
      <w:pPr>
        <w:pStyle w:val="Normal"/>
        <w:spacing w:before="0" w:after="0"/>
        <w:jc w:val="both"/>
        <w:rPr>
          <w:lang w:val="en-GB"/>
        </w:rPr>
      </w:pPr>
      <w:r>
        <w:rPr>
          <w:lang w:val="en-GB"/>
        </w:rPr>
      </w:r>
    </w:p>
    <w:p>
      <w:pPr>
        <w:pStyle w:val="Heading3Numbered"/>
        <w:numPr>
          <w:ilvl w:val="2"/>
          <w:numId w:val="2"/>
        </w:numPr>
        <w:ind w:hanging="0" w:start="0"/>
        <w:rPr>
          <w:sz w:val="22"/>
          <w:szCs w:val="22"/>
          <w:lang w:val="en-GB"/>
        </w:rPr>
      </w:pPr>
      <w:r>
        <w:rPr>
          <w:sz w:val="22"/>
          <w:szCs w:val="22"/>
          <w:lang w:val="en-GB"/>
        </w:rPr>
        <w:t>Life Cycle Management (life-cycle management)</w:t>
      </w:r>
    </w:p>
    <w:p>
      <w:pPr>
        <w:pStyle w:val="Normal"/>
        <w:spacing w:before="0" w:after="0"/>
        <w:jc w:val="both"/>
        <w:rPr/>
      </w:pPr>
      <w:r>
        <w:rPr>
          <w:lang w:val="en-GB"/>
        </w:rPr>
        <w:t>More than one major version update to the design blueprint documents will be released in each year of the contract. EuroBank will decide whether or not new versions will actually be implemented in the EuroBank front and back end environments.</w:t>
      </w:r>
    </w:p>
    <w:p>
      <w:pPr>
        <w:pStyle w:val="Normal"/>
        <w:spacing w:before="0" w:after="0"/>
        <w:jc w:val="both"/>
        <w:rPr>
          <w:lang w:val="en-GB"/>
        </w:rPr>
      </w:pPr>
      <w:r>
        <w:rPr>
          <w:lang w:val="en-GB"/>
        </w:rPr>
      </w:r>
    </w:p>
    <w:p>
      <w:pPr>
        <w:pStyle w:val="Normal"/>
        <w:spacing w:before="0" w:after="0"/>
        <w:jc w:val="both"/>
        <w:rPr/>
      </w:pPr>
      <w:r>
        <w:rPr>
          <w:lang w:val="en-GB"/>
        </w:rPr>
        <w:t>In addition to the design blueprints, a number of other documents will be created by the PST Supplier including, installation manuals, management manuals, as well as Acceptance Criteria, etc.</w:t>
      </w:r>
    </w:p>
    <w:p>
      <w:pPr>
        <w:pStyle w:val="Normal"/>
        <w:spacing w:before="0" w:after="0"/>
        <w:jc w:val="both"/>
        <w:rPr>
          <w:lang w:val="en-GB"/>
        </w:rPr>
      </w:pPr>
      <w:r>
        <w:rPr>
          <w:lang w:val="en-GB"/>
        </w:rPr>
      </w:r>
    </w:p>
    <w:p>
      <w:pPr>
        <w:pStyle w:val="Normal"/>
        <w:spacing w:before="0" w:after="0"/>
        <w:jc w:val="both"/>
        <w:rPr/>
      </w:pPr>
      <w:r>
        <w:rPr>
          <w:lang w:val="en-GB"/>
        </w:rPr>
        <w:t>Note that all components due to be released into the live environment will firstly be implemented in a test environment and will be demonstrated, live, in the PST Supplier executive briefing centre when required by EuroBank.</w:t>
      </w:r>
    </w:p>
    <w:p>
      <w:pPr>
        <w:pStyle w:val="Normal"/>
        <w:spacing w:before="0" w:after="0"/>
        <w:jc w:val="both"/>
        <w:rPr>
          <w:lang w:val="en-GB"/>
        </w:rPr>
      </w:pPr>
      <w:r>
        <w:rPr>
          <w:lang w:val="en-GB"/>
        </w:rPr>
      </w:r>
    </w:p>
    <w:p>
      <w:pPr>
        <w:pStyle w:val="Normal"/>
        <w:spacing w:before="0" w:after="0"/>
        <w:jc w:val="both"/>
        <w:rPr>
          <w:lang w:val="en-GB"/>
        </w:rPr>
      </w:pPr>
      <w:r>
        <w:rPr>
          <w:u w:val="single"/>
          <w:lang w:val="en-GB"/>
        </w:rPr>
        <w:t>A Blueprint Example for file Services</w:t>
      </w:r>
      <w:r>
        <w:rPr>
          <w:lang w:val="en-GB"/>
        </w:rPr>
        <w:t xml:space="preserve"> is set forth below:</w:t>
      </w:r>
    </w:p>
    <w:p>
      <w:pPr>
        <w:pStyle w:val="Normal"/>
        <w:spacing w:before="0" w:after="0"/>
        <w:jc w:val="both"/>
        <w:rPr>
          <w:lang w:val="en-GB"/>
        </w:rPr>
      </w:pPr>
      <w:r>
        <w:rPr>
          <w:lang w:val="en-GB"/>
        </w:rPr>
      </w:r>
    </w:p>
    <w:p>
      <w:pPr>
        <w:pStyle w:val="Normal"/>
        <w:spacing w:before="0" w:after="0"/>
        <w:ind w:start="720" w:end="0"/>
        <w:jc w:val="both"/>
        <w:rPr/>
      </w:pPr>
      <w:r>
        <w:rPr>
          <w:lang w:val="en-GB"/>
        </w:rPr>
        <w:t>As an example of what needs to be designed at the back end to make end user functionality available in the CSL and COSL layers, there follows an overview of the design components of file Services (as worked out in the design blueprint for file and print Services). In the blueprint document the following components are discussed in length, and for all sub-items the vendor defaults and the PST Supplier design choices are given:</w:t>
      </w:r>
    </w:p>
    <w:p>
      <w:pPr>
        <w:pStyle w:val="Normal"/>
        <w:spacing w:before="0" w:after="0"/>
        <w:ind w:start="720" w:end="0"/>
        <w:jc w:val="both"/>
        <w:rPr>
          <w:lang w:val="en-GB"/>
        </w:rPr>
      </w:pPr>
      <w:r>
        <w:rPr>
          <w:lang w:val="en-GB"/>
        </w:rPr>
      </w:r>
    </w:p>
    <w:p>
      <w:pPr>
        <w:pStyle w:val="Normal"/>
        <w:spacing w:before="0" w:after="0"/>
        <w:ind w:start="720" w:end="0"/>
        <w:jc w:val="both"/>
        <w:rPr>
          <w:b/>
          <w:lang w:val="en-GB"/>
        </w:rPr>
      </w:pPr>
      <w:r>
        <w:rPr>
          <w:b/>
          <w:lang w:val="en-GB"/>
        </w:rPr>
        <w:t>Service Design</w:t>
      </w:r>
    </w:p>
    <w:p>
      <w:pPr>
        <w:pStyle w:val="Normal"/>
        <w:spacing w:before="0" w:after="0"/>
        <w:ind w:start="720" w:end="0"/>
        <w:jc w:val="both"/>
        <w:rPr>
          <w:lang w:val="en-GB"/>
        </w:rPr>
      </w:pPr>
      <w:r>
        <w:rPr>
          <w:lang w:val="en-GB"/>
        </w:rPr>
        <w:t>Local Information Store</w:t>
      </w:r>
    </w:p>
    <w:p>
      <w:pPr>
        <w:pStyle w:val="Normal"/>
        <w:spacing w:before="0" w:after="0"/>
        <w:ind w:start="1440" w:end="0"/>
        <w:jc w:val="both"/>
        <w:rPr>
          <w:lang w:val="en-GB"/>
        </w:rPr>
      </w:pPr>
      <w:r>
        <w:rPr>
          <w:lang w:val="en-GB"/>
        </w:rPr>
        <w:t>Organisation’s Information Store</w:t>
      </w:r>
    </w:p>
    <w:p>
      <w:pPr>
        <w:pStyle w:val="Normal"/>
        <w:spacing w:before="0" w:after="0"/>
        <w:ind w:start="1440" w:end="0"/>
        <w:jc w:val="both"/>
        <w:rPr>
          <w:lang w:val="en-GB"/>
        </w:rPr>
      </w:pPr>
      <w:r>
        <w:rPr>
          <w:lang w:val="en-GB"/>
        </w:rPr>
        <w:t>Software Library</w:t>
      </w:r>
    </w:p>
    <w:p>
      <w:pPr>
        <w:pStyle w:val="Normal"/>
        <w:spacing w:before="0" w:after="0"/>
        <w:ind w:start="1440" w:end="0"/>
        <w:jc w:val="both"/>
        <w:rPr>
          <w:lang w:val="en-GB"/>
        </w:rPr>
      </w:pPr>
      <w:r>
        <w:rPr>
          <w:lang w:val="en-GB"/>
        </w:rPr>
        <w:t>Designing Client Support</w:t>
      </w:r>
    </w:p>
    <w:p>
      <w:pPr>
        <w:pStyle w:val="Normal"/>
        <w:spacing w:before="0" w:after="0"/>
        <w:ind w:start="2160" w:end="0"/>
        <w:jc w:val="both"/>
        <w:rPr>
          <w:i/>
          <w:i/>
          <w:lang w:val="en-GB"/>
        </w:rPr>
      </w:pPr>
      <w:r>
        <w:rPr>
          <w:i/>
          <w:lang w:val="en-GB"/>
        </w:rPr>
        <w:t>HTTP (Hypertext Transfer Protocol)</w:t>
      </w:r>
    </w:p>
    <w:p>
      <w:pPr>
        <w:pStyle w:val="Normal"/>
        <w:spacing w:before="0" w:after="0"/>
        <w:ind w:start="2160" w:end="0"/>
        <w:jc w:val="both"/>
        <w:rPr>
          <w:i/>
          <w:i/>
          <w:lang w:val="en-GB"/>
        </w:rPr>
      </w:pPr>
      <w:r>
        <w:rPr>
          <w:i/>
          <w:lang w:val="en-GB"/>
        </w:rPr>
        <w:t>WebDAV (World Wide Web Distributed Authoring and Versioning)</w:t>
      </w:r>
    </w:p>
    <w:p>
      <w:pPr>
        <w:pStyle w:val="Normal"/>
        <w:spacing w:before="0" w:after="0"/>
        <w:ind w:start="2160" w:end="0"/>
        <w:jc w:val="both"/>
        <w:rPr>
          <w:i/>
          <w:i/>
          <w:lang w:val="en-GB"/>
        </w:rPr>
      </w:pPr>
      <w:r>
        <w:rPr>
          <w:i/>
          <w:lang w:val="en-GB"/>
        </w:rPr>
        <w:t>FTP (File Transfer Protocol)</w:t>
      </w:r>
    </w:p>
    <w:p>
      <w:pPr>
        <w:pStyle w:val="Normal"/>
        <w:spacing w:before="0" w:after="0"/>
        <w:ind w:start="2160" w:end="0"/>
        <w:jc w:val="both"/>
        <w:rPr>
          <w:i/>
          <w:i/>
          <w:lang w:val="en-GB"/>
        </w:rPr>
      </w:pPr>
      <w:r>
        <w:rPr>
          <w:i/>
          <w:lang w:val="en-GB"/>
        </w:rPr>
        <w:t>Exchange public folders or newsgroups</w:t>
      </w:r>
    </w:p>
    <w:p>
      <w:pPr>
        <w:pStyle w:val="Normal"/>
        <w:spacing w:before="0" w:after="0"/>
        <w:ind w:start="2160" w:end="0"/>
        <w:jc w:val="both"/>
        <w:rPr>
          <w:i/>
          <w:i/>
          <w:lang w:val="en-GB"/>
        </w:rPr>
      </w:pPr>
      <w:r>
        <w:rPr>
          <w:i/>
          <w:lang w:val="en-GB"/>
        </w:rPr>
        <w:t>SMB (Server Message Block) file shares / CIFS (Common Internet File System</w:t>
      </w:r>
    </w:p>
    <w:p>
      <w:pPr>
        <w:pStyle w:val="Normal"/>
        <w:spacing w:before="0" w:after="0"/>
        <w:ind w:start="2160" w:end="0"/>
        <w:jc w:val="both"/>
        <w:rPr>
          <w:i/>
          <w:i/>
          <w:lang w:val="en-GB"/>
        </w:rPr>
      </w:pPr>
      <w:r>
        <w:rPr>
          <w:i/>
          <w:lang w:val="en-GB"/>
        </w:rPr>
        <w:t>DFS (Distributed File System)</w:t>
      </w:r>
    </w:p>
    <w:p>
      <w:pPr>
        <w:pStyle w:val="Normal"/>
        <w:spacing w:before="0" w:after="0"/>
        <w:ind w:start="2160" w:end="0"/>
        <w:jc w:val="both"/>
        <w:rPr>
          <w:i/>
          <w:i/>
          <w:lang w:val="en-GB"/>
        </w:rPr>
      </w:pPr>
      <w:r>
        <w:rPr>
          <w:i/>
          <w:lang w:val="en-GB"/>
        </w:rPr>
        <w:t>FRS (File Replication Service)</w:t>
      </w:r>
    </w:p>
    <w:p>
      <w:pPr>
        <w:pStyle w:val="Normal"/>
        <w:spacing w:before="0" w:after="0"/>
        <w:ind w:start="2160" w:end="0"/>
        <w:jc w:val="both"/>
        <w:rPr>
          <w:i/>
          <w:i/>
          <w:lang w:val="en-GB"/>
        </w:rPr>
      </w:pPr>
      <w:r>
        <w:rPr>
          <w:i/>
          <w:lang w:val="en-GB"/>
        </w:rPr>
        <w:t>EFS (Encrypted File System)</w:t>
      </w:r>
    </w:p>
    <w:p>
      <w:pPr>
        <w:pStyle w:val="Normal"/>
        <w:spacing w:before="0" w:after="0"/>
        <w:ind w:start="2160" w:end="0"/>
        <w:jc w:val="both"/>
        <w:rPr>
          <w:i/>
          <w:i/>
          <w:lang w:val="en-GB"/>
        </w:rPr>
      </w:pPr>
      <w:r>
        <w:rPr>
          <w:i/>
          <w:lang w:val="en-GB"/>
        </w:rPr>
        <w:t>Volume Shadow Copy service</w:t>
      </w:r>
    </w:p>
    <w:p>
      <w:pPr>
        <w:pStyle w:val="Normal"/>
        <w:spacing w:before="0" w:after="0"/>
        <w:ind w:start="1440" w:end="0"/>
        <w:jc w:val="both"/>
        <w:rPr>
          <w:lang w:val="en-GB"/>
        </w:rPr>
      </w:pPr>
      <w:r>
        <w:rPr>
          <w:lang w:val="en-GB"/>
        </w:rPr>
        <w:t>Distributed File System</w:t>
      </w:r>
    </w:p>
    <w:p>
      <w:pPr>
        <w:pStyle w:val="Normal"/>
        <w:spacing w:before="0" w:after="0"/>
        <w:ind w:start="2160" w:end="0"/>
        <w:jc w:val="both"/>
        <w:rPr>
          <w:i/>
          <w:i/>
          <w:lang w:val="en-GB"/>
        </w:rPr>
      </w:pPr>
      <w:r>
        <w:rPr>
          <w:i/>
          <w:lang w:val="en-GB"/>
        </w:rPr>
        <w:t>DFS Root</w:t>
      </w:r>
    </w:p>
    <w:p>
      <w:pPr>
        <w:pStyle w:val="Normal"/>
        <w:spacing w:before="0" w:after="0"/>
        <w:ind w:start="2160" w:end="0"/>
        <w:jc w:val="both"/>
        <w:rPr>
          <w:i/>
          <w:i/>
          <w:lang w:val="en-GB"/>
        </w:rPr>
      </w:pPr>
      <w:r>
        <w:rPr>
          <w:i/>
          <w:lang w:val="en-GB"/>
        </w:rPr>
        <w:t>DFS Logical Directory Structure</w:t>
      </w:r>
    </w:p>
    <w:p>
      <w:pPr>
        <w:pStyle w:val="Normal"/>
        <w:spacing w:before="0" w:after="0"/>
        <w:ind w:start="720" w:end="0"/>
        <w:jc w:val="both"/>
        <w:rPr>
          <w:i/>
          <w:i/>
          <w:lang w:val="en-GB"/>
        </w:rPr>
      </w:pPr>
      <w:r>
        <w:rPr>
          <w:i/>
          <w:lang w:val="en-GB"/>
        </w:rPr>
      </w:r>
    </w:p>
    <w:p>
      <w:pPr>
        <w:pStyle w:val="Normal"/>
        <w:spacing w:before="0" w:after="0"/>
        <w:ind w:start="720" w:end="0"/>
        <w:jc w:val="both"/>
        <w:rPr>
          <w:b/>
          <w:lang w:val="en-GB"/>
        </w:rPr>
      </w:pPr>
      <w:r>
        <w:rPr>
          <w:b/>
          <w:lang w:val="en-GB"/>
        </w:rPr>
        <w:t>Logical Design</w:t>
      </w:r>
    </w:p>
    <w:p>
      <w:pPr>
        <w:pStyle w:val="Normal"/>
        <w:spacing w:before="0" w:after="0"/>
        <w:ind w:start="1440" w:end="0"/>
        <w:jc w:val="both"/>
        <w:rPr>
          <w:lang w:val="en-GB"/>
        </w:rPr>
      </w:pPr>
      <w:r>
        <w:rPr>
          <w:lang w:val="en-GB"/>
        </w:rPr>
        <w:t>DFS Design Options</w:t>
      </w:r>
    </w:p>
    <w:p>
      <w:pPr>
        <w:pStyle w:val="Normal"/>
        <w:spacing w:before="0" w:after="0"/>
        <w:ind w:start="1440" w:end="0"/>
        <w:jc w:val="both"/>
        <w:rPr>
          <w:lang w:val="en-GB"/>
        </w:rPr>
      </w:pPr>
      <w:r>
        <w:rPr>
          <w:lang w:val="en-GB"/>
        </w:rPr>
        <w:t>Disk Quotas</w:t>
      </w:r>
    </w:p>
    <w:p>
      <w:pPr>
        <w:pStyle w:val="Normal"/>
        <w:spacing w:before="0" w:after="0"/>
        <w:ind w:start="1440" w:end="0"/>
        <w:jc w:val="both"/>
        <w:rPr>
          <w:lang w:val="en-GB"/>
        </w:rPr>
      </w:pPr>
      <w:r>
        <w:rPr>
          <w:lang w:val="en-GB"/>
        </w:rPr>
        <w:t xml:space="preserve">FRS Design </w:t>
      </w:r>
    </w:p>
    <w:p>
      <w:pPr>
        <w:pStyle w:val="Normal"/>
        <w:spacing w:before="0" w:after="0"/>
        <w:ind w:start="1440" w:end="0"/>
        <w:jc w:val="both"/>
        <w:rPr>
          <w:lang w:val="en-GB"/>
        </w:rPr>
      </w:pPr>
      <w:r>
        <w:rPr>
          <w:lang w:val="en-GB"/>
        </w:rPr>
        <w:t>EFS Design</w:t>
      </w:r>
    </w:p>
    <w:p>
      <w:pPr>
        <w:pStyle w:val="Normal"/>
        <w:spacing w:before="0" w:after="0"/>
        <w:ind w:start="1440" w:end="0"/>
        <w:jc w:val="both"/>
        <w:rPr>
          <w:lang w:val="en-GB"/>
        </w:rPr>
      </w:pPr>
      <w:r>
        <w:rPr>
          <w:lang w:val="en-GB"/>
        </w:rPr>
        <w:t>Volume Shadow Copy Service</w:t>
      </w:r>
    </w:p>
    <w:p>
      <w:pPr>
        <w:pStyle w:val="Normal"/>
        <w:spacing w:before="0" w:after="0"/>
        <w:ind w:start="720" w:end="0"/>
        <w:jc w:val="both"/>
        <w:rPr>
          <w:lang w:val="en-GB"/>
        </w:rPr>
      </w:pPr>
      <w:r>
        <w:rPr>
          <w:lang w:val="en-GB"/>
        </w:rPr>
      </w:r>
    </w:p>
    <w:p>
      <w:pPr>
        <w:pStyle w:val="Normal"/>
        <w:spacing w:before="0" w:after="0"/>
        <w:ind w:start="720" w:end="0"/>
        <w:jc w:val="both"/>
        <w:rPr>
          <w:b/>
          <w:lang w:val="en-GB"/>
        </w:rPr>
      </w:pPr>
      <w:r>
        <w:rPr>
          <w:b/>
          <w:lang w:val="en-GB"/>
        </w:rPr>
        <w:t>Physical Design</w:t>
      </w:r>
    </w:p>
    <w:p>
      <w:pPr>
        <w:pStyle w:val="Normal"/>
        <w:spacing w:before="0" w:after="0"/>
        <w:ind w:start="1440" w:end="0"/>
        <w:jc w:val="both"/>
        <w:rPr>
          <w:lang w:val="en-GB"/>
        </w:rPr>
      </w:pPr>
      <w:r>
        <w:rPr>
          <w:lang w:val="en-GB"/>
        </w:rPr>
        <w:t>File Storage Technologies</w:t>
      </w:r>
    </w:p>
    <w:p>
      <w:pPr>
        <w:pStyle w:val="Normal"/>
        <w:spacing w:before="0" w:after="0"/>
        <w:ind w:start="1440" w:end="0"/>
        <w:jc w:val="both"/>
        <w:rPr>
          <w:lang w:val="en-GB"/>
        </w:rPr>
      </w:pPr>
      <w:r>
        <w:rPr>
          <w:lang w:val="en-GB"/>
        </w:rPr>
        <w:t>Physical Design Options</w:t>
      </w:r>
    </w:p>
    <w:p>
      <w:pPr>
        <w:pStyle w:val="Normal"/>
        <w:spacing w:before="0" w:after="0"/>
        <w:ind w:start="1440" w:end="0"/>
        <w:jc w:val="both"/>
        <w:rPr>
          <w:lang w:val="en-GB"/>
        </w:rPr>
      </w:pPr>
      <w:r>
        <w:rPr>
          <w:lang w:val="en-GB"/>
        </w:rPr>
        <w:t>Hardware Requirements</w:t>
      </w:r>
    </w:p>
    <w:p>
      <w:pPr>
        <w:pStyle w:val="Normal"/>
        <w:spacing w:before="0" w:after="0"/>
        <w:ind w:start="1440" w:end="0"/>
        <w:jc w:val="both"/>
        <w:rPr>
          <w:lang w:val="en-GB"/>
        </w:rPr>
      </w:pPr>
      <w:r>
        <w:rPr>
          <w:lang w:val="en-GB"/>
        </w:rPr>
        <w:t>Availability</w:t>
      </w:r>
    </w:p>
    <w:p>
      <w:pPr>
        <w:pStyle w:val="Normal"/>
        <w:spacing w:before="0" w:after="0"/>
        <w:ind w:start="2160" w:end="0"/>
        <w:jc w:val="both"/>
        <w:rPr>
          <w:i/>
          <w:i/>
          <w:lang w:val="en-GB"/>
        </w:rPr>
      </w:pPr>
      <w:r>
        <w:rPr>
          <w:i/>
          <w:lang w:val="en-GB"/>
        </w:rPr>
        <w:t>DFS Availability</w:t>
      </w:r>
    </w:p>
    <w:p>
      <w:pPr>
        <w:pStyle w:val="Normal"/>
        <w:spacing w:before="0" w:after="0"/>
        <w:ind w:start="2160" w:end="0"/>
        <w:jc w:val="both"/>
        <w:rPr>
          <w:i/>
          <w:i/>
          <w:lang w:val="en-GB"/>
        </w:rPr>
      </w:pPr>
      <w:r>
        <w:rPr>
          <w:i/>
          <w:lang w:val="en-GB"/>
        </w:rPr>
        <w:t>FRS Availability</w:t>
      </w:r>
    </w:p>
    <w:p>
      <w:pPr>
        <w:pStyle w:val="Normal"/>
        <w:spacing w:before="0" w:after="0"/>
        <w:ind w:start="2160" w:end="0"/>
        <w:jc w:val="both"/>
        <w:rPr>
          <w:i/>
          <w:i/>
          <w:lang w:val="en-GB"/>
        </w:rPr>
      </w:pPr>
      <w:r>
        <w:rPr>
          <w:i/>
          <w:lang w:val="en-GB"/>
        </w:rPr>
        <w:t>File Share Availability</w:t>
      </w:r>
    </w:p>
    <w:p>
      <w:pPr>
        <w:pStyle w:val="Normal"/>
        <w:spacing w:before="0" w:after="0"/>
        <w:ind w:start="2160" w:end="0"/>
        <w:jc w:val="both"/>
        <w:rPr>
          <w:i/>
          <w:i/>
          <w:lang w:val="en-GB"/>
        </w:rPr>
      </w:pPr>
      <w:r>
        <w:rPr>
          <w:i/>
          <w:lang w:val="en-GB"/>
        </w:rPr>
        <w:t>File Server Availability</w:t>
      </w:r>
    </w:p>
    <w:p>
      <w:pPr>
        <w:pStyle w:val="Normal"/>
        <w:spacing w:before="0" w:after="0"/>
        <w:ind w:start="1440" w:end="0"/>
        <w:jc w:val="both"/>
        <w:rPr>
          <w:lang w:val="en-GB"/>
        </w:rPr>
      </w:pPr>
      <w:r>
        <w:rPr>
          <w:lang w:val="en-GB"/>
        </w:rPr>
        <w:t>Scalability</w:t>
      </w:r>
    </w:p>
    <w:p>
      <w:pPr>
        <w:pStyle w:val="Normal"/>
        <w:spacing w:before="0" w:after="0"/>
        <w:ind w:start="2160" w:end="0"/>
        <w:jc w:val="both"/>
        <w:rPr>
          <w:i/>
          <w:i/>
          <w:lang w:val="en-GB"/>
        </w:rPr>
      </w:pPr>
      <w:r>
        <w:rPr>
          <w:i/>
          <w:lang w:val="en-GB"/>
        </w:rPr>
        <w:t>DFS Scalability</w:t>
      </w:r>
    </w:p>
    <w:p>
      <w:pPr>
        <w:pStyle w:val="Normal"/>
        <w:spacing w:before="0" w:after="0"/>
        <w:ind w:start="2160" w:end="0"/>
        <w:jc w:val="both"/>
        <w:rPr>
          <w:i/>
          <w:i/>
          <w:lang w:val="en-GB"/>
        </w:rPr>
      </w:pPr>
      <w:r>
        <w:rPr>
          <w:i/>
          <w:lang w:val="en-GB"/>
        </w:rPr>
        <w:t>FRS Scalability</w:t>
      </w:r>
    </w:p>
    <w:p>
      <w:pPr>
        <w:pStyle w:val="Normal"/>
        <w:spacing w:before="0" w:after="0"/>
        <w:ind w:start="2160" w:end="0"/>
        <w:jc w:val="both"/>
        <w:rPr>
          <w:i/>
          <w:i/>
          <w:lang w:val="en-GB"/>
        </w:rPr>
      </w:pPr>
      <w:r>
        <w:rPr>
          <w:i/>
          <w:lang w:val="en-GB"/>
        </w:rPr>
        <w:t>Volume Shadow Copy Service Scalability</w:t>
      </w:r>
    </w:p>
    <w:p>
      <w:pPr>
        <w:pStyle w:val="Normal"/>
        <w:spacing w:before="0" w:after="0"/>
        <w:ind w:start="720" w:end="0"/>
        <w:jc w:val="both"/>
        <w:rPr>
          <w:i/>
          <w:i/>
          <w:lang w:val="en-GB"/>
        </w:rPr>
      </w:pPr>
      <w:r>
        <w:rPr>
          <w:i/>
          <w:lang w:val="en-GB"/>
        </w:rPr>
      </w:r>
    </w:p>
    <w:p>
      <w:pPr>
        <w:pStyle w:val="Normal"/>
        <w:spacing w:before="0" w:after="0"/>
        <w:ind w:start="720" w:end="0"/>
        <w:jc w:val="both"/>
        <w:rPr>
          <w:b/>
          <w:lang w:val="en-GB"/>
        </w:rPr>
      </w:pPr>
      <w:r>
        <w:rPr>
          <w:b/>
          <w:lang w:val="en-GB"/>
        </w:rPr>
        <w:t xml:space="preserve">Additional Design </w:t>
      </w:r>
    </w:p>
    <w:p>
      <w:pPr>
        <w:pStyle w:val="Normal"/>
        <w:spacing w:before="0" w:after="0"/>
        <w:ind w:start="1440" w:end="0"/>
        <w:jc w:val="both"/>
        <w:rPr>
          <w:lang w:val="en-GB"/>
        </w:rPr>
      </w:pPr>
      <w:r>
        <w:rPr>
          <w:lang w:val="en-GB"/>
        </w:rPr>
        <w:t>Drive Letter Mapping</w:t>
      </w:r>
    </w:p>
    <w:p>
      <w:pPr>
        <w:pStyle w:val="Normal"/>
        <w:spacing w:before="0" w:after="0"/>
        <w:ind w:start="1440" w:end="0"/>
        <w:jc w:val="both"/>
        <w:rPr>
          <w:lang w:val="en-GB"/>
        </w:rPr>
      </w:pPr>
      <w:r>
        <w:rPr>
          <w:lang w:val="en-GB"/>
        </w:rPr>
        <w:t>File System Scalability</w:t>
      </w:r>
    </w:p>
    <w:p>
      <w:pPr>
        <w:pStyle w:val="Normal"/>
        <w:spacing w:before="0" w:after="0"/>
        <w:ind w:start="1440" w:end="0"/>
        <w:jc w:val="both"/>
        <w:rPr>
          <w:lang w:val="en-GB"/>
        </w:rPr>
      </w:pPr>
      <w:r>
        <w:rPr>
          <w:lang w:val="en-GB"/>
        </w:rPr>
        <w:t>Authorisation Design</w:t>
      </w:r>
    </w:p>
    <w:p>
      <w:pPr>
        <w:pStyle w:val="Normal"/>
        <w:spacing w:before="0" w:after="0"/>
        <w:ind w:start="1440" w:end="0"/>
        <w:jc w:val="both"/>
        <w:rPr>
          <w:lang w:val="en-GB"/>
        </w:rPr>
      </w:pPr>
      <w:r>
        <w:rPr>
          <w:lang w:val="en-GB"/>
        </w:rPr>
        <w:t>User account configuration for File Services</w:t>
      </w:r>
    </w:p>
    <w:p>
      <w:pPr>
        <w:pStyle w:val="Normal"/>
        <w:spacing w:before="0" w:after="0"/>
        <w:ind w:start="1440" w:end="0"/>
        <w:jc w:val="both"/>
        <w:rPr>
          <w:lang w:val="en-GB"/>
        </w:rPr>
      </w:pPr>
      <w:r>
        <w:rPr>
          <w:lang w:val="en-GB"/>
        </w:rPr>
        <w:t>Group Policy settings for File Services</w:t>
      </w:r>
    </w:p>
    <w:p>
      <w:pPr>
        <w:pStyle w:val="Normal"/>
        <w:spacing w:before="0" w:after="0"/>
        <w:jc w:val="both"/>
        <w:rPr>
          <w:lang w:val="en-GB"/>
        </w:rPr>
      </w:pPr>
      <w:r>
        <w:rPr>
          <w:lang w:val="en-GB"/>
        </w:rPr>
      </w:r>
    </w:p>
    <w:p>
      <w:pPr>
        <w:pStyle w:val="Normal"/>
        <w:spacing w:before="0" w:after="0"/>
        <w:jc w:val="both"/>
        <w:rPr>
          <w:b/>
          <w:lang w:val="en-GB"/>
        </w:rPr>
      </w:pPr>
      <w:r>
        <w:rPr>
          <w:b/>
          <w:lang w:val="en-GB"/>
        </w:rPr>
        <w:t>Managing and Supporting the CSL and COSL</w:t>
      </w:r>
    </w:p>
    <w:p>
      <w:pPr>
        <w:pStyle w:val="Normal"/>
        <w:spacing w:before="0" w:after="0"/>
        <w:jc w:val="both"/>
        <w:rPr>
          <w:b/>
          <w:lang w:val="en-GB"/>
        </w:rPr>
      </w:pPr>
      <w:r>
        <w:rPr>
          <w:b/>
          <w:lang w:val="en-GB"/>
        </w:rPr>
      </w:r>
    </w:p>
    <w:p>
      <w:pPr>
        <w:pStyle w:val="Normal"/>
        <w:spacing w:before="0" w:after="0"/>
        <w:jc w:val="both"/>
        <w:rPr>
          <w:lang w:val="en-GB"/>
        </w:rPr>
      </w:pPr>
      <w:r>
        <w:rPr>
          <w:lang w:val="en-GB"/>
        </w:rPr>
        <w:t>To manage and support the CSL and COSL front and back end environments, the PST Supplier will create, in agreement with EuroBank, a set of named and fully documented services that will be, as far as possible, repeatable. All Services will have standardised features, including, but not limited to structure, performance levels, terminology and conditions – this will be undertaken in-line with the uniformity approach. For each service, supporting documentation will be produced including, but not limited to presentations, brochures, tariff structures and service descriptions. The content of service descriptions will include all support activities necessary to enable the EuroBank business functionality within the agreed Critical Service Levels. These activities are grouped based on the ITIL processes and other Best Practices as agreed with EuroBank.</w:t>
      </w:r>
    </w:p>
    <w:p>
      <w:pPr>
        <w:pStyle w:val="Normal"/>
        <w:spacing w:before="0" w:after="0"/>
        <w:jc w:val="both"/>
        <w:rPr>
          <w:lang w:val="en-GB"/>
        </w:rPr>
      </w:pPr>
      <w:r>
        <w:rPr>
          <w:lang w:val="en-GB"/>
        </w:rPr>
      </w:r>
    </w:p>
    <w:p>
      <w:pPr>
        <w:pStyle w:val="Normal"/>
        <w:spacing w:before="0" w:after="0"/>
        <w:jc w:val="both"/>
        <w:rPr/>
      </w:pPr>
      <w:r>
        <w:rPr>
          <w:lang w:val="en-GB"/>
        </w:rPr>
        <w:t>All due dates for delivery of the Services are part of Exhibit 30 (</w:t>
      </w:r>
      <w:r>
        <w:rPr>
          <w:i/>
          <w:lang w:val="en-GB"/>
        </w:rPr>
        <w:t>Transition &amp; Transformation</w:t>
      </w:r>
      <w:r>
        <w:rPr>
          <w:lang w:val="en-GB"/>
        </w:rPr>
        <w:t>) and its Attachments.</w:t>
      </w:r>
    </w:p>
    <w:p>
      <w:pPr>
        <w:pStyle w:val="Normal"/>
        <w:spacing w:before="0" w:after="0"/>
        <w:jc w:val="both"/>
        <w:rPr>
          <w:lang w:val="en-GB"/>
        </w:rPr>
      </w:pPr>
      <w:r>
        <w:rPr>
          <w:lang w:val="en-GB"/>
        </w:rPr>
      </w:r>
    </w:p>
    <w:p>
      <w:pPr>
        <w:pStyle w:val="Normal"/>
        <w:spacing w:before="0" w:after="0"/>
        <w:jc w:val="both"/>
        <w:rPr/>
      </w:pPr>
      <w:r>
        <w:rPr>
          <w:lang w:val="en-GB"/>
        </w:rPr>
        <w:t xml:space="preserve">A </w:t>
      </w:r>
      <w:r>
        <w:rPr>
          <w:u w:val="single"/>
          <w:lang w:val="en-GB"/>
        </w:rPr>
        <w:t>Service example for Managed Client Device</w:t>
      </w:r>
      <w:r>
        <w:rPr>
          <w:lang w:val="en-GB"/>
        </w:rPr>
        <w:t xml:space="preserve"> is set forth below:</w:t>
      </w:r>
    </w:p>
    <w:p>
      <w:pPr>
        <w:pStyle w:val="Normal"/>
        <w:spacing w:before="0" w:after="0"/>
        <w:jc w:val="both"/>
        <w:rPr>
          <w:lang w:val="en-GB"/>
        </w:rPr>
      </w:pPr>
      <w:r>
        <w:rPr>
          <w:lang w:val="en-GB"/>
        </w:rPr>
      </w:r>
    </w:p>
    <w:p>
      <w:pPr>
        <w:pStyle w:val="Normal"/>
        <w:spacing w:before="0" w:after="0"/>
        <w:jc w:val="both"/>
        <w:rPr/>
      </w:pPr>
      <w:r>
        <w:rPr>
          <w:lang w:val="en-GB"/>
        </w:rPr>
        <w:t>Typical PST Services to support the EuroBank CSL and COSL environment are Service Desk, managed client devices, PC System Software packaging, messaging, directory Services, server management and local support. The following table lists the process components of the Managed Client Device Service, version 2.5:</w:t>
      </w:r>
      <w:r>
        <w:rPr>
          <w:i/>
          <w:lang w:val="en-GB"/>
        </w:rPr>
      </w:r>
      <w:r>
        <w:rPr>
          <w:lang w:val="en-GB"/>
        </w:rPr>
      </w:r>
    </w:p>
    <w:p>
      <w:pPr>
        <w:pStyle w:val="Normal"/>
        <w:spacing w:before="0" w:after="0"/>
        <w:jc w:val="both"/>
        <w:rPr>
          <w:lang w:val="en-GB"/>
        </w:rPr>
      </w:pPr>
      <w:r>
        <w:rPr>
          <w:lang w:val="en-GB"/>
        </w:rPr>
      </w:r>
    </w:p>
    <w:tbl>
      <w:tblPr>
        <w:tblW w:w="5760" w:type="dxa"/>
        <w:jc w:val="start"/>
        <w:tblInd w:w="540" w:type="dxa"/>
        <w:tblLayout w:type="fixed"/>
        <w:tblCellMar>
          <w:top w:w="28" w:type="dxa"/>
          <w:start w:w="85" w:type="dxa"/>
          <w:bottom w:w="28" w:type="dxa"/>
          <w:end w:w="85" w:type="dxa"/>
        </w:tblCellMar>
      </w:tblPr>
      <w:tblGrid>
        <w:gridCol w:w="5760"/>
      </w:tblGrid>
      <w:tr>
        <w:trPr>
          <w:tblHeader w:val="true"/>
          <w:trHeight w:val="397" w:hRule="exact"/>
        </w:trPr>
        <w:tc>
          <w:tcPr>
            <w:tcW w:w="5760" w:type="dxa"/>
            <w:tcBorders>
              <w:top w:val="single" w:sz="4" w:space="0" w:color="000000"/>
              <w:start w:val="single" w:sz="4" w:space="0" w:color="000000"/>
              <w:bottom w:val="single" w:sz="4" w:space="0" w:color="000000"/>
              <w:end w:val="single" w:sz="4" w:space="0" w:color="000000"/>
            </w:tcBorders>
            <w:shd w:fill="000080" w:val="clear"/>
          </w:tcPr>
          <w:p>
            <w:pPr>
              <w:pStyle w:val="Normal"/>
              <w:spacing w:before="120" w:after="120"/>
              <w:rPr>
                <w:b/>
                <w:bCs/>
                <w:sz w:val="18"/>
                <w:szCs w:val="18"/>
                <w:lang w:val="en-GB"/>
              </w:rPr>
            </w:pPr>
            <w:r>
              <w:rPr>
                <w:b/>
                <w:bCs/>
                <w:sz w:val="18"/>
                <w:szCs w:val="18"/>
                <w:lang w:val="en-GB"/>
              </w:rPr>
              <w:t>Component name</w:t>
            </w:r>
          </w:p>
        </w:tc>
      </w:tr>
      <w:tr>
        <w:trPr>
          <w:trHeight w:val="397" w:hRule="exact"/>
        </w:trPr>
        <w:tc>
          <w:tcPr>
            <w:tcW w:w="5760" w:type="dxa"/>
            <w:tcBorders>
              <w:top w:val="single" w:sz="4" w:space="0" w:color="000080"/>
              <w:start w:val="single" w:sz="4" w:space="0" w:color="000080"/>
              <w:bottom w:val="single" w:sz="4" w:space="0" w:color="000080"/>
              <w:end w:val="single" w:sz="4" w:space="0" w:color="000000"/>
            </w:tcBorders>
          </w:tcPr>
          <w:p>
            <w:pPr>
              <w:pStyle w:val="Normal"/>
              <w:spacing w:before="120" w:after="120"/>
              <w:rPr>
                <w:sz w:val="18"/>
                <w:szCs w:val="18"/>
                <w:lang w:val="en-GB"/>
              </w:rPr>
            </w:pPr>
            <w:r>
              <w:rPr>
                <w:sz w:val="18"/>
                <w:szCs w:val="18"/>
                <w:lang w:val="en-GB"/>
              </w:rPr>
              <w:t>Availability Management</w:t>
            </w:r>
          </w:p>
        </w:tc>
      </w:tr>
      <w:tr>
        <w:trPr>
          <w:trHeight w:val="397" w:hRule="exact"/>
        </w:trPr>
        <w:tc>
          <w:tcPr>
            <w:tcW w:w="5760" w:type="dxa"/>
            <w:tcBorders>
              <w:top w:val="single" w:sz="4" w:space="0" w:color="000080"/>
              <w:start w:val="single" w:sz="4" w:space="0" w:color="000080"/>
              <w:bottom w:val="single" w:sz="4" w:space="0" w:color="000080"/>
              <w:end w:val="single" w:sz="4" w:space="0" w:color="000000"/>
            </w:tcBorders>
          </w:tcPr>
          <w:p>
            <w:pPr>
              <w:pStyle w:val="Normal"/>
              <w:spacing w:before="120" w:after="120"/>
              <w:rPr>
                <w:sz w:val="18"/>
                <w:szCs w:val="18"/>
                <w:lang w:val="en-GB"/>
              </w:rPr>
            </w:pPr>
            <w:r>
              <w:rPr>
                <w:sz w:val="18"/>
                <w:szCs w:val="18"/>
                <w:lang w:val="en-GB"/>
              </w:rPr>
              <w:t>Service Availability Reporting</w:t>
            </w:r>
          </w:p>
        </w:tc>
      </w:tr>
      <w:tr>
        <w:trPr>
          <w:trHeight w:val="397" w:hRule="exact"/>
        </w:trPr>
        <w:tc>
          <w:tcPr>
            <w:tcW w:w="5760" w:type="dxa"/>
            <w:tcBorders>
              <w:top w:val="single" w:sz="4" w:space="0" w:color="000080"/>
              <w:start w:val="single" w:sz="4" w:space="0" w:color="000080"/>
              <w:bottom w:val="single" w:sz="4" w:space="0" w:color="000080"/>
              <w:end w:val="single" w:sz="4" w:space="0" w:color="000000"/>
            </w:tcBorders>
          </w:tcPr>
          <w:p>
            <w:pPr>
              <w:pStyle w:val="Normal"/>
              <w:spacing w:before="120" w:after="120"/>
              <w:rPr>
                <w:sz w:val="18"/>
                <w:szCs w:val="18"/>
                <w:lang w:val="en-GB"/>
              </w:rPr>
            </w:pPr>
            <w:r>
              <w:rPr>
                <w:sz w:val="18"/>
                <w:szCs w:val="18"/>
                <w:lang w:val="en-GB"/>
              </w:rPr>
              <w:t>Service Level Reporting</w:t>
            </w:r>
          </w:p>
        </w:tc>
      </w:tr>
      <w:tr>
        <w:trPr>
          <w:trHeight w:val="397" w:hRule="exact"/>
        </w:trPr>
        <w:tc>
          <w:tcPr>
            <w:tcW w:w="5760" w:type="dxa"/>
            <w:tcBorders>
              <w:top w:val="single" w:sz="4" w:space="0" w:color="000080"/>
              <w:start w:val="single" w:sz="4" w:space="0" w:color="000080"/>
              <w:bottom w:val="single" w:sz="4" w:space="0" w:color="000080"/>
              <w:end w:val="single" w:sz="4" w:space="0" w:color="000000"/>
            </w:tcBorders>
          </w:tcPr>
          <w:p>
            <w:pPr>
              <w:pStyle w:val="Normal"/>
              <w:widowControl/>
              <w:bidi w:val="0"/>
              <w:spacing w:before="120" w:after="120"/>
              <w:rPr/>
            </w:pPr>
            <w:r>
              <w:rPr>
                <w:sz w:val="18"/>
                <w:szCs w:val="18"/>
                <w:lang w:val="en-GB"/>
              </w:rPr>
              <w:t>System Software Distribution - Fixes &amp; Patches</w:t>
            </w:r>
          </w:p>
        </w:tc>
      </w:tr>
      <w:tr>
        <w:trPr>
          <w:trHeight w:val="397" w:hRule="exact"/>
        </w:trPr>
        <w:tc>
          <w:tcPr>
            <w:tcW w:w="5760" w:type="dxa"/>
            <w:tcBorders>
              <w:top w:val="single" w:sz="4" w:space="0" w:color="000080"/>
              <w:start w:val="single" w:sz="4" w:space="0" w:color="000080"/>
              <w:bottom w:val="single" w:sz="4" w:space="0" w:color="000080"/>
              <w:end w:val="single" w:sz="4" w:space="0" w:color="000000"/>
            </w:tcBorders>
          </w:tcPr>
          <w:p>
            <w:pPr>
              <w:pStyle w:val="Normal"/>
              <w:widowControl/>
              <w:bidi w:val="0"/>
              <w:spacing w:before="120" w:after="120"/>
              <w:rPr/>
            </w:pPr>
            <w:r>
              <w:rPr>
                <w:sz w:val="18"/>
                <w:szCs w:val="18"/>
                <w:lang w:val="en-GB"/>
              </w:rPr>
              <w:t>System Software Distribution - Service Packs</w:t>
            </w:r>
          </w:p>
        </w:tc>
      </w:tr>
      <w:tr>
        <w:trPr>
          <w:trHeight w:val="397" w:hRule="exact"/>
        </w:trPr>
        <w:tc>
          <w:tcPr>
            <w:tcW w:w="5760" w:type="dxa"/>
            <w:tcBorders>
              <w:top w:val="single" w:sz="4" w:space="0" w:color="000080"/>
              <w:start w:val="single" w:sz="4" w:space="0" w:color="000080"/>
              <w:bottom w:val="single" w:sz="4" w:space="0" w:color="000080"/>
              <w:end w:val="single" w:sz="4" w:space="0" w:color="000000"/>
            </w:tcBorders>
          </w:tcPr>
          <w:p>
            <w:pPr>
              <w:pStyle w:val="Normal"/>
              <w:spacing w:before="120" w:after="120"/>
              <w:rPr>
                <w:sz w:val="18"/>
                <w:szCs w:val="18"/>
                <w:lang w:val="en-GB"/>
              </w:rPr>
            </w:pPr>
            <w:bookmarkStart w:id="1" w:name="OLE_LINK1"/>
            <w:r>
              <w:rPr>
                <w:sz w:val="18"/>
                <w:szCs w:val="18"/>
                <w:lang w:val="en-GB"/>
              </w:rPr>
              <w:t>Virus Protection Management – Virus checker updates</w:t>
            </w:r>
            <w:bookmarkEnd w:id="1"/>
          </w:p>
        </w:tc>
      </w:tr>
      <w:tr>
        <w:trPr>
          <w:trHeight w:val="397" w:hRule="exact"/>
        </w:trPr>
        <w:tc>
          <w:tcPr>
            <w:tcW w:w="5760" w:type="dxa"/>
            <w:tcBorders>
              <w:top w:val="single" w:sz="4" w:space="0" w:color="000080"/>
              <w:start w:val="single" w:sz="4" w:space="0" w:color="000080"/>
              <w:bottom w:val="single" w:sz="4" w:space="0" w:color="000080"/>
              <w:end w:val="single" w:sz="4" w:space="0" w:color="000000"/>
            </w:tcBorders>
          </w:tcPr>
          <w:p>
            <w:pPr>
              <w:pStyle w:val="Normal"/>
              <w:widowControl/>
              <w:bidi w:val="0"/>
              <w:spacing w:before="120" w:after="120"/>
              <w:rPr/>
            </w:pPr>
            <w:r>
              <w:rPr>
                <w:sz w:val="18"/>
                <w:szCs w:val="18"/>
                <w:lang w:val="en-GB"/>
              </w:rPr>
              <w:t>System Software Settings Management</w:t>
            </w:r>
          </w:p>
        </w:tc>
      </w:tr>
      <w:tr>
        <w:trPr>
          <w:trHeight w:val="397" w:hRule="exact"/>
        </w:trPr>
        <w:tc>
          <w:tcPr>
            <w:tcW w:w="5760" w:type="dxa"/>
            <w:tcBorders>
              <w:top w:val="single" w:sz="4" w:space="0" w:color="000080"/>
              <w:start w:val="single" w:sz="4" w:space="0" w:color="000080"/>
              <w:bottom w:val="single" w:sz="4" w:space="0" w:color="000080"/>
              <w:end w:val="single" w:sz="4" w:space="0" w:color="000000"/>
            </w:tcBorders>
          </w:tcPr>
          <w:p>
            <w:pPr>
              <w:pStyle w:val="Normal"/>
              <w:widowControl/>
              <w:bidi w:val="0"/>
              <w:spacing w:before="120" w:after="120"/>
              <w:rPr/>
            </w:pPr>
            <w:r>
              <w:rPr>
                <w:sz w:val="18"/>
                <w:szCs w:val="18"/>
                <w:lang w:val="en-GB"/>
              </w:rPr>
              <w:t>System Software Installation</w:t>
            </w:r>
          </w:p>
        </w:tc>
      </w:tr>
      <w:tr>
        <w:trPr>
          <w:trHeight w:val="397" w:hRule="exact"/>
        </w:trPr>
        <w:tc>
          <w:tcPr>
            <w:tcW w:w="5760" w:type="dxa"/>
            <w:tcBorders>
              <w:top w:val="single" w:sz="4" w:space="0" w:color="000080"/>
              <w:start w:val="single" w:sz="4" w:space="0" w:color="000080"/>
              <w:bottom w:val="single" w:sz="4" w:space="0" w:color="000080"/>
              <w:end w:val="single" w:sz="4" w:space="0" w:color="000000"/>
            </w:tcBorders>
          </w:tcPr>
          <w:p>
            <w:pPr>
              <w:pStyle w:val="Normal"/>
              <w:spacing w:before="120" w:after="120"/>
              <w:rPr>
                <w:sz w:val="18"/>
                <w:szCs w:val="18"/>
                <w:lang w:val="en-GB"/>
              </w:rPr>
            </w:pPr>
            <w:r>
              <w:rPr>
                <w:sz w:val="18"/>
                <w:szCs w:val="18"/>
                <w:lang w:val="en-GB"/>
              </w:rPr>
              <w:t>Hardware Certification</w:t>
            </w:r>
          </w:p>
        </w:tc>
      </w:tr>
      <w:tr>
        <w:trPr>
          <w:trHeight w:val="397" w:hRule="exact"/>
        </w:trPr>
        <w:tc>
          <w:tcPr>
            <w:tcW w:w="5760" w:type="dxa"/>
            <w:tcBorders>
              <w:top w:val="single" w:sz="4" w:space="0" w:color="000080"/>
              <w:start w:val="single" w:sz="4" w:space="0" w:color="000080"/>
              <w:bottom w:val="single" w:sz="4" w:space="0" w:color="000080"/>
              <w:end w:val="single" w:sz="4" w:space="0" w:color="000000"/>
            </w:tcBorders>
          </w:tcPr>
          <w:p>
            <w:pPr>
              <w:pStyle w:val="Normal"/>
              <w:spacing w:before="120" w:after="120"/>
              <w:rPr>
                <w:sz w:val="18"/>
                <w:szCs w:val="18"/>
                <w:lang w:val="en-GB"/>
              </w:rPr>
            </w:pPr>
            <w:r>
              <w:rPr>
                <w:sz w:val="18"/>
                <w:szCs w:val="18"/>
                <w:lang w:val="en-GB"/>
              </w:rPr>
              <w:t>Policy Management – User</w:t>
            </w:r>
          </w:p>
        </w:tc>
      </w:tr>
      <w:tr>
        <w:trPr>
          <w:trHeight w:val="397" w:hRule="exact"/>
        </w:trPr>
        <w:tc>
          <w:tcPr>
            <w:tcW w:w="5760" w:type="dxa"/>
            <w:tcBorders>
              <w:top w:val="single" w:sz="4" w:space="0" w:color="000080"/>
              <w:start w:val="single" w:sz="4" w:space="0" w:color="000080"/>
              <w:bottom w:val="single" w:sz="4" w:space="0" w:color="000080"/>
              <w:end w:val="single" w:sz="4" w:space="0" w:color="000000"/>
            </w:tcBorders>
          </w:tcPr>
          <w:p>
            <w:pPr>
              <w:pStyle w:val="Normal"/>
              <w:spacing w:before="120" w:after="120"/>
              <w:rPr>
                <w:sz w:val="18"/>
                <w:szCs w:val="18"/>
                <w:lang w:val="en-GB"/>
              </w:rPr>
            </w:pPr>
            <w:r>
              <w:rPr>
                <w:sz w:val="18"/>
                <w:szCs w:val="18"/>
                <w:lang w:val="en-GB"/>
              </w:rPr>
              <w:t>Policy Management – Device</w:t>
            </w:r>
          </w:p>
        </w:tc>
      </w:tr>
      <w:tr>
        <w:trPr>
          <w:trHeight w:val="397" w:hRule="exact"/>
        </w:trPr>
        <w:tc>
          <w:tcPr>
            <w:tcW w:w="5760" w:type="dxa"/>
            <w:tcBorders>
              <w:top w:val="single" w:sz="4" w:space="0" w:color="000080"/>
              <w:start w:val="single" w:sz="4" w:space="0" w:color="000080"/>
              <w:bottom w:val="single" w:sz="4" w:space="0" w:color="000080"/>
              <w:end w:val="single" w:sz="4" w:space="0" w:color="000000"/>
            </w:tcBorders>
          </w:tcPr>
          <w:p>
            <w:pPr>
              <w:pStyle w:val="Normal"/>
              <w:spacing w:before="120" w:after="120"/>
              <w:rPr>
                <w:sz w:val="18"/>
                <w:szCs w:val="18"/>
                <w:lang w:val="en-GB"/>
              </w:rPr>
            </w:pPr>
            <w:r>
              <w:rPr>
                <w:sz w:val="18"/>
                <w:szCs w:val="18"/>
                <w:lang w:val="en-GB"/>
              </w:rPr>
              <w:t>Configuration Management</w:t>
            </w:r>
          </w:p>
        </w:tc>
      </w:tr>
      <w:tr>
        <w:trPr>
          <w:trHeight w:val="397" w:hRule="exact"/>
        </w:trPr>
        <w:tc>
          <w:tcPr>
            <w:tcW w:w="5760" w:type="dxa"/>
            <w:tcBorders>
              <w:top w:val="single" w:sz="4" w:space="0" w:color="000080"/>
              <w:start w:val="single" w:sz="4" w:space="0" w:color="000080"/>
              <w:bottom w:val="single" w:sz="4" w:space="0" w:color="000080"/>
              <w:end w:val="single" w:sz="4" w:space="0" w:color="000000"/>
            </w:tcBorders>
          </w:tcPr>
          <w:p>
            <w:pPr>
              <w:pStyle w:val="Normal"/>
              <w:spacing w:before="120" w:after="120"/>
              <w:rPr>
                <w:sz w:val="18"/>
                <w:szCs w:val="18"/>
                <w:lang w:val="en-GB"/>
              </w:rPr>
            </w:pPr>
            <w:r>
              <w:rPr>
                <w:sz w:val="18"/>
                <w:szCs w:val="18"/>
                <w:lang w:val="en-GB"/>
              </w:rPr>
              <w:t>Incident Management</w:t>
            </w:r>
          </w:p>
        </w:tc>
      </w:tr>
      <w:tr>
        <w:trPr>
          <w:trHeight w:val="397" w:hRule="exact"/>
        </w:trPr>
        <w:tc>
          <w:tcPr>
            <w:tcW w:w="5760" w:type="dxa"/>
            <w:tcBorders>
              <w:top w:val="single" w:sz="4" w:space="0" w:color="000080"/>
              <w:start w:val="single" w:sz="4" w:space="0" w:color="000080"/>
              <w:bottom w:val="single" w:sz="4" w:space="0" w:color="000080"/>
              <w:end w:val="single" w:sz="4" w:space="0" w:color="000000"/>
            </w:tcBorders>
          </w:tcPr>
          <w:p>
            <w:pPr>
              <w:pStyle w:val="Normal"/>
              <w:spacing w:before="120" w:after="120"/>
              <w:rPr>
                <w:sz w:val="18"/>
                <w:szCs w:val="18"/>
                <w:lang w:val="en-GB"/>
              </w:rPr>
            </w:pPr>
            <w:r>
              <w:rPr>
                <w:sz w:val="18"/>
                <w:szCs w:val="18"/>
                <w:lang w:val="en-GB"/>
              </w:rPr>
              <w:t>Problem Management</w:t>
            </w:r>
          </w:p>
        </w:tc>
      </w:tr>
      <w:tr>
        <w:trPr>
          <w:trHeight w:val="397" w:hRule="exact"/>
        </w:trPr>
        <w:tc>
          <w:tcPr>
            <w:tcW w:w="5760" w:type="dxa"/>
            <w:tcBorders>
              <w:top w:val="single" w:sz="4" w:space="0" w:color="000080"/>
              <w:start w:val="single" w:sz="4" w:space="0" w:color="000080"/>
              <w:bottom w:val="single" w:sz="4" w:space="0" w:color="000080"/>
              <w:end w:val="single" w:sz="4" w:space="0" w:color="000000"/>
            </w:tcBorders>
          </w:tcPr>
          <w:p>
            <w:pPr>
              <w:pStyle w:val="Normal"/>
              <w:spacing w:before="120" w:after="120"/>
              <w:rPr>
                <w:sz w:val="18"/>
                <w:szCs w:val="18"/>
                <w:lang w:val="en-GB"/>
              </w:rPr>
            </w:pPr>
            <w:r>
              <w:rPr>
                <w:sz w:val="18"/>
                <w:szCs w:val="18"/>
                <w:lang w:val="en-GB"/>
              </w:rPr>
              <w:t>Query Management</w:t>
            </w:r>
          </w:p>
        </w:tc>
      </w:tr>
      <w:tr>
        <w:trPr>
          <w:trHeight w:val="397" w:hRule="exact"/>
        </w:trPr>
        <w:tc>
          <w:tcPr>
            <w:tcW w:w="5760" w:type="dxa"/>
            <w:tcBorders>
              <w:top w:val="single" w:sz="4" w:space="0" w:color="000080"/>
              <w:start w:val="single" w:sz="4" w:space="0" w:color="000080"/>
              <w:bottom w:val="single" w:sz="4" w:space="0" w:color="000080"/>
              <w:end w:val="single" w:sz="4" w:space="0" w:color="000000"/>
            </w:tcBorders>
          </w:tcPr>
          <w:p>
            <w:pPr>
              <w:pStyle w:val="Normal"/>
              <w:spacing w:before="120" w:after="120"/>
              <w:rPr>
                <w:sz w:val="18"/>
                <w:szCs w:val="18"/>
                <w:lang w:val="en-GB"/>
              </w:rPr>
            </w:pPr>
            <w:r>
              <w:rPr>
                <w:sz w:val="18"/>
                <w:szCs w:val="18"/>
                <w:lang w:val="en-GB"/>
              </w:rPr>
              <w:t>Complaint Management</w:t>
            </w:r>
          </w:p>
        </w:tc>
      </w:tr>
      <w:tr>
        <w:trPr>
          <w:trHeight w:val="397" w:hRule="exact"/>
        </w:trPr>
        <w:tc>
          <w:tcPr>
            <w:tcW w:w="5760" w:type="dxa"/>
            <w:tcBorders>
              <w:top w:val="single" w:sz="4" w:space="0" w:color="000080"/>
              <w:start w:val="single" w:sz="4" w:space="0" w:color="000080"/>
              <w:bottom w:val="single" w:sz="4" w:space="0" w:color="000080"/>
              <w:end w:val="single" w:sz="4" w:space="0" w:color="000000"/>
            </w:tcBorders>
          </w:tcPr>
          <w:p>
            <w:pPr>
              <w:pStyle w:val="Normal"/>
              <w:widowControl/>
              <w:bidi w:val="0"/>
              <w:spacing w:before="120" w:after="120"/>
              <w:rPr/>
            </w:pPr>
            <w:r>
              <w:rPr>
                <w:sz w:val="18"/>
                <w:szCs w:val="18"/>
                <w:lang w:val="en-GB"/>
              </w:rPr>
              <w:t>System Software License Monitoring</w:t>
            </w:r>
          </w:p>
        </w:tc>
      </w:tr>
      <w:tr>
        <w:trPr>
          <w:trHeight w:val="397" w:hRule="exact"/>
        </w:trPr>
        <w:tc>
          <w:tcPr>
            <w:tcW w:w="5760" w:type="dxa"/>
            <w:tcBorders>
              <w:top w:val="single" w:sz="4" w:space="0" w:color="000080"/>
              <w:start w:val="single" w:sz="4" w:space="0" w:color="000080"/>
              <w:bottom w:val="single" w:sz="4" w:space="0" w:color="000080"/>
              <w:end w:val="single" w:sz="4" w:space="0" w:color="000000"/>
            </w:tcBorders>
          </w:tcPr>
          <w:p>
            <w:pPr>
              <w:pStyle w:val="Normal"/>
              <w:spacing w:before="120" w:after="120"/>
              <w:rPr>
                <w:sz w:val="18"/>
                <w:szCs w:val="18"/>
                <w:lang w:val="en-GB"/>
              </w:rPr>
            </w:pPr>
            <w:r>
              <w:rPr>
                <w:sz w:val="18"/>
                <w:szCs w:val="18"/>
                <w:lang w:val="en-GB"/>
              </w:rPr>
              <w:t>Supplier Liaison – Operational</w:t>
            </w:r>
          </w:p>
        </w:tc>
      </w:tr>
    </w:tbl>
    <w:p>
      <w:pPr>
        <w:pStyle w:val="Normal"/>
        <w:spacing w:before="0" w:after="0"/>
        <w:jc w:val="both"/>
        <w:rPr>
          <w:lang w:val="en-GB"/>
        </w:rPr>
      </w:pPr>
      <w:r>
        <w:rPr>
          <w:lang w:val="en-GB"/>
        </w:rPr>
      </w:r>
    </w:p>
    <w:p>
      <w:pPr>
        <w:pStyle w:val="Normal"/>
        <w:spacing w:before="0" w:after="0"/>
        <w:jc w:val="both"/>
        <w:rPr/>
      </w:pPr>
      <w:r>
        <w:rPr>
          <w:lang w:val="en-GB"/>
        </w:rPr>
        <w:t>For all these components the PST Supplier maintains descriptions of the activities that will be carried out to meet the business needs of our customers.</w:t>
      </w:r>
    </w:p>
    <w:p>
      <w:pPr>
        <w:pStyle w:val="Normal"/>
        <w:spacing w:before="0" w:after="0"/>
        <w:jc w:val="both"/>
        <w:rPr>
          <w:lang w:val="en-GB"/>
        </w:rPr>
      </w:pPr>
      <w:r>
        <w:rPr>
          <w:lang w:val="en-GB"/>
        </w:rPr>
      </w:r>
    </w:p>
    <w:p>
      <w:pPr>
        <w:pStyle w:val="Normal"/>
        <w:spacing w:before="0" w:after="0"/>
        <w:jc w:val="both"/>
        <w:rPr/>
      </w:pPr>
      <w:r>
        <w:rPr>
          <w:lang w:val="en-GB"/>
        </w:rPr>
        <w:t>To add clarity PST Supplier has summarised documentation by taking virus protection as an example:</w:t>
      </w:r>
    </w:p>
    <w:p>
      <w:pPr>
        <w:pStyle w:val="Normal"/>
        <w:spacing w:before="0" w:after="0"/>
        <w:jc w:val="both"/>
        <w:rPr>
          <w:lang w:val="en-GB"/>
        </w:rPr>
      </w:pPr>
      <w:r>
        <w:rPr>
          <w:lang w:val="en-GB"/>
        </w:rPr>
      </w:r>
    </w:p>
    <w:p>
      <w:pPr>
        <w:pStyle w:val="Normal"/>
        <w:spacing w:before="0" w:after="0"/>
        <w:jc w:val="both"/>
        <w:rPr>
          <w:b/>
          <w:lang w:val="en-GB"/>
        </w:rPr>
      </w:pPr>
      <w:r>
        <w:rPr>
          <w:b/>
          <w:lang w:val="en-GB"/>
        </w:rPr>
        <w:t>Support</w:t>
      </w:r>
    </w:p>
    <w:p>
      <w:pPr>
        <w:pStyle w:val="Normal"/>
        <w:spacing w:before="0" w:after="0"/>
        <w:jc w:val="both"/>
        <w:rPr>
          <w:b/>
          <w:lang w:val="en-GB"/>
        </w:rPr>
      </w:pPr>
      <w:r>
        <w:rPr>
          <w:b/>
          <w:lang w:val="en-GB"/>
        </w:rPr>
      </w:r>
    </w:p>
    <w:p>
      <w:pPr>
        <w:pStyle w:val="Normal"/>
        <w:spacing w:before="0" w:after="0"/>
        <w:ind w:hanging="720" w:start="720" w:end="0"/>
        <w:jc w:val="both"/>
        <w:rPr>
          <w:lang w:val="en-GB"/>
        </w:rPr>
      </w:pPr>
      <w:r>
        <w:rPr>
          <w:lang w:val="en-GB"/>
        </w:rPr>
        <w:t>•</w:t>
        <w:tab/>
        <w:t>In the daily operations PST Supplier will carry out all activities necessary to prevent EuroBank end user client devices, and all front and back end components of the CSL and COSL environment, getting infected with viruses.</w:t>
      </w:r>
      <w:r>
        <w:rPr>
          <w:lang w:val="en-GB"/>
        </w:rPr>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w:t>
      </w:r>
      <w:r>
        <w:rPr>
          <w:lang w:val="en-GB"/>
        </w:rPr>
        <w:tab/>
        <w:t>These activities are part of the process “Virus Management”. The process Virus Management is applicable to more than one Service, e.g.: Managed Client Device, Messaging, Server Management, Technical Application Management, etc.</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w:t>
        <w:tab/>
        <w:t>The activities are customised for EuroBank in a Service Level Agreement. They are based on an existing PST Supplier portfolio set, which will be continuously maintained and updated. As business needs change, the Service Level Agreement will be adjusted.</w:t>
      </w:r>
      <w:r>
        <w:rPr>
          <w:lang w:val="en-GB"/>
        </w:rPr>
      </w:r>
    </w:p>
    <w:p>
      <w:pPr>
        <w:pStyle w:val="Normal"/>
        <w:spacing w:before="0" w:after="0"/>
        <w:jc w:val="both"/>
        <w:rPr>
          <w:lang w:val="en-GB"/>
        </w:rPr>
      </w:pPr>
      <w:r>
        <w:rPr>
          <w:lang w:val="en-GB"/>
        </w:rPr>
      </w:r>
    </w:p>
    <w:p>
      <w:pPr>
        <w:pStyle w:val="Normal"/>
        <w:spacing w:before="0" w:after="0"/>
        <w:jc w:val="both"/>
        <w:rPr>
          <w:b/>
          <w:lang w:val="en-GB"/>
        </w:rPr>
      </w:pPr>
      <w:r>
        <w:rPr>
          <w:b/>
          <w:lang w:val="en-GB"/>
        </w:rPr>
        <w:t>Design</w:t>
      </w:r>
    </w:p>
    <w:p>
      <w:pPr>
        <w:pStyle w:val="Normal"/>
        <w:spacing w:before="0" w:after="0"/>
        <w:jc w:val="both"/>
        <w:rPr>
          <w:b/>
          <w:lang w:val="en-GB"/>
        </w:rPr>
      </w:pPr>
      <w:r>
        <w:rPr>
          <w:b/>
          <w:lang w:val="en-GB"/>
        </w:rPr>
      </w:r>
    </w:p>
    <w:p>
      <w:pPr>
        <w:pStyle w:val="Normal"/>
        <w:spacing w:before="0" w:after="0"/>
        <w:ind w:hanging="720" w:start="720" w:end="0"/>
        <w:jc w:val="both"/>
        <w:rPr/>
      </w:pPr>
      <w:r>
        <w:rPr>
          <w:lang w:val="en-GB"/>
        </w:rPr>
        <w:t>•</w:t>
      </w:r>
      <w:r>
        <w:rPr>
          <w:lang w:val="en-GB"/>
        </w:rPr>
        <w:tab/>
        <w:t>Making the right design choices for the CSL and COSL environment makes the activities for virus protection manageable.</w:t>
      </w:r>
    </w:p>
    <w:p>
      <w:pPr>
        <w:pStyle w:val="Normal"/>
        <w:spacing w:before="0" w:after="0"/>
        <w:ind w:hanging="720" w:start="720" w:end="0"/>
        <w:jc w:val="both"/>
        <w:rPr/>
      </w:pPr>
      <w:r>
        <w:rPr>
          <w:lang w:val="en-GB"/>
        </w:rPr>
        <w:t>•</w:t>
        <w:tab/>
        <w:t>Automated tooling for virus protection is built in the back end, based upon an EuroBank design document, which is based upon the PST Supplier Reference Architecture.</w:t>
      </w:r>
      <w:r>
        <w:rPr>
          <w:lang w:val="en-GB"/>
        </w:rPr>
      </w:r>
    </w:p>
    <w:p>
      <w:pPr>
        <w:pStyle w:val="Normal"/>
        <w:spacing w:before="0" w:after="0"/>
        <w:ind w:hanging="720" w:start="720" w:end="0"/>
        <w:jc w:val="both"/>
        <w:rPr/>
      </w:pPr>
      <w:r>
        <w:rPr>
          <w:lang w:val="en-GB"/>
        </w:rPr>
        <w:t>•</w:t>
      </w:r>
      <w:r>
        <w:rPr>
          <w:lang w:val="en-GB"/>
        </w:rPr>
        <w:tab/>
        <w:t>Optimising the virus protection back end will lead to optimised support.</w:t>
      </w:r>
    </w:p>
    <w:p>
      <w:pPr>
        <w:pStyle w:val="Normal"/>
        <w:spacing w:before="0" w:after="0"/>
        <w:jc w:val="both"/>
        <w:rPr>
          <w:lang w:val="en-GB"/>
        </w:rPr>
      </w:pPr>
      <w:r>
        <w:rPr>
          <w:lang w:val="en-GB"/>
        </w:rPr>
      </w:r>
    </w:p>
    <w:p>
      <w:pPr>
        <w:pStyle w:val="Normal"/>
        <w:spacing w:before="0" w:after="0"/>
        <w:jc w:val="both"/>
        <w:rPr>
          <w:b/>
          <w:lang w:val="en-GB"/>
        </w:rPr>
      </w:pPr>
      <w:r>
        <w:rPr>
          <w:b/>
          <w:lang w:val="en-GB"/>
        </w:rPr>
        <w:t>EuroBank customised support services</w:t>
      </w:r>
    </w:p>
    <w:p>
      <w:pPr>
        <w:pStyle w:val="Normal"/>
        <w:spacing w:before="0" w:after="0"/>
        <w:jc w:val="both"/>
        <w:rPr>
          <w:b/>
          <w:lang w:val="en-GB"/>
        </w:rPr>
      </w:pPr>
      <w:r>
        <w:rPr>
          <w:b/>
          <w:lang w:val="en-GB"/>
        </w:rPr>
      </w:r>
    </w:p>
    <w:p>
      <w:pPr>
        <w:pStyle w:val="Normal"/>
        <w:spacing w:before="0" w:after="0"/>
        <w:jc w:val="both"/>
        <w:rPr/>
      </w:pPr>
      <w:r>
        <w:rPr>
          <w:lang w:val="en-GB"/>
        </w:rPr>
        <w:t>All support services for EuroBank will be measured against and delivered to the Critical Service Levels, and Key Measurements as well as any other relevant and agreed performance measures.</w:t>
      </w:r>
    </w:p>
    <w:p>
      <w:pPr>
        <w:pStyle w:val="Heading2Numbered"/>
        <w:numPr>
          <w:ilvl w:val="1"/>
          <w:numId w:val="2"/>
        </w:numPr>
        <w:ind w:hanging="0" w:start="0"/>
        <w:jc w:val="both"/>
        <w:rPr>
          <w:sz w:val="22"/>
          <w:szCs w:val="22"/>
          <w:lang w:val="en-GB"/>
        </w:rPr>
      </w:pPr>
      <w:bookmarkStart w:id="2" w:name="__RefHeading___Toc150051189"/>
      <w:bookmarkEnd w:id="2"/>
      <w:r>
        <w:rPr>
          <w:sz w:val="22"/>
          <w:szCs w:val="22"/>
          <w:lang w:val="en-GB"/>
        </w:rPr>
        <w:t>Design &amp; Support Service Creation</w:t>
      </w:r>
    </w:p>
    <w:p>
      <w:pPr>
        <w:pStyle w:val="Heading3Numbered"/>
        <w:numPr>
          <w:ilvl w:val="2"/>
          <w:numId w:val="2"/>
        </w:numPr>
        <w:ind w:hanging="0" w:start="0"/>
        <w:rPr>
          <w:sz w:val="22"/>
          <w:szCs w:val="22"/>
          <w:lang w:val="en-GB"/>
        </w:rPr>
      </w:pPr>
      <w:r>
        <w:rPr>
          <w:sz w:val="22"/>
          <w:szCs w:val="22"/>
          <w:lang w:val="en-GB"/>
        </w:rPr>
        <w:t xml:space="preserve">Functional and Architectural </w:t>
      </w:r>
    </w:p>
    <w:p>
      <w:pPr>
        <w:pStyle w:val="Normal"/>
        <w:spacing w:before="0" w:after="0"/>
        <w:jc w:val="both"/>
        <w:rPr>
          <w:lang w:val="en-GB"/>
        </w:rPr>
      </w:pPr>
      <w:r>
        <w:rPr>
          <w:lang w:val="en-GB"/>
        </w:rPr>
        <w:t>The PST Supplier’s responsibilities include:</w:t>
      </w:r>
    </w:p>
    <w:p>
      <w:pPr>
        <w:pStyle w:val="Normal"/>
        <w:spacing w:before="0" w:after="0"/>
        <w:jc w:val="both"/>
        <w:rPr>
          <w:lang w:val="en-GB"/>
        </w:rPr>
      </w:pPr>
      <w:r>
        <w:rPr>
          <w:lang w:val="en-GB"/>
        </w:rPr>
      </w:r>
    </w:p>
    <w:p>
      <w:pPr>
        <w:pStyle w:val="Normal"/>
        <w:spacing w:before="0" w:after="0"/>
        <w:jc w:val="both"/>
        <w:rPr>
          <w:lang w:val="en-GB"/>
        </w:rPr>
      </w:pPr>
      <w:r>
        <w:rPr>
          <w:lang w:val="en-GB"/>
        </w:rPr>
        <w:t>i.</w:t>
        <w:tab/>
        <w:t xml:space="preserve">Meeting and maintaining business requirements as defined by 2IM, including: </w:t>
      </w:r>
    </w:p>
    <w:p>
      <w:pPr>
        <w:pStyle w:val="Normal"/>
        <w:spacing w:before="0" w:after="0"/>
        <w:jc w:val="both"/>
        <w:rPr>
          <w:lang w:val="en-GB"/>
        </w:rPr>
      </w:pPr>
      <w:r>
        <w:rPr>
          <w:lang w:val="en-GB"/>
        </w:rPr>
      </w:r>
    </w:p>
    <w:p>
      <w:pPr>
        <w:pStyle w:val="Normal"/>
        <w:spacing w:before="0" w:after="0"/>
        <w:ind w:hanging="720" w:start="1440" w:end="0"/>
        <w:jc w:val="both"/>
        <w:rPr/>
      </w:pPr>
      <w:r>
        <w:rPr>
          <w:lang w:val="en-GB"/>
        </w:rPr>
        <w:t>1)</w:t>
        <w:tab/>
        <w:t xml:space="preserve">Architecture of the services, components (e.g. client System Software) and elements (e.g. CSL, COSL, Microsoft Office applications), including packaging and pre-production testing of these Packages. </w:t>
      </w:r>
    </w:p>
    <w:p>
      <w:pPr>
        <w:pStyle w:val="Normal"/>
        <w:spacing w:before="0" w:after="0"/>
        <w:ind w:start="1440" w:end="0"/>
        <w:jc w:val="both"/>
        <w:rPr>
          <w:lang w:val="en-GB"/>
        </w:rPr>
      </w:pPr>
      <w:r>
        <w:rPr>
          <w:lang w:val="en-GB"/>
        </w:rPr>
      </w:r>
    </w:p>
    <w:p>
      <w:pPr>
        <w:pStyle w:val="Normal"/>
        <w:spacing w:before="0" w:after="0"/>
        <w:ind w:start="1440" w:end="0"/>
        <w:jc w:val="both"/>
        <w:rPr/>
      </w:pPr>
      <w:r>
        <w:rPr>
          <w:lang w:val="en-GB"/>
        </w:rPr>
        <w:t>The packaging of the design and support components will be measured by counting the resultant number of scripts that are accepted and fit for purpose. The Base Charge includes the agreed number of scripts (in Attachment 4-D (</w:t>
      </w:r>
      <w:r>
        <w:rPr>
          <w:i/>
          <w:lang w:val="en-GB"/>
        </w:rPr>
        <w:t>Resource Baselines</w:t>
      </w:r>
      <w:r>
        <w:rPr>
          <w:lang w:val="en-GB"/>
        </w:rPr>
        <w:t>)), and as long as this is not exceeded, there are no additional costs.</w:t>
      </w:r>
    </w:p>
    <w:p>
      <w:pPr>
        <w:pStyle w:val="Normal"/>
        <w:spacing w:before="0" w:after="0"/>
        <w:ind w:start="1440" w:end="0"/>
        <w:jc w:val="both"/>
        <w:rPr>
          <w:lang w:val="en-GB"/>
        </w:rPr>
      </w:pPr>
      <w:r>
        <w:rPr>
          <w:lang w:val="en-GB"/>
        </w:rPr>
      </w:r>
    </w:p>
    <w:p>
      <w:pPr>
        <w:pStyle w:val="Normal"/>
        <w:spacing w:before="0" w:after="0"/>
        <w:ind w:start="1440" w:end="0"/>
        <w:jc w:val="both"/>
        <w:rPr>
          <w:lang w:val="en-GB"/>
        </w:rPr>
      </w:pPr>
      <w:r>
        <w:rPr>
          <w:lang w:val="en-GB"/>
        </w:rPr>
        <w:t>Virus updates and patches are not categorised as scripts and will be implemented as necessary.</w:t>
      </w:r>
    </w:p>
    <w:p>
      <w:pPr>
        <w:pStyle w:val="Normal"/>
        <w:spacing w:before="0" w:after="0"/>
        <w:ind w:start="1440" w:end="0"/>
        <w:jc w:val="both"/>
        <w:rPr>
          <w:lang w:val="en-GB"/>
        </w:rPr>
      </w:pPr>
      <w:r>
        <w:rPr>
          <w:lang w:val="en-GB"/>
        </w:rPr>
      </w:r>
    </w:p>
    <w:p>
      <w:pPr>
        <w:pStyle w:val="Normal"/>
        <w:spacing w:before="0" w:after="0"/>
        <w:ind w:start="1440" w:end="0"/>
        <w:jc w:val="both"/>
        <w:rPr/>
      </w:pPr>
      <w:r>
        <w:rPr>
          <w:lang w:val="en-GB"/>
        </w:rPr>
        <w:t xml:space="preserve">An agreed number of minutes for user training is included when System Software changes are made that includes user Site visits. </w:t>
      </w:r>
    </w:p>
    <w:p>
      <w:pPr>
        <w:pStyle w:val="Normal"/>
        <w:spacing w:before="0" w:after="0"/>
        <w:ind w:start="1440" w:end="0"/>
        <w:jc w:val="both"/>
        <w:rPr>
          <w:lang w:val="en-GB"/>
        </w:rPr>
      </w:pPr>
      <w:r>
        <w:rPr>
          <w:lang w:val="en-GB"/>
        </w:rPr>
      </w:r>
    </w:p>
    <w:p>
      <w:pPr>
        <w:pStyle w:val="Normal"/>
        <w:spacing w:before="0" w:after="0"/>
        <w:ind w:start="1440" w:end="0"/>
        <w:jc w:val="both"/>
        <w:rPr/>
      </w:pPr>
      <w:r>
        <w:rPr>
          <w:lang w:val="en-GB"/>
        </w:rPr>
        <w:t xml:space="preserve">Interoperability testing (on other platforms) is included for design and support components as is full regression testing. However, application interoperability testing not included.  </w:t>
      </w:r>
    </w:p>
    <w:p>
      <w:pPr>
        <w:pStyle w:val="Normal"/>
        <w:spacing w:before="0" w:after="0"/>
        <w:ind w:start="1440" w:end="0"/>
        <w:jc w:val="both"/>
        <w:rPr>
          <w:lang w:val="en-GB"/>
        </w:rPr>
      </w:pPr>
      <w:r>
        <w:rPr>
          <w:lang w:val="en-GB"/>
        </w:rPr>
      </w:r>
    </w:p>
    <w:p>
      <w:pPr>
        <w:pStyle w:val="Normal"/>
        <w:spacing w:before="0" w:after="0"/>
        <w:ind w:start="1440" w:end="0"/>
        <w:jc w:val="both"/>
        <w:rPr>
          <w:b/>
          <w:lang w:val="en-GB"/>
        </w:rPr>
      </w:pPr>
      <w:r>
        <w:rPr>
          <w:b/>
          <w:lang w:val="en-GB"/>
        </w:rPr>
        <w:t>For a new OS</w:t>
      </w:r>
    </w:p>
    <w:p>
      <w:pPr>
        <w:pStyle w:val="Normal"/>
        <w:spacing w:before="0" w:after="0"/>
        <w:ind w:start="1440" w:end="0"/>
        <w:jc w:val="both"/>
        <w:rPr>
          <w:b/>
          <w:lang w:val="en-GB"/>
        </w:rPr>
      </w:pPr>
      <w:r>
        <w:rPr>
          <w:b/>
          <w:lang w:val="en-GB"/>
        </w:rPr>
      </w:r>
    </w:p>
    <w:p>
      <w:pPr>
        <w:pStyle w:val="Normal"/>
        <w:spacing w:before="0" w:after="0"/>
        <w:ind w:start="1440" w:end="0"/>
        <w:jc w:val="both"/>
        <w:rPr/>
      </w:pPr>
      <w:r>
        <w:rPr>
          <w:lang w:val="en-GB"/>
        </w:rPr>
        <w:t>For the rollout of a new Operating System end user communication is a shared responsibility between the PST Supplier and EuroBank. However, the assessment of the likely impact on users is the PST Supplier’s responsibility.</w:t>
      </w:r>
    </w:p>
    <w:p>
      <w:pPr>
        <w:pStyle w:val="Normal"/>
        <w:spacing w:before="0" w:after="0"/>
        <w:ind w:start="1440" w:end="0"/>
        <w:jc w:val="both"/>
        <w:rPr>
          <w:lang w:val="en-GB"/>
        </w:rPr>
      </w:pPr>
      <w:r>
        <w:rPr>
          <w:lang w:val="en-GB"/>
        </w:rPr>
      </w:r>
    </w:p>
    <w:p>
      <w:pPr>
        <w:pStyle w:val="Normal"/>
        <w:spacing w:before="0" w:after="0"/>
        <w:ind w:start="1440" w:end="0"/>
        <w:jc w:val="both"/>
        <w:rPr>
          <w:lang w:val="en-GB"/>
        </w:rPr>
      </w:pPr>
      <w:r>
        <w:rPr>
          <w:lang w:val="en-GB"/>
        </w:rPr>
        <w:t xml:space="preserve">The PST Supplier will own responsibility for technical components. EuroBank will own responsibility for the business requirements and business components. Both parties will have to assign a program manager to cover these functions. </w:t>
      </w:r>
    </w:p>
    <w:p>
      <w:pPr>
        <w:pStyle w:val="Normal"/>
        <w:spacing w:before="0" w:after="0"/>
        <w:ind w:start="1440" w:end="0"/>
        <w:jc w:val="both"/>
        <w:rPr>
          <w:lang w:val="en-GB"/>
        </w:rPr>
      </w:pPr>
      <w:r>
        <w:rPr>
          <w:lang w:val="en-GB"/>
        </w:rPr>
      </w:r>
    </w:p>
    <w:p>
      <w:pPr>
        <w:pStyle w:val="Normal"/>
        <w:spacing w:before="0" w:after="0"/>
        <w:ind w:start="1440" w:end="0"/>
        <w:jc w:val="both"/>
        <w:rPr>
          <w:b/>
          <w:lang w:val="en-GB"/>
        </w:rPr>
      </w:pPr>
      <w:r>
        <w:rPr>
          <w:b/>
          <w:lang w:val="en-GB"/>
        </w:rPr>
        <w:t>Annual Updates</w:t>
      </w:r>
    </w:p>
    <w:p>
      <w:pPr>
        <w:pStyle w:val="Normal"/>
        <w:spacing w:before="0" w:after="0"/>
        <w:ind w:start="1440" w:end="0"/>
        <w:jc w:val="both"/>
        <w:rPr>
          <w:b/>
          <w:lang w:val="en-GB"/>
        </w:rPr>
      </w:pPr>
      <w:r>
        <w:rPr>
          <w:b/>
          <w:lang w:val="en-GB"/>
        </w:rPr>
      </w:r>
    </w:p>
    <w:p>
      <w:pPr>
        <w:pStyle w:val="Normal"/>
        <w:spacing w:before="0" w:after="0"/>
        <w:ind w:start="1440" w:end="0"/>
        <w:jc w:val="both"/>
        <w:rPr>
          <w:lang w:val="en-GB"/>
        </w:rPr>
      </w:pPr>
      <w:r>
        <w:rPr>
          <w:lang w:val="en-GB"/>
        </w:rPr>
        <w:t>For CSL and OSL, and in agreement with EuroBank, the PST Supplier will implement 4 updates per year for Workstations</w:t>
      </w:r>
    </w:p>
    <w:p>
      <w:pPr>
        <w:pStyle w:val="Normal"/>
        <w:spacing w:before="0" w:after="0"/>
        <w:ind w:start="1440" w:end="0"/>
        <w:jc w:val="both"/>
        <w:rPr>
          <w:lang w:val="en-GB"/>
        </w:rPr>
      </w:pPr>
      <w:r>
        <w:rPr>
          <w:lang w:val="en-GB"/>
        </w:rPr>
      </w:r>
    </w:p>
    <w:p>
      <w:pPr>
        <w:pStyle w:val="Normal"/>
        <w:spacing w:before="0" w:after="0"/>
        <w:ind w:start="1440" w:end="0"/>
        <w:jc w:val="both"/>
        <w:rPr>
          <w:lang w:val="en-GB"/>
        </w:rPr>
      </w:pPr>
      <w:r>
        <w:rPr>
          <w:lang w:val="en-GB"/>
        </w:rPr>
        <w:t>For BSL, and in agreement with EuroBank, the PST Supplier will implement the required number of updates as part of the agreed amount of Packages included in the Base Charge (in Attachment 4-D (Resource Baselines)).</w:t>
      </w:r>
      <w:r>
        <w:rPr>
          <w:i/>
          <w:lang w:val="en-GB"/>
        </w:rPr>
      </w:r>
      <w:r>
        <w:rPr>
          <w:lang w:val="en-GB"/>
        </w:rPr>
      </w:r>
    </w:p>
    <w:p>
      <w:pPr>
        <w:pStyle w:val="Normal"/>
        <w:spacing w:before="0" w:after="0"/>
        <w:ind w:start="1440" w:end="0"/>
        <w:jc w:val="both"/>
        <w:rPr>
          <w:lang w:val="en-GB"/>
        </w:rPr>
      </w:pPr>
      <w:r>
        <w:rPr>
          <w:lang w:val="en-GB"/>
        </w:rPr>
      </w:r>
    </w:p>
    <w:p>
      <w:pPr>
        <w:pStyle w:val="Normal"/>
        <w:spacing w:before="0" w:after="0"/>
        <w:ind w:start="1440" w:end="0"/>
        <w:jc w:val="both"/>
        <w:rPr>
          <w:b/>
          <w:lang w:val="en-GB"/>
        </w:rPr>
      </w:pPr>
      <w:r>
        <w:rPr>
          <w:b/>
          <w:lang w:val="en-GB"/>
        </w:rPr>
        <w:t>Test Environments</w:t>
      </w:r>
    </w:p>
    <w:p>
      <w:pPr>
        <w:pStyle w:val="Normal"/>
        <w:spacing w:before="0" w:after="0"/>
        <w:ind w:start="1440" w:end="0"/>
        <w:jc w:val="both"/>
        <w:rPr>
          <w:b/>
          <w:lang w:val="en-GB"/>
        </w:rPr>
      </w:pPr>
      <w:r>
        <w:rPr>
          <w:b/>
          <w:lang w:val="en-GB"/>
        </w:rPr>
      </w:r>
    </w:p>
    <w:p>
      <w:pPr>
        <w:pStyle w:val="Normal"/>
        <w:spacing w:before="0" w:after="0"/>
        <w:ind w:start="1440" w:end="0"/>
        <w:jc w:val="both"/>
        <w:rPr/>
      </w:pPr>
      <w:r>
        <w:rPr>
          <w:lang w:val="en-GB"/>
        </w:rPr>
        <w:t>The SWS Test Environment (for the desktop) will be provided by and be the responsibility of the PST Supplier – 2 Sites will be provided, in agreement with EuroBank in Amsterdam and Brussels at EuroBank locations.</w:t>
      </w:r>
    </w:p>
    <w:p>
      <w:pPr>
        <w:pStyle w:val="Normal"/>
        <w:spacing w:before="0" w:after="0"/>
        <w:ind w:start="1440" w:end="0"/>
        <w:jc w:val="both"/>
        <w:rPr>
          <w:lang w:val="en-GB"/>
        </w:rPr>
      </w:pPr>
      <w:r>
        <w:rPr>
          <w:lang w:val="en-GB"/>
        </w:rPr>
      </w:r>
    </w:p>
    <w:p>
      <w:pPr>
        <w:pStyle w:val="Normal"/>
        <w:spacing w:before="0" w:after="0"/>
        <w:ind w:start="1440" w:end="0"/>
        <w:jc w:val="both"/>
        <w:rPr>
          <w:b/>
          <w:lang w:val="en-GB"/>
        </w:rPr>
      </w:pPr>
      <w:r>
        <w:rPr>
          <w:b/>
          <w:lang w:val="en-GB"/>
        </w:rPr>
        <w:t xml:space="preserve">Stress Testing </w:t>
      </w:r>
    </w:p>
    <w:p>
      <w:pPr>
        <w:pStyle w:val="Normal"/>
        <w:spacing w:before="0" w:after="0"/>
        <w:ind w:start="1440" w:end="0"/>
        <w:jc w:val="both"/>
        <w:rPr>
          <w:b/>
          <w:lang w:val="en-GB"/>
        </w:rPr>
      </w:pPr>
      <w:r>
        <w:rPr>
          <w:b/>
          <w:lang w:val="en-GB"/>
        </w:rPr>
      </w:r>
    </w:p>
    <w:p>
      <w:pPr>
        <w:pStyle w:val="Normal"/>
        <w:spacing w:before="0" w:after="0"/>
        <w:ind w:start="1440" w:end="0"/>
        <w:jc w:val="both"/>
        <w:rPr>
          <w:lang w:val="en-GB"/>
        </w:rPr>
      </w:pPr>
      <w:r>
        <w:rPr>
          <w:lang w:val="en-GB"/>
        </w:rPr>
        <w:t>Stress testing tooling is provided by the PST Supplier, but not the environment.</w:t>
      </w:r>
    </w:p>
    <w:p>
      <w:pPr>
        <w:pStyle w:val="Normal"/>
        <w:spacing w:before="0" w:after="0"/>
        <w:ind w:start="1440" w:end="0"/>
        <w:jc w:val="both"/>
        <w:rPr>
          <w:lang w:val="en-GB"/>
        </w:rPr>
      </w:pPr>
      <w:r>
        <w:rPr>
          <w:lang w:val="en-GB"/>
        </w:rPr>
      </w:r>
    </w:p>
    <w:p>
      <w:pPr>
        <w:pStyle w:val="Normal"/>
        <w:spacing w:before="0" w:after="0"/>
        <w:ind w:hanging="720" w:start="1440" w:end="0"/>
        <w:jc w:val="both"/>
        <w:rPr/>
      </w:pPr>
      <w:r>
        <w:rPr>
          <w:lang w:val="en-GB"/>
        </w:rPr>
        <w:t>2)</w:t>
        <w:tab/>
        <w:t xml:space="preserve">Developing and maintaining related process as approved by 2IM. </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3)</w:t>
        <w:tab/>
        <w:t xml:space="preserve">Providing 3rd line support where requested through 2IM procedures. </w:t>
      </w:r>
    </w:p>
    <w:p>
      <w:pPr>
        <w:pStyle w:val="Normal"/>
        <w:spacing w:before="0" w:after="0"/>
        <w:jc w:val="both"/>
        <w:rPr>
          <w:lang w:val="en-GB"/>
        </w:rPr>
      </w:pPr>
      <w:r>
        <w:rPr>
          <w:lang w:val="en-GB"/>
        </w:rPr>
      </w:r>
    </w:p>
    <w:p>
      <w:pPr>
        <w:pStyle w:val="Normal"/>
        <w:spacing w:before="0" w:after="0"/>
        <w:ind w:hanging="720" w:start="720" w:end="0"/>
        <w:jc w:val="both"/>
        <w:rPr>
          <w:lang w:val="en-GB"/>
        </w:rPr>
      </w:pPr>
      <w:r>
        <w:rPr>
          <w:lang w:val="en-GB"/>
        </w:rPr>
        <w:t>ii.</w:t>
        <w:tab/>
        <w:t>As approved by 2IM; providing product (service) management to ensure that the functionality requirements of the EuroBank organisation are met</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iii.</w:t>
        <w:tab/>
        <w:t>Providing service life-cycle management for the related elements/components and services used by EuroBank, as defined by 2IM</w:t>
      </w:r>
    </w:p>
    <w:p>
      <w:pPr>
        <w:pStyle w:val="Normal"/>
        <w:spacing w:before="0" w:after="0"/>
        <w:jc w:val="both"/>
        <w:rPr>
          <w:lang w:val="en-GB"/>
        </w:rPr>
      </w:pPr>
      <w:r>
        <w:rPr>
          <w:lang w:val="en-GB"/>
        </w:rPr>
      </w:r>
    </w:p>
    <w:p>
      <w:pPr>
        <w:pStyle w:val="Normal"/>
        <w:spacing w:before="0" w:after="0"/>
        <w:ind w:hanging="720" w:start="1440" w:end="0"/>
        <w:jc w:val="both"/>
        <w:rPr>
          <w:lang w:val="en-GB"/>
        </w:rPr>
      </w:pPr>
      <w:r>
        <w:rPr>
          <w:lang w:val="en-GB"/>
        </w:rPr>
        <w:t>•</w:t>
        <w:tab/>
        <w:t>Starting from the existing WPS infrastructure, the PST Supplier will design (the design being chosen in agreement with EuroBank) and build an infrastructure with a low degree of variance from agreed standards within the different, but clearly defined environments of specific user groups (e.g. mobile, vs. desktop).</w:t>
      </w:r>
      <w:r>
        <w:rPr>
          <w:lang w:val="en-GB"/>
        </w:rPr>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w:t>
        <w:tab/>
        <w:t>The range of specific user groups will be minimised, where possible, but only in agreement with EuroBank.</w:t>
      </w:r>
      <w:r>
        <w:rPr>
          <w:lang w:val="en-GB"/>
        </w:rPr>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w:t>
        <w:tab/>
        <w:t>The technical specification and functionality of these environments will be matched against user requirements – EuroBank will define user needs; and validate these against the service catalogue, advising on changes to the to catalogue where necessary.</w:t>
      </w:r>
      <w:r>
        <w:rPr>
          <w:lang w:val="en-GB"/>
        </w:rPr>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w:t>
      </w:r>
      <w:r>
        <w:rPr>
          <w:lang w:val="en-GB"/>
        </w:rPr>
        <w:tab/>
        <w:t>The PST Supplier will define the technical specification and undertake the building activities.</w:t>
      </w:r>
    </w:p>
    <w:p>
      <w:pPr>
        <w:pStyle w:val="Normal"/>
        <w:spacing w:before="0" w:after="0"/>
        <w:ind w:hanging="720" w:start="1440" w:end="0"/>
        <w:jc w:val="both"/>
        <w:rPr>
          <w:lang w:val="en-GB"/>
        </w:rPr>
      </w:pPr>
      <w:r>
        <w:rPr>
          <w:lang w:val="en-GB"/>
        </w:rPr>
      </w:r>
    </w:p>
    <w:p>
      <w:pPr>
        <w:pStyle w:val="Normal"/>
        <w:spacing w:before="0" w:after="0"/>
        <w:ind w:hanging="720" w:start="1440" w:end="0"/>
        <w:jc w:val="both"/>
        <w:rPr/>
      </w:pPr>
      <w:r>
        <w:rPr>
          <w:lang w:val="en-GB"/>
        </w:rPr>
        <w:t>•</w:t>
        <w:tab/>
        <w:t>EuroBank will provide input to the life-cycle management process from the perspective of changing business requirements</w:t>
      </w:r>
      <w:r>
        <w:rPr>
          <w:lang w:val="en-GB"/>
        </w:rPr>
      </w:r>
    </w:p>
    <w:p>
      <w:pPr>
        <w:pStyle w:val="Normal"/>
        <w:spacing w:before="0" w:after="0"/>
        <w:ind w:hanging="720" w:start="1440" w:end="0"/>
        <w:jc w:val="both"/>
        <w:rPr>
          <w:lang w:val="en-GB"/>
        </w:rPr>
      </w:pPr>
      <w:r>
        <w:rPr>
          <w:lang w:val="en-GB"/>
        </w:rPr>
      </w:r>
    </w:p>
    <w:p>
      <w:pPr>
        <w:pStyle w:val="Normal"/>
        <w:spacing w:before="0" w:after="0"/>
        <w:ind w:hanging="720" w:start="1440" w:end="0"/>
        <w:jc w:val="both"/>
        <w:rPr/>
      </w:pPr>
      <w:r>
        <w:rPr>
          <w:lang w:val="en-GB"/>
        </w:rPr>
        <w:t>•</w:t>
      </w:r>
      <w:r>
        <w:rPr>
          <w:lang w:val="en-GB"/>
        </w:rPr>
        <w:tab/>
        <w:t>The PST Supplier will provide input to the life-cycle management process from the perspective of technology advancements</w:t>
      </w:r>
    </w:p>
    <w:p>
      <w:pPr>
        <w:pStyle w:val="Normal"/>
        <w:spacing w:before="0" w:after="0"/>
        <w:ind w:hanging="720" w:start="1440" w:end="0"/>
        <w:jc w:val="both"/>
        <w:rPr>
          <w:lang w:val="en-GB"/>
        </w:rPr>
      </w:pPr>
      <w:r>
        <w:rPr>
          <w:lang w:val="en-GB"/>
        </w:rPr>
      </w:r>
    </w:p>
    <w:p>
      <w:pPr>
        <w:pStyle w:val="Normal"/>
        <w:spacing w:before="0" w:after="0"/>
        <w:ind w:hanging="720" w:start="1440" w:end="0"/>
        <w:jc w:val="both"/>
        <w:rPr/>
      </w:pPr>
      <w:r>
        <w:rPr>
          <w:lang w:val="en-GB"/>
        </w:rPr>
        <w:t>•</w:t>
        <w:tab/>
        <w:t>The PST Supplier is there to assist the balancing of requirements, for example where price vs. performance is an important issue - this mitigation will be facilitated through the relevant defined SWS governance bodies, and be synchronised with EuroBank’s and the PST Supplier’s longer term business and architectural plans</w:t>
      </w:r>
      <w:r>
        <w:rPr>
          <w:lang w:val="en-GB"/>
        </w:rPr>
      </w:r>
    </w:p>
    <w:p>
      <w:pPr>
        <w:pStyle w:val="Normal"/>
        <w:spacing w:before="0" w:after="0"/>
        <w:ind w:hanging="720" w:start="1440" w:end="0"/>
        <w:jc w:val="both"/>
        <w:rPr>
          <w:lang w:val="en-GB"/>
        </w:rPr>
      </w:pPr>
      <w:r>
        <w:rPr>
          <w:lang w:val="en-GB"/>
        </w:rPr>
      </w:r>
    </w:p>
    <w:p>
      <w:pPr>
        <w:pStyle w:val="Normal"/>
        <w:spacing w:before="0" w:after="0"/>
        <w:ind w:hanging="720" w:start="1440" w:end="0"/>
        <w:jc w:val="both"/>
        <w:rPr/>
      </w:pPr>
      <w:r>
        <w:rPr>
          <w:lang w:val="en-GB"/>
        </w:rPr>
        <w:t>•</w:t>
        <w:tab/>
        <w:t>The inputs used to define the life-cycle management activities will include user groups; all PST Suppliers and 2IM, and any other relevant inputs – however, any changes will be managed through the Change Advisory Board and only be undertaken in agreement with EuroBank</w:t>
      </w:r>
      <w:r>
        <w:rPr>
          <w:lang w:val="en-GB"/>
        </w:rPr>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w:t>
        <w:tab/>
        <w:t>Any significant changes to the infrastructure or operating environments will be supported by a business case composed by or in agreement with EuroBank</w:t>
      </w:r>
      <w:r>
        <w:rPr>
          <w:lang w:val="en-GB"/>
        </w:rPr>
      </w:r>
    </w:p>
    <w:p>
      <w:pPr>
        <w:pStyle w:val="Normal"/>
        <w:spacing w:before="0" w:after="0"/>
        <w:ind w:hanging="720" w:start="1440" w:end="0"/>
        <w:jc w:val="both"/>
        <w:rPr>
          <w:lang w:val="en-GB"/>
        </w:rPr>
      </w:pPr>
      <w:r>
        <w:rPr>
          <w:lang w:val="en-GB"/>
        </w:rPr>
      </w:r>
    </w:p>
    <w:p>
      <w:pPr>
        <w:pStyle w:val="Normal"/>
        <w:spacing w:before="0" w:after="0"/>
        <w:ind w:hanging="720" w:start="1440" w:end="0"/>
        <w:jc w:val="both"/>
        <w:rPr/>
      </w:pPr>
      <w:r>
        <w:rPr>
          <w:lang w:val="en-GB"/>
        </w:rPr>
        <w:t>•</w:t>
        <w:tab/>
        <w:t>The basis of the life-cycle management will be a 3-year refresh rate for technology – refer to the financial documents for a full description - but note that exact timelines may be taken on a case by case basis when agreed with EuroBank</w:t>
      </w:r>
      <w:r>
        <w:rPr>
          <w:lang w:val="en-GB"/>
        </w:rPr>
      </w:r>
    </w:p>
    <w:p>
      <w:pPr>
        <w:pStyle w:val="Normal"/>
        <w:spacing w:before="0" w:after="0"/>
        <w:ind w:hanging="720" w:start="1440" w:end="0"/>
        <w:jc w:val="both"/>
        <w:rPr>
          <w:lang w:val="en-GB"/>
        </w:rPr>
      </w:pPr>
      <w:r>
        <w:rPr>
          <w:lang w:val="en-GB"/>
        </w:rPr>
      </w:r>
    </w:p>
    <w:p>
      <w:pPr>
        <w:pStyle w:val="Normal"/>
        <w:spacing w:before="0" w:after="0"/>
        <w:ind w:hanging="720" w:start="1440" w:end="0"/>
        <w:jc w:val="both"/>
        <w:rPr/>
      </w:pPr>
      <w:r>
        <w:rPr>
          <w:lang w:val="en-GB"/>
        </w:rPr>
        <w:t>•</w:t>
      </w:r>
      <w:r>
        <w:rPr>
          <w:lang w:val="en-GB"/>
        </w:rPr>
        <w:tab/>
        <w:t>Changes to the life-cycle management activities will also include input from to market updates, provided by the PST Supplier to gain the benefit of new technology but avoid the risks of untried innovations</w:t>
      </w:r>
    </w:p>
    <w:p>
      <w:pPr>
        <w:pStyle w:val="Normal"/>
        <w:spacing w:before="0" w:after="0"/>
        <w:ind w:hanging="720" w:start="1440" w:end="0"/>
        <w:jc w:val="both"/>
        <w:rPr>
          <w:lang w:val="en-GB"/>
        </w:rPr>
      </w:pPr>
      <w:r>
        <w:rPr>
          <w:lang w:val="en-GB"/>
        </w:rPr>
      </w:r>
    </w:p>
    <w:p>
      <w:pPr>
        <w:pStyle w:val="Normal"/>
        <w:spacing w:before="0" w:after="0"/>
        <w:ind w:hanging="720" w:start="1440" w:end="0"/>
        <w:jc w:val="both"/>
        <w:rPr>
          <w:u w:val="single"/>
          <w:lang w:val="en-GB"/>
        </w:rPr>
      </w:pPr>
      <w:r>
        <w:rPr>
          <w:u w:val="single"/>
          <w:lang w:val="en-GB"/>
        </w:rPr>
        <w:t>For Innovation</w:t>
      </w:r>
    </w:p>
    <w:p>
      <w:pPr>
        <w:pStyle w:val="Normal"/>
        <w:spacing w:before="0" w:after="0"/>
        <w:ind w:hanging="720" w:start="1440" w:end="0"/>
        <w:jc w:val="both"/>
        <w:rPr>
          <w:u w:val="single"/>
          <w:lang w:val="en-GB"/>
        </w:rPr>
      </w:pPr>
      <w:r>
        <w:rPr>
          <w:u w:val="single"/>
          <w:lang w:val="en-GB"/>
        </w:rPr>
      </w:r>
    </w:p>
    <w:p>
      <w:pPr>
        <w:pStyle w:val="Normal"/>
        <w:spacing w:before="0" w:after="0"/>
        <w:ind w:hanging="720" w:start="1440" w:end="0"/>
        <w:jc w:val="both"/>
        <w:rPr/>
      </w:pPr>
      <w:r>
        <w:rPr>
          <w:lang w:val="en-GB"/>
        </w:rPr>
        <w:t>•</w:t>
      </w:r>
      <w:r>
        <w:rPr>
          <w:lang w:val="en-GB"/>
        </w:rPr>
        <w:tab/>
        <w:t xml:space="preserve">The forum used to manage the exploitation of technological and process innovations is the Innovation Board (a new joint committee to be set up between the parties). </w:t>
      </w:r>
    </w:p>
    <w:p>
      <w:pPr>
        <w:pStyle w:val="Normal"/>
        <w:spacing w:before="0" w:after="0"/>
        <w:ind w:hanging="720" w:start="1440" w:end="0"/>
        <w:jc w:val="both"/>
        <w:rPr>
          <w:lang w:val="en-GB"/>
        </w:rPr>
      </w:pPr>
      <w:r>
        <w:rPr>
          <w:lang w:val="en-GB"/>
        </w:rPr>
      </w:r>
    </w:p>
    <w:p>
      <w:pPr>
        <w:pStyle w:val="Normal"/>
        <w:spacing w:before="0" w:after="0"/>
        <w:ind w:hanging="720" w:start="1440" w:end="0"/>
        <w:jc w:val="both"/>
        <w:rPr/>
      </w:pPr>
      <w:r>
        <w:rPr>
          <w:lang w:val="en-GB"/>
        </w:rPr>
        <w:t>•</w:t>
        <w:tab/>
        <w:t>Inputs to this forum will originate from both EuroBank and the PST Supplier and will include PST Supplier product specialists who will identify opportunities; also EuroBank can stimulate change through EuroBank user groups; other inputs may include but not be limited to Root Cause Analysis statistics derived from the Service Desk</w:t>
      </w:r>
      <w:r>
        <w:rPr>
          <w:lang w:val="en-GB"/>
        </w:rPr>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w:t>
      </w:r>
      <w:r>
        <w:rPr>
          <w:lang w:val="en-GB"/>
        </w:rPr>
        <w:tab/>
        <w:t>Any recommendations will feed into the Change Advisory Board</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w:t>
      </w:r>
      <w:r>
        <w:rPr>
          <w:lang w:val="en-GB"/>
        </w:rPr>
        <w:tab/>
        <w:t>The 2IM will lead behalf of the PST Supplier on discussions on the Change Advisory Board including recommendations for the evaluation of products and their advancements</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w:t>
      </w:r>
      <w:r>
        <w:rPr>
          <w:lang w:val="en-GB"/>
        </w:rPr>
        <w:tab/>
        <w:t>The 2IM will also contribute to managing the risk mitigation of implementing new technologies and processes</w:t>
      </w:r>
    </w:p>
    <w:p>
      <w:pPr>
        <w:pStyle w:val="Normal"/>
        <w:spacing w:before="0" w:after="0"/>
        <w:ind w:hanging="720" w:start="1440" w:end="0"/>
        <w:jc w:val="both"/>
        <w:rPr>
          <w:lang w:val="en-GB"/>
        </w:rPr>
      </w:pPr>
      <w:r>
        <w:rPr>
          <w:lang w:val="en-GB"/>
        </w:rPr>
      </w:r>
    </w:p>
    <w:p>
      <w:pPr>
        <w:pStyle w:val="Normal"/>
        <w:spacing w:before="0" w:after="0"/>
        <w:ind w:hanging="720" w:start="1440" w:end="0"/>
        <w:jc w:val="both"/>
        <w:rPr/>
      </w:pPr>
      <w:r>
        <w:rPr>
          <w:lang w:val="en-GB"/>
        </w:rPr>
        <w:t>•</w:t>
      </w:r>
      <w:r>
        <w:rPr>
          <w:lang w:val="en-GB"/>
        </w:rPr>
        <w:tab/>
        <w:t>The 2IM will provide customer satisfaction input into this forum</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w:t>
        <w:tab/>
        <w:t>Part of the Change Advisory Board’s remit will be to make specific technology and process recommendations to EuroBank – and advise on those candidates considered for down selection</w:t>
      </w:r>
      <w:r>
        <w:rPr>
          <w:lang w:val="en-GB"/>
        </w:rPr>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w:t>
      </w:r>
      <w:r>
        <w:rPr>
          <w:lang w:val="en-GB"/>
        </w:rPr>
        <w:tab/>
        <w:t>The PST Supplier will use information derived from external expertise, including market data.</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w:t>
      </w:r>
      <w:r>
        <w:rPr>
          <w:lang w:val="en-GB"/>
        </w:rPr>
        <w:tab/>
        <w:t>The Change Advisory Board will also assess the business benefit of change by balancing the pressure to change against other criteria such as cost</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w:t>
      </w:r>
      <w:r>
        <w:rPr>
          <w:lang w:val="en-GB"/>
        </w:rPr>
        <w:tab/>
        <w:t>The Change Advisory Board will provide output that will be used by the Long Range Planning Board and vice versa.</w:t>
      </w:r>
    </w:p>
    <w:p>
      <w:pPr>
        <w:pStyle w:val="Normal"/>
        <w:spacing w:before="0" w:after="0"/>
        <w:ind w:start="720" w:end="0"/>
        <w:jc w:val="both"/>
        <w:rPr>
          <w:lang w:val="en-GB"/>
        </w:rPr>
      </w:pPr>
      <w:r>
        <w:rPr>
          <w:lang w:val="en-GB"/>
        </w:rPr>
      </w:r>
    </w:p>
    <w:p>
      <w:pPr>
        <w:pStyle w:val="Normal"/>
        <w:spacing w:before="0" w:after="0"/>
        <w:ind w:start="720" w:end="0"/>
        <w:jc w:val="both"/>
        <w:rPr>
          <w:b/>
          <w:lang w:val="en-GB"/>
        </w:rPr>
      </w:pPr>
      <w:r>
        <w:rPr>
          <w:b/>
          <w:lang w:val="en-GB"/>
        </w:rPr>
        <w:t>Shared Responsibility for Ownership of the Environment</w:t>
      </w:r>
    </w:p>
    <w:p>
      <w:pPr>
        <w:pStyle w:val="Normal"/>
        <w:spacing w:before="0" w:after="0"/>
        <w:ind w:start="720" w:end="0"/>
        <w:jc w:val="both"/>
        <w:rPr>
          <w:b/>
          <w:lang w:val="en-GB"/>
        </w:rPr>
      </w:pPr>
      <w:r>
        <w:rPr>
          <w:b/>
          <w:lang w:val="en-GB"/>
        </w:rPr>
      </w:r>
    </w:p>
    <w:p>
      <w:pPr>
        <w:pStyle w:val="Normal"/>
        <w:spacing w:before="0" w:after="0"/>
        <w:ind w:start="720" w:end="0"/>
        <w:jc w:val="both"/>
        <w:rPr>
          <w:lang w:val="en-GB"/>
        </w:rPr>
      </w:pPr>
      <w:r>
        <w:rPr>
          <w:lang w:val="en-GB"/>
        </w:rPr>
        <w:t>The following matrix outlines ownership of the different components of the SWS Workplace:</w:t>
      </w:r>
    </w:p>
    <w:p>
      <w:pPr>
        <w:pStyle w:val="Normal"/>
        <w:spacing w:before="0" w:after="0"/>
        <w:ind w:start="720" w:end="0"/>
        <w:jc w:val="both"/>
        <w:rPr>
          <w:lang w:val="en-GB"/>
        </w:rPr>
      </w:pPr>
      <w:r>
        <w:rPr>
          <w:lang w:val="en-GB"/>
        </w:rPr>
      </w:r>
    </w:p>
    <w:tbl>
      <w:tblPr>
        <w:tblW w:w="4848" w:type="dxa"/>
        <w:jc w:val="start"/>
        <w:tblInd w:w="1080" w:type="dxa"/>
        <w:tblLayout w:type="fixed"/>
        <w:tblCellMar>
          <w:top w:w="0" w:type="dxa"/>
          <w:start w:w="108" w:type="dxa"/>
          <w:bottom w:w="0" w:type="dxa"/>
          <w:end w:w="108" w:type="dxa"/>
        </w:tblCellMar>
      </w:tblPr>
      <w:tblGrid>
        <w:gridCol w:w="1163"/>
        <w:gridCol w:w="850"/>
        <w:gridCol w:w="1279"/>
        <w:gridCol w:w="1556"/>
      </w:tblGrid>
      <w:tr>
        <w:trPr>
          <w:cantSplit w:val="true"/>
        </w:trPr>
        <w:tc>
          <w:tcPr>
            <w:tcW w:w="1163"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before="120" w:after="120"/>
              <w:jc w:val="both"/>
              <w:rPr>
                <w:bCs/>
                <w:sz w:val="18"/>
                <w:szCs w:val="18"/>
                <w:lang w:val="en-GB"/>
              </w:rPr>
            </w:pPr>
            <w:r>
              <w:rPr>
                <w:bCs/>
                <w:sz w:val="18"/>
                <w:szCs w:val="18"/>
                <w:lang w:val="en-GB"/>
              </w:rPr>
            </w:r>
          </w:p>
        </w:tc>
        <w:tc>
          <w:tcPr>
            <w:tcW w:w="850"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both"/>
              <w:rPr>
                <w:bCs/>
                <w:i/>
                <w:i/>
                <w:iCs/>
                <w:sz w:val="18"/>
                <w:szCs w:val="18"/>
                <w:lang w:val="en-GB"/>
              </w:rPr>
            </w:pPr>
            <w:r>
              <w:rPr>
                <w:bCs/>
                <w:i/>
                <w:iCs/>
                <w:sz w:val="18"/>
                <w:szCs w:val="18"/>
                <w:lang w:val="en-GB"/>
              </w:rPr>
              <w:t>owner</w:t>
            </w:r>
          </w:p>
        </w:tc>
        <w:tc>
          <w:tcPr>
            <w:tcW w:w="1279"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both"/>
              <w:rPr>
                <w:bCs/>
                <w:i/>
                <w:i/>
                <w:iCs/>
                <w:sz w:val="18"/>
                <w:szCs w:val="18"/>
                <w:lang w:val="en-GB"/>
              </w:rPr>
            </w:pPr>
            <w:r>
              <w:rPr>
                <w:bCs/>
                <w:i/>
                <w:iCs/>
                <w:sz w:val="18"/>
                <w:szCs w:val="18"/>
                <w:lang w:val="en-GB"/>
              </w:rPr>
              <w:t>manager</w:t>
            </w:r>
          </w:p>
        </w:tc>
        <w:tc>
          <w:tcPr>
            <w:tcW w:w="1556"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both"/>
              <w:rPr>
                <w:bCs/>
                <w:i/>
                <w:i/>
                <w:iCs/>
                <w:sz w:val="18"/>
                <w:szCs w:val="18"/>
                <w:lang w:val="en-GB"/>
              </w:rPr>
            </w:pPr>
            <w:r>
              <w:rPr>
                <w:bCs/>
                <w:i/>
                <w:iCs/>
                <w:sz w:val="18"/>
                <w:szCs w:val="18"/>
                <w:lang w:val="en-GB"/>
              </w:rPr>
              <w:t>execute</w:t>
            </w:r>
          </w:p>
        </w:tc>
      </w:tr>
      <w:tr>
        <w:trPr/>
        <w:tc>
          <w:tcPr>
            <w:tcW w:w="1163"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both"/>
              <w:rPr>
                <w:bCs/>
                <w:i/>
                <w:i/>
                <w:iCs/>
                <w:sz w:val="18"/>
                <w:szCs w:val="18"/>
                <w:lang w:val="en-GB"/>
              </w:rPr>
            </w:pPr>
            <w:r>
              <w:rPr>
                <w:bCs/>
                <w:i/>
                <w:iCs/>
                <w:sz w:val="18"/>
                <w:szCs w:val="18"/>
                <w:lang w:val="en-GB"/>
              </w:rPr>
              <w:t>CSL</w:t>
            </w:r>
          </w:p>
        </w:tc>
        <w:tc>
          <w:tcPr>
            <w:tcW w:w="850"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both"/>
              <w:rPr>
                <w:bCs/>
                <w:sz w:val="18"/>
                <w:szCs w:val="18"/>
                <w:lang w:val="en-GB"/>
              </w:rPr>
            </w:pPr>
            <w:r>
              <w:rPr>
                <w:bCs/>
                <w:sz w:val="18"/>
                <w:szCs w:val="18"/>
                <w:lang w:val="en-GB"/>
              </w:rPr>
              <w:t>2IM</w:t>
            </w:r>
          </w:p>
        </w:tc>
        <w:tc>
          <w:tcPr>
            <w:tcW w:w="1279"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both"/>
              <w:rPr>
                <w:bCs/>
                <w:sz w:val="18"/>
                <w:szCs w:val="18"/>
                <w:lang w:val="en-GB"/>
              </w:rPr>
            </w:pPr>
            <w:r>
              <w:rPr>
                <w:bCs/>
                <w:sz w:val="18"/>
                <w:szCs w:val="18"/>
                <w:lang w:val="en-GB"/>
              </w:rPr>
              <w:t>2IM</w:t>
            </w:r>
          </w:p>
        </w:tc>
        <w:tc>
          <w:tcPr>
            <w:tcW w:w="1556"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both"/>
              <w:rPr>
                <w:bCs/>
                <w:sz w:val="18"/>
                <w:szCs w:val="18"/>
                <w:lang w:val="en-GB"/>
              </w:rPr>
            </w:pPr>
            <w:r>
              <w:rPr>
                <w:bCs/>
                <w:sz w:val="18"/>
                <w:szCs w:val="18"/>
                <w:lang w:val="en-GB"/>
              </w:rPr>
              <w:t>PST Supplier</w:t>
            </w:r>
          </w:p>
        </w:tc>
      </w:tr>
      <w:tr>
        <w:trPr/>
        <w:tc>
          <w:tcPr>
            <w:tcW w:w="1163"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both"/>
              <w:rPr>
                <w:bCs/>
                <w:i/>
                <w:i/>
                <w:iCs/>
                <w:sz w:val="18"/>
                <w:szCs w:val="18"/>
                <w:lang w:val="en-GB"/>
              </w:rPr>
            </w:pPr>
            <w:r>
              <w:rPr>
                <w:bCs/>
                <w:i/>
                <w:iCs/>
                <w:sz w:val="18"/>
                <w:szCs w:val="18"/>
                <w:lang w:val="en-GB"/>
              </w:rPr>
              <w:t>COSL</w:t>
            </w:r>
          </w:p>
        </w:tc>
        <w:tc>
          <w:tcPr>
            <w:tcW w:w="850"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both"/>
              <w:rPr>
                <w:bCs/>
                <w:sz w:val="18"/>
                <w:szCs w:val="18"/>
                <w:lang w:val="en-GB"/>
              </w:rPr>
            </w:pPr>
            <w:r>
              <w:rPr>
                <w:bCs/>
                <w:sz w:val="18"/>
                <w:szCs w:val="18"/>
                <w:lang w:val="en-GB"/>
              </w:rPr>
              <w:t>2IM</w:t>
            </w:r>
          </w:p>
        </w:tc>
        <w:tc>
          <w:tcPr>
            <w:tcW w:w="1279"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both"/>
              <w:rPr>
                <w:bCs/>
                <w:sz w:val="18"/>
                <w:szCs w:val="18"/>
                <w:lang w:val="en-GB"/>
              </w:rPr>
            </w:pPr>
            <w:r>
              <w:rPr>
                <w:bCs/>
                <w:sz w:val="18"/>
                <w:szCs w:val="18"/>
                <w:lang w:val="en-GB"/>
              </w:rPr>
              <w:t>2IM</w:t>
            </w:r>
          </w:p>
        </w:tc>
        <w:tc>
          <w:tcPr>
            <w:tcW w:w="1556" w:type="dxa"/>
            <w:tcBorders>
              <w:top w:val="single" w:sz="4" w:space="0" w:color="000000"/>
              <w:start w:val="single" w:sz="4" w:space="0" w:color="000000"/>
              <w:bottom w:val="single" w:sz="4" w:space="0" w:color="000000"/>
              <w:end w:val="single" w:sz="4" w:space="0" w:color="000000"/>
            </w:tcBorders>
          </w:tcPr>
          <w:p>
            <w:pPr>
              <w:pStyle w:val="Normal"/>
              <w:spacing w:before="120" w:after="120"/>
              <w:jc w:val="both"/>
              <w:rPr>
                <w:sz w:val="18"/>
                <w:szCs w:val="18"/>
                <w:lang w:val="en-GB"/>
              </w:rPr>
            </w:pPr>
            <w:r>
              <w:rPr>
                <w:bCs/>
                <w:sz w:val="18"/>
                <w:szCs w:val="18"/>
                <w:lang w:val="en-GB"/>
              </w:rPr>
              <w:t>PST Supplier</w:t>
            </w:r>
          </w:p>
        </w:tc>
      </w:tr>
      <w:tr>
        <w:trPr/>
        <w:tc>
          <w:tcPr>
            <w:tcW w:w="1163"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both"/>
              <w:rPr>
                <w:bCs/>
                <w:i/>
                <w:i/>
                <w:iCs/>
                <w:sz w:val="18"/>
                <w:szCs w:val="18"/>
                <w:lang w:val="en-GB"/>
              </w:rPr>
            </w:pPr>
            <w:r>
              <w:rPr>
                <w:bCs/>
                <w:i/>
                <w:iCs/>
                <w:sz w:val="18"/>
                <w:szCs w:val="18"/>
                <w:lang w:val="en-GB"/>
              </w:rPr>
              <w:t>ROSL</w:t>
            </w:r>
          </w:p>
        </w:tc>
        <w:tc>
          <w:tcPr>
            <w:tcW w:w="850"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both"/>
              <w:rPr>
                <w:bCs/>
                <w:sz w:val="18"/>
                <w:szCs w:val="18"/>
                <w:lang w:val="en-GB"/>
              </w:rPr>
            </w:pPr>
            <w:r>
              <w:rPr>
                <w:bCs/>
                <w:sz w:val="18"/>
                <w:szCs w:val="18"/>
                <w:lang w:val="en-GB"/>
              </w:rPr>
              <w:t>2IM</w:t>
            </w:r>
          </w:p>
        </w:tc>
        <w:tc>
          <w:tcPr>
            <w:tcW w:w="1279"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both"/>
              <w:rPr>
                <w:bCs/>
                <w:sz w:val="18"/>
                <w:szCs w:val="18"/>
                <w:lang w:val="en-GB"/>
              </w:rPr>
            </w:pPr>
            <w:r>
              <w:rPr>
                <w:bCs/>
                <w:sz w:val="18"/>
                <w:szCs w:val="18"/>
                <w:lang w:val="en-GB"/>
              </w:rPr>
              <w:t>2IM</w:t>
            </w:r>
          </w:p>
        </w:tc>
        <w:tc>
          <w:tcPr>
            <w:tcW w:w="1556" w:type="dxa"/>
            <w:tcBorders>
              <w:top w:val="single" w:sz="4" w:space="0" w:color="000000"/>
              <w:start w:val="single" w:sz="4" w:space="0" w:color="000000"/>
              <w:bottom w:val="single" w:sz="4" w:space="0" w:color="000000"/>
              <w:end w:val="single" w:sz="4" w:space="0" w:color="000000"/>
            </w:tcBorders>
          </w:tcPr>
          <w:p>
            <w:pPr>
              <w:pStyle w:val="Normal"/>
              <w:spacing w:before="120" w:after="120"/>
              <w:jc w:val="both"/>
              <w:rPr>
                <w:sz w:val="18"/>
                <w:szCs w:val="18"/>
                <w:lang w:val="en-GB"/>
              </w:rPr>
            </w:pPr>
            <w:r>
              <w:rPr>
                <w:bCs/>
                <w:sz w:val="18"/>
                <w:szCs w:val="18"/>
                <w:lang w:val="en-GB"/>
              </w:rPr>
              <w:t>PST Supplier</w:t>
            </w:r>
          </w:p>
        </w:tc>
      </w:tr>
      <w:tr>
        <w:trPr/>
        <w:tc>
          <w:tcPr>
            <w:tcW w:w="1163"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both"/>
              <w:rPr>
                <w:bCs/>
                <w:i/>
                <w:i/>
                <w:iCs/>
                <w:sz w:val="18"/>
                <w:szCs w:val="18"/>
                <w:lang w:val="en-GB"/>
              </w:rPr>
            </w:pPr>
            <w:r>
              <w:rPr>
                <w:bCs/>
                <w:i/>
                <w:iCs/>
                <w:sz w:val="18"/>
                <w:szCs w:val="18"/>
                <w:lang w:val="en-GB"/>
              </w:rPr>
              <w:t>BSL</w:t>
            </w:r>
          </w:p>
        </w:tc>
        <w:tc>
          <w:tcPr>
            <w:tcW w:w="850"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both"/>
              <w:rPr>
                <w:bCs/>
                <w:sz w:val="18"/>
                <w:szCs w:val="18"/>
                <w:lang w:val="en-GB"/>
              </w:rPr>
            </w:pPr>
            <w:r>
              <w:rPr>
                <w:bCs/>
                <w:sz w:val="18"/>
                <w:szCs w:val="18"/>
                <w:lang w:val="en-GB"/>
              </w:rPr>
              <w:t>EuroBank</w:t>
            </w:r>
          </w:p>
        </w:tc>
        <w:tc>
          <w:tcPr>
            <w:tcW w:w="1279"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both"/>
              <w:rPr>
                <w:bCs/>
                <w:sz w:val="18"/>
                <w:szCs w:val="18"/>
                <w:lang w:val="en-GB"/>
              </w:rPr>
            </w:pPr>
            <w:r>
              <w:rPr>
                <w:bCs/>
                <w:sz w:val="18"/>
                <w:szCs w:val="18"/>
                <w:lang w:val="en-GB"/>
              </w:rPr>
              <w:t>2IM</w:t>
            </w:r>
          </w:p>
        </w:tc>
        <w:tc>
          <w:tcPr>
            <w:tcW w:w="1556" w:type="dxa"/>
            <w:tcBorders>
              <w:top w:val="single" w:sz="4" w:space="0" w:color="000000"/>
              <w:start w:val="single" w:sz="4" w:space="0" w:color="000000"/>
              <w:bottom w:val="single" w:sz="4" w:space="0" w:color="000000"/>
              <w:end w:val="single" w:sz="4" w:space="0" w:color="000000"/>
            </w:tcBorders>
          </w:tcPr>
          <w:p>
            <w:pPr>
              <w:pStyle w:val="Normal"/>
              <w:spacing w:before="120" w:after="120"/>
              <w:jc w:val="both"/>
              <w:rPr>
                <w:sz w:val="18"/>
                <w:szCs w:val="18"/>
                <w:lang w:val="en-GB"/>
              </w:rPr>
            </w:pPr>
            <w:r>
              <w:rPr>
                <w:bCs/>
                <w:sz w:val="18"/>
                <w:szCs w:val="18"/>
                <w:lang w:val="en-GB"/>
              </w:rPr>
              <w:t>PST Supplier</w:t>
            </w:r>
          </w:p>
        </w:tc>
      </w:tr>
    </w:tbl>
    <w:p>
      <w:pPr>
        <w:pStyle w:val="Normal"/>
        <w:spacing w:before="0" w:after="0"/>
        <w:ind w:start="720" w:end="0"/>
        <w:jc w:val="both"/>
        <w:rPr>
          <w:lang w:val="en-GB"/>
        </w:rPr>
      </w:pPr>
      <w:r>
        <w:rPr>
          <w:lang w:val="en-GB"/>
        </w:rPr>
      </w:r>
    </w:p>
    <w:p>
      <w:pPr>
        <w:pStyle w:val="Normal"/>
        <w:spacing w:before="0" w:after="0"/>
        <w:ind w:start="720" w:end="0"/>
        <w:jc w:val="both"/>
        <w:rPr/>
      </w:pPr>
      <w:r>
        <w:rPr>
          <w:lang w:val="en-GB"/>
        </w:rPr>
        <w:t xml:space="preserve">This means that life-cycle management updates/upgrades of the System Software within the different System Software layers will be initiated by the owner – i.e. for all components it is the 2IM except for BSL where EuroBank will initiate updates/upgrades. </w:t>
      </w:r>
    </w:p>
    <w:p>
      <w:pPr>
        <w:pStyle w:val="Normal"/>
        <w:spacing w:before="0" w:after="0"/>
        <w:ind w:start="720" w:end="0"/>
        <w:jc w:val="both"/>
        <w:rPr>
          <w:lang w:val="en-GB"/>
        </w:rPr>
      </w:pPr>
      <w:r>
        <w:rPr>
          <w:lang w:val="en-GB"/>
        </w:rPr>
      </w:r>
    </w:p>
    <w:p>
      <w:pPr>
        <w:pStyle w:val="Normal"/>
        <w:spacing w:before="0" w:after="0"/>
        <w:ind w:start="720" w:end="0"/>
        <w:jc w:val="both"/>
        <w:rPr>
          <w:lang w:val="en-GB"/>
        </w:rPr>
      </w:pPr>
      <w:r>
        <w:rPr>
          <w:lang w:val="en-GB"/>
        </w:rPr>
        <w:t>An upgrade to Vista will be made available to be deployed within 6 months after general availability although exact timings will be agreed with EuroBank. This does not include validation, testing, upgrading and repackaging of BSL applications. The validation, testing, upgrading, repackaging and rollout of CSL, ROSL and COSL are included.</w:t>
      </w:r>
    </w:p>
    <w:p>
      <w:pPr>
        <w:pStyle w:val="Normal"/>
        <w:spacing w:before="0" w:after="0"/>
        <w:jc w:val="both"/>
        <w:rPr>
          <w:lang w:val="en-GB"/>
        </w:rPr>
      </w:pPr>
      <w:r>
        <w:rPr>
          <w:lang w:val="en-GB"/>
        </w:rPr>
      </w:r>
    </w:p>
    <w:p>
      <w:pPr>
        <w:pStyle w:val="Normal"/>
        <w:spacing w:before="0" w:after="0"/>
        <w:ind w:hanging="720" w:start="720" w:end="0"/>
        <w:jc w:val="both"/>
        <w:rPr/>
      </w:pPr>
      <w:r>
        <w:rPr>
          <w:lang w:val="en-GB"/>
        </w:rPr>
        <w:t>iv.</w:t>
        <w:tab/>
        <w:t>Providing insight in the costs of the services provided by the Bundle as requested by 2IM or EuroBank</w:t>
      </w:r>
    </w:p>
    <w:p>
      <w:pPr>
        <w:pStyle w:val="Heading3Numbered"/>
        <w:numPr>
          <w:ilvl w:val="2"/>
          <w:numId w:val="2"/>
        </w:numPr>
        <w:ind w:hanging="0" w:start="0"/>
        <w:rPr>
          <w:sz w:val="22"/>
          <w:szCs w:val="22"/>
          <w:lang w:val="en-GB"/>
        </w:rPr>
      </w:pPr>
      <w:r>
        <w:rPr>
          <w:sz w:val="22"/>
          <w:szCs w:val="22"/>
          <w:lang w:val="en-GB"/>
        </w:rPr>
        <w:t>Technical support</w:t>
      </w:r>
    </w:p>
    <w:p>
      <w:pPr>
        <w:pStyle w:val="Normal"/>
        <w:spacing w:before="0" w:after="0"/>
        <w:jc w:val="both"/>
        <w:rPr>
          <w:lang w:val="en-GB"/>
        </w:rPr>
      </w:pPr>
      <w:r>
        <w:rPr>
          <w:lang w:val="en-GB"/>
        </w:rPr>
        <w:t>i)</w:t>
        <w:tab/>
        <w:t>The PST Supplier will maintain and fulfil technical support by means of:</w:t>
      </w:r>
    </w:p>
    <w:p>
      <w:pPr>
        <w:pStyle w:val="Normal"/>
        <w:spacing w:before="0" w:after="0"/>
        <w:jc w:val="both"/>
        <w:rPr>
          <w:lang w:val="en-GB"/>
        </w:rPr>
      </w:pPr>
      <w:r>
        <w:rPr>
          <w:lang w:val="en-GB"/>
        </w:rPr>
      </w:r>
    </w:p>
    <w:p>
      <w:pPr>
        <w:pStyle w:val="Normal"/>
        <w:spacing w:before="0" w:after="0"/>
        <w:ind w:start="720" w:end="0"/>
        <w:jc w:val="both"/>
        <w:rPr>
          <w:lang w:val="en-GB"/>
        </w:rPr>
      </w:pPr>
      <w:r>
        <w:rPr>
          <w:lang w:val="en-GB"/>
        </w:rPr>
        <w:t>1)</w:t>
        <w:tab/>
        <w:t xml:space="preserve">Development of implementable solutions, like (list is not exhaustive): </w:t>
      </w:r>
    </w:p>
    <w:p>
      <w:pPr>
        <w:pStyle w:val="Normal"/>
        <w:spacing w:before="0" w:after="0"/>
        <w:ind w:start="1440" w:end="0"/>
        <w:jc w:val="both"/>
        <w:rPr>
          <w:lang w:val="en-GB"/>
        </w:rPr>
      </w:pPr>
      <w:r>
        <w:rPr>
          <w:lang w:val="en-GB"/>
        </w:rPr>
      </w:r>
    </w:p>
    <w:p>
      <w:pPr>
        <w:pStyle w:val="Normal"/>
        <w:spacing w:before="0" w:after="0"/>
        <w:ind w:start="1440" w:end="0"/>
        <w:jc w:val="both"/>
        <w:rPr>
          <w:lang w:val="en-GB"/>
        </w:rPr>
      </w:pPr>
      <w:r>
        <w:rPr>
          <w:lang w:val="en-GB"/>
        </w:rPr>
        <w:t>•</w:t>
      </w:r>
      <w:r>
        <w:rPr>
          <w:lang w:val="en-GB"/>
        </w:rPr>
        <w:tab/>
        <w:t>Solution description</w:t>
      </w:r>
    </w:p>
    <w:p>
      <w:pPr>
        <w:pStyle w:val="Normal"/>
        <w:spacing w:before="0" w:after="0"/>
        <w:ind w:start="1440" w:end="0"/>
        <w:jc w:val="both"/>
        <w:rPr>
          <w:lang w:val="en-GB"/>
        </w:rPr>
      </w:pPr>
      <w:r>
        <w:rPr>
          <w:lang w:val="en-GB"/>
        </w:rPr>
        <w:t>•</w:t>
      </w:r>
      <w:r>
        <w:rPr>
          <w:lang w:val="en-GB"/>
        </w:rPr>
        <w:tab/>
        <w:t>Standard Building blocks used (e.g. SW build)</w:t>
      </w:r>
    </w:p>
    <w:p>
      <w:pPr>
        <w:pStyle w:val="Normal"/>
        <w:spacing w:before="0" w:after="0"/>
        <w:ind w:start="1440" w:end="0"/>
        <w:jc w:val="both"/>
        <w:rPr>
          <w:lang w:val="en-GB"/>
        </w:rPr>
      </w:pPr>
      <w:r>
        <w:rPr>
          <w:lang w:val="en-GB"/>
        </w:rPr>
        <w:t>•</w:t>
      </w:r>
      <w:r>
        <w:rPr>
          <w:lang w:val="en-GB"/>
        </w:rPr>
        <w:tab/>
        <w:t>Installation manual</w:t>
      </w:r>
    </w:p>
    <w:p>
      <w:pPr>
        <w:pStyle w:val="Normal"/>
        <w:spacing w:before="0" w:after="0"/>
        <w:ind w:start="1440" w:end="0"/>
        <w:jc w:val="both"/>
        <w:rPr>
          <w:lang w:val="en-GB"/>
        </w:rPr>
      </w:pPr>
      <w:r>
        <w:rPr>
          <w:lang w:val="en-GB"/>
        </w:rPr>
        <w:t>•</w:t>
      </w:r>
      <w:r>
        <w:rPr>
          <w:lang w:val="en-GB"/>
        </w:rPr>
        <w:tab/>
        <w:t>User manual</w:t>
      </w:r>
    </w:p>
    <w:p>
      <w:pPr>
        <w:pStyle w:val="Normal"/>
        <w:spacing w:before="0" w:after="0"/>
        <w:ind w:start="1440" w:end="0"/>
        <w:jc w:val="both"/>
        <w:rPr>
          <w:lang w:val="en-GB"/>
        </w:rPr>
      </w:pPr>
      <w:r>
        <w:rPr>
          <w:lang w:val="en-GB"/>
        </w:rPr>
        <w:t>•</w:t>
      </w:r>
      <w:r>
        <w:rPr>
          <w:lang w:val="en-GB"/>
        </w:rPr>
        <w:tab/>
        <w:t>HW catalogue</w:t>
      </w:r>
    </w:p>
    <w:p>
      <w:pPr>
        <w:pStyle w:val="Normal"/>
        <w:spacing w:before="0" w:after="0"/>
        <w:ind w:start="720" w:end="0"/>
        <w:jc w:val="both"/>
        <w:rPr>
          <w:lang w:val="en-GB"/>
        </w:rPr>
      </w:pPr>
      <w:r>
        <w:rPr>
          <w:lang w:val="en-GB"/>
        </w:rPr>
      </w:r>
    </w:p>
    <w:p>
      <w:pPr>
        <w:pStyle w:val="Normal"/>
        <w:spacing w:before="0" w:after="0"/>
        <w:ind w:hanging="720" w:start="1440" w:end="0"/>
        <w:jc w:val="both"/>
        <w:rPr/>
      </w:pPr>
      <w:r>
        <w:rPr>
          <w:lang w:val="en-GB"/>
        </w:rPr>
        <w:t>2)</w:t>
        <w:tab/>
        <w:t>Provide 3rd line Problem management support: e.g. bug fixes, patches, security-related issues, etc. The number of Packages distributed per year has been agreed in the base charge. Service packs are considered to be a new Package. Anti-virus updates, registry settings, DLL maintenance (i.e. only changing DLL files not adding a new application), security patches etc are not considered Packages and are not included in the agreed number of Packages but will be part of the PST Supplier’s management activities.</w:t>
      </w:r>
    </w:p>
    <w:p>
      <w:pPr>
        <w:pStyle w:val="Heading3Numbered"/>
        <w:numPr>
          <w:ilvl w:val="2"/>
          <w:numId w:val="2"/>
        </w:numPr>
        <w:ind w:hanging="0" w:start="0"/>
        <w:rPr>
          <w:sz w:val="22"/>
          <w:szCs w:val="22"/>
          <w:lang w:val="en-GB"/>
        </w:rPr>
      </w:pPr>
      <w:r>
        <w:rPr>
          <w:sz w:val="22"/>
          <w:szCs w:val="22"/>
          <w:lang w:val="en-GB"/>
        </w:rPr>
        <w:t>Implementation</w:t>
      </w:r>
    </w:p>
    <w:p>
      <w:pPr>
        <w:pStyle w:val="Normal"/>
        <w:spacing w:before="0" w:after="0"/>
        <w:jc w:val="both"/>
        <w:rPr>
          <w:lang w:val="en-GB"/>
        </w:rPr>
      </w:pPr>
      <w:r>
        <w:rPr>
          <w:lang w:val="en-GB"/>
        </w:rPr>
        <w:t>The PST Supplier’s responsibilities include:</w:t>
      </w:r>
    </w:p>
    <w:p>
      <w:pPr>
        <w:pStyle w:val="Normal"/>
        <w:spacing w:before="0" w:after="0"/>
        <w:jc w:val="both"/>
        <w:rPr>
          <w:lang w:val="en-GB"/>
        </w:rPr>
      </w:pPr>
      <w:r>
        <w:rPr>
          <w:lang w:val="en-GB"/>
        </w:rPr>
      </w:r>
    </w:p>
    <w:p>
      <w:pPr>
        <w:pStyle w:val="Normal"/>
        <w:spacing w:before="0" w:after="0"/>
        <w:ind w:hanging="720" w:start="720" w:end="0"/>
        <w:jc w:val="both"/>
        <w:rPr>
          <w:lang w:val="en-GB"/>
        </w:rPr>
      </w:pPr>
      <w:r>
        <w:rPr>
          <w:lang w:val="en-GB"/>
        </w:rPr>
        <w:t>i)</w:t>
        <w:tab/>
        <w:t>Localise standard builds currently used within the related environment</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ii)</w:t>
        <w:tab/>
        <w:t>Transfer standard builds to operational state subject to the Change Management process. This may require physical deployment of the end user backbone. (eg perform adjustments to active directory)</w:t>
      </w:r>
    </w:p>
    <w:p>
      <w:pPr>
        <w:pStyle w:val="Heading3Numbered"/>
        <w:numPr>
          <w:ilvl w:val="2"/>
          <w:numId w:val="2"/>
        </w:numPr>
        <w:ind w:hanging="0" w:start="0"/>
        <w:rPr>
          <w:sz w:val="22"/>
          <w:szCs w:val="22"/>
          <w:lang w:val="en-GB"/>
        </w:rPr>
      </w:pPr>
      <w:r>
        <w:rPr>
          <w:sz w:val="22"/>
          <w:szCs w:val="22"/>
          <w:lang w:val="en-GB"/>
        </w:rPr>
        <w:t>Rollouts</w:t>
      </w:r>
    </w:p>
    <w:p>
      <w:pPr>
        <w:pStyle w:val="Normal"/>
        <w:spacing w:before="0" w:after="0"/>
        <w:jc w:val="both"/>
        <w:rPr>
          <w:lang w:val="en-GB"/>
        </w:rPr>
      </w:pPr>
      <w:r>
        <w:rPr>
          <w:lang w:val="en-GB"/>
        </w:rPr>
        <w:t xml:space="preserve">Providing 3rd level support and other guidance needed, when large scale roll-outs are performed, as defined by 2IM. </w:t>
      </w:r>
    </w:p>
    <w:p>
      <w:pPr>
        <w:pStyle w:val="Heading2Numbered"/>
        <w:numPr>
          <w:ilvl w:val="1"/>
          <w:numId w:val="2"/>
        </w:numPr>
        <w:ind w:hanging="0" w:start="0"/>
        <w:jc w:val="both"/>
        <w:rPr>
          <w:sz w:val="22"/>
          <w:szCs w:val="22"/>
          <w:lang w:val="en-GB"/>
        </w:rPr>
      </w:pPr>
      <w:bookmarkStart w:id="3" w:name="__RefHeading___Toc150051190"/>
      <w:bookmarkEnd w:id="3"/>
      <w:r>
        <w:rPr>
          <w:sz w:val="22"/>
          <w:szCs w:val="22"/>
          <w:lang w:val="en-GB"/>
        </w:rPr>
        <w:t>Design and Support Incident Resolution</w:t>
      </w:r>
    </w:p>
    <w:p>
      <w:pPr>
        <w:pStyle w:val="Normal"/>
        <w:spacing w:before="0" w:after="0"/>
        <w:jc w:val="both"/>
        <w:rPr/>
      </w:pPr>
      <w:r>
        <w:rPr>
          <w:lang w:val="en-GB"/>
        </w:rPr>
        <w:t>Incident management includes all actions and tasks necessary to restore a workplace to its operational state, including, but not limited to maintenance of: Common Service Layer; Central Optional Service Layer, file and print Services, messaging Services, directory Services, collaboration Services, the “Wintel” server platform and tooling back-end.</w:t>
      </w:r>
    </w:p>
    <w:p>
      <w:pPr>
        <w:pStyle w:val="Normal"/>
        <w:spacing w:before="0" w:after="0"/>
        <w:jc w:val="both"/>
        <w:rPr>
          <w:lang w:val="en-GB"/>
        </w:rPr>
      </w:pPr>
      <w:r>
        <w:rPr>
          <w:lang w:val="en-GB"/>
        </w:rPr>
      </w:r>
    </w:p>
    <w:p>
      <w:pPr>
        <w:pStyle w:val="Normal"/>
        <w:spacing w:before="0" w:after="0"/>
        <w:jc w:val="both"/>
        <w:rPr/>
      </w:pPr>
      <w:r>
        <w:rPr>
          <w:lang w:val="en-GB"/>
        </w:rPr>
        <w:t>The PST Supplier Incident management team will handle the recovery of the service. The Problem Management process will handle the Root Cause Analysis. They will both work closely together.</w:t>
      </w:r>
    </w:p>
    <w:p>
      <w:pPr>
        <w:pStyle w:val="Normal"/>
        <w:spacing w:before="0" w:after="0"/>
        <w:jc w:val="both"/>
        <w:rPr>
          <w:lang w:val="en-GB"/>
        </w:rPr>
      </w:pPr>
      <w:r>
        <w:rPr>
          <w:lang w:val="en-GB"/>
        </w:rPr>
      </w:r>
    </w:p>
    <w:p>
      <w:pPr>
        <w:pStyle w:val="Normal"/>
        <w:spacing w:before="0" w:after="0"/>
        <w:jc w:val="both"/>
        <w:rPr/>
      </w:pPr>
      <w:r>
        <w:rPr>
          <w:lang w:val="en-GB"/>
        </w:rPr>
        <w:t>The PST Supplier delivery organisation will be structured to have operational units responsible for the different components and layers of the PST Supplier workplace concept. These units will deliver 2nd line and 3rd line support for WPS including support of CSL and COSL and the related services.</w:t>
      </w:r>
    </w:p>
    <w:p>
      <w:pPr>
        <w:pStyle w:val="Normal"/>
        <w:spacing w:before="0" w:after="0"/>
        <w:jc w:val="both"/>
        <w:rPr>
          <w:lang w:val="en-GB"/>
        </w:rPr>
      </w:pPr>
      <w:r>
        <w:rPr>
          <w:lang w:val="en-GB"/>
        </w:rPr>
      </w:r>
    </w:p>
    <w:p>
      <w:pPr>
        <w:pStyle w:val="Normal"/>
        <w:spacing w:before="0" w:after="0"/>
        <w:jc w:val="both"/>
        <w:rPr>
          <w:lang w:val="en-GB"/>
        </w:rPr>
      </w:pPr>
      <w:r>
        <w:rPr>
          <w:lang w:val="en-GB"/>
        </w:rPr>
        <w:t>These operational units will be providing support in addition to the development support provided by the development and engineering teams within the PST Supplier organisation. Furthermore, the PST Supplier will agree support contracts with external product vendors for parts of the PST Supplier workplace environment where this is required, but only in agreement with EuroBank. The roles of these vendors will be to advise on further workplace development and assist in resolution of incidents and problems with the workplace concept, but only when required and only with the explicit agreement of EuroBank.</w:t>
      </w:r>
    </w:p>
    <w:p>
      <w:pPr>
        <w:pStyle w:val="Normal"/>
        <w:spacing w:before="0" w:after="0"/>
        <w:jc w:val="both"/>
        <w:rPr>
          <w:lang w:val="en-GB"/>
        </w:rPr>
      </w:pPr>
      <w:r>
        <w:rPr>
          <w:lang w:val="en-GB"/>
        </w:rPr>
      </w:r>
    </w:p>
    <w:p>
      <w:pPr>
        <w:pStyle w:val="Normal"/>
        <w:spacing w:before="0" w:after="0"/>
        <w:jc w:val="both"/>
        <w:rPr>
          <w:lang w:val="en-GB"/>
        </w:rPr>
      </w:pPr>
      <w:r>
        <w:rPr>
          <w:lang w:val="en-GB"/>
        </w:rPr>
        <w:t>In order to ensure that the correct resources are allocated to Incident Management the PST Supplier will propose, define, and agree with EuroBank a method of prioritisation to reflect both the customer impact/urgency of the service failure and the internal importance to the PST Supplier as defined in Exhibit 3 and its Attachments.</w:t>
      </w:r>
    </w:p>
    <w:p>
      <w:pPr>
        <w:pStyle w:val="Normal"/>
        <w:spacing w:before="0" w:after="0"/>
        <w:jc w:val="both"/>
        <w:rPr>
          <w:lang w:val="en-GB"/>
        </w:rPr>
      </w:pPr>
      <w:r>
        <w:rPr>
          <w:lang w:val="en-GB"/>
        </w:rPr>
      </w:r>
    </w:p>
    <w:p>
      <w:pPr>
        <w:pStyle w:val="Normal"/>
        <w:spacing w:before="0" w:after="0"/>
        <w:jc w:val="both"/>
        <w:rPr>
          <w:lang w:val="en-GB"/>
        </w:rPr>
      </w:pPr>
      <w:r>
        <w:rPr>
          <w:lang w:val="en-GB"/>
        </w:rPr>
        <w:t>Incident and Problem management processes will also include communication with the end user to update them on progress as required.</w:t>
      </w:r>
    </w:p>
    <w:p>
      <w:pPr>
        <w:pStyle w:val="Normal"/>
        <w:spacing w:before="0" w:after="0"/>
        <w:jc w:val="both"/>
        <w:rPr>
          <w:lang w:val="en-GB"/>
        </w:rPr>
      </w:pPr>
      <w:r>
        <w:rPr>
          <w:lang w:val="en-GB"/>
        </w:rPr>
      </w:r>
    </w:p>
    <w:p>
      <w:pPr>
        <w:pStyle w:val="Normal"/>
        <w:spacing w:before="0" w:after="0"/>
        <w:jc w:val="both"/>
        <w:rPr/>
      </w:pPr>
      <w:r>
        <w:rPr>
          <w:lang w:val="en-GB"/>
        </w:rPr>
        <w:t>Following 2IM procedures, provide non-standard (3rd line) Incident &amp; problem resolution; including applying possible changes to the product (e.g. System Software build) if needed.</w:t>
      </w:r>
    </w:p>
    <w:p>
      <w:pPr>
        <w:pStyle w:val="Heading2Numbered"/>
        <w:numPr>
          <w:ilvl w:val="1"/>
          <w:numId w:val="2"/>
        </w:numPr>
        <w:ind w:hanging="0" w:start="0"/>
        <w:jc w:val="both"/>
        <w:rPr>
          <w:sz w:val="22"/>
          <w:szCs w:val="22"/>
          <w:lang w:val="en-GB"/>
        </w:rPr>
      </w:pPr>
      <w:bookmarkStart w:id="4" w:name="__RefHeading___Toc150051191"/>
      <w:bookmarkEnd w:id="4"/>
      <w:r>
        <w:rPr>
          <w:sz w:val="22"/>
          <w:szCs w:val="22"/>
          <w:lang w:val="en-GB"/>
        </w:rPr>
        <w:t>Security Services (including Virus, Spam, Spyware Protection)</w:t>
      </w:r>
    </w:p>
    <w:p>
      <w:pPr>
        <w:pStyle w:val="Normal"/>
        <w:spacing w:before="0" w:after="0"/>
        <w:jc w:val="both"/>
        <w:rPr>
          <w:u w:val="single"/>
          <w:lang w:val="en-GB"/>
        </w:rPr>
      </w:pPr>
      <w:r>
        <w:rPr>
          <w:u w:val="single"/>
          <w:lang w:val="en-GB"/>
        </w:rPr>
        <w:t>Meeting the Security Services protection requirements</w:t>
      </w:r>
    </w:p>
    <w:p>
      <w:pPr>
        <w:pStyle w:val="Normal"/>
        <w:spacing w:before="0" w:after="0"/>
        <w:jc w:val="both"/>
        <w:rPr>
          <w:u w:val="single"/>
          <w:lang w:val="en-GB"/>
        </w:rPr>
      </w:pPr>
      <w:r>
        <w:rPr>
          <w:u w:val="single"/>
          <w:lang w:val="en-GB"/>
        </w:rPr>
      </w:r>
    </w:p>
    <w:p>
      <w:pPr>
        <w:pStyle w:val="Normal"/>
        <w:spacing w:before="0" w:after="0"/>
        <w:jc w:val="both"/>
        <w:rPr/>
      </w:pPr>
      <w:r>
        <w:rPr>
          <w:lang w:val="en-GB"/>
        </w:rPr>
        <w:t xml:space="preserve">The PST Supplier will implement Microsoft System Management Server 2003 or equivalent and the additional tools including but not limited to the SUM feature pack for SMS or equivalent, Extended Security Update Inventory Tool, Microsoft Office Inventory Tool or equivalent for updates to enable Windows and Office components security hotfix distribution. </w:t>
      </w:r>
    </w:p>
    <w:p>
      <w:pPr>
        <w:pStyle w:val="Normal"/>
        <w:spacing w:before="0" w:after="0"/>
        <w:jc w:val="both"/>
        <w:rPr>
          <w:lang w:val="en-GB"/>
        </w:rPr>
      </w:pPr>
      <w:r>
        <w:rPr>
          <w:lang w:val="en-GB"/>
        </w:rPr>
      </w:r>
    </w:p>
    <w:p>
      <w:pPr>
        <w:pStyle w:val="Normal"/>
        <w:spacing w:before="0" w:after="0"/>
        <w:jc w:val="both"/>
        <w:rPr/>
      </w:pPr>
      <w:r>
        <w:rPr>
          <w:lang w:val="en-GB"/>
        </w:rPr>
        <w:t>As part of the service the PST Supplier will solve potential security weaknesses in the In Scope System Software products by repackaging and deploying the fixes as released by the software vendor. If necessary the PST Supplier will implement an emergency fix where an actual breach has occurred or some other high risk event.</w:t>
      </w:r>
    </w:p>
    <w:p>
      <w:pPr>
        <w:pStyle w:val="Normal"/>
        <w:spacing w:before="0" w:after="0"/>
        <w:jc w:val="both"/>
        <w:rPr>
          <w:lang w:val="en-GB"/>
        </w:rPr>
      </w:pPr>
      <w:r>
        <w:rPr>
          <w:lang w:val="en-GB"/>
        </w:rPr>
      </w:r>
    </w:p>
    <w:p>
      <w:pPr>
        <w:pStyle w:val="Normal"/>
        <w:spacing w:before="0" w:after="0"/>
        <w:jc w:val="both"/>
        <w:rPr>
          <w:lang w:val="en-GB"/>
        </w:rPr>
      </w:pPr>
      <w:r>
        <w:rPr>
          <w:lang w:val="en-GB"/>
        </w:rPr>
        <w:t>When remote reboots are needed, the Authorised User is informed about this using a custom built tool – provided by the PST Supplier - with two possible options: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1.</w:t>
        <w:tab/>
        <w:t>Reboot the system now</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2.</w:t>
        <w:tab/>
        <w:t>Remind the user to reboot later where the reminder time is set trough an Active Directory Policy.</w:t>
      </w:r>
    </w:p>
    <w:p>
      <w:pPr>
        <w:pStyle w:val="Normal"/>
        <w:spacing w:before="0" w:after="0"/>
        <w:jc w:val="both"/>
        <w:rPr>
          <w:lang w:val="en-GB"/>
        </w:rPr>
      </w:pPr>
      <w:r>
        <w:rPr>
          <w:lang w:val="en-GB"/>
        </w:rPr>
      </w:r>
    </w:p>
    <w:p>
      <w:pPr>
        <w:pStyle w:val="Normal"/>
        <w:spacing w:before="0" w:after="0"/>
        <w:jc w:val="both"/>
        <w:rPr/>
      </w:pPr>
      <w:r>
        <w:rPr>
          <w:lang w:val="en-GB"/>
        </w:rPr>
        <w:t xml:space="preserve">Unless changed through the Change Advisory Board, the PST Supplier will use McAfee VirusScan Enterprise or equivalent on clients and McAfee ePolicy Orchestrator (ePO) or equivalent to keep all clients updated with the latest virus definition files and scan engine. </w:t>
      </w:r>
    </w:p>
    <w:p>
      <w:pPr>
        <w:pStyle w:val="Normal"/>
        <w:spacing w:before="0" w:after="0"/>
        <w:jc w:val="both"/>
        <w:rPr>
          <w:lang w:val="en-GB"/>
        </w:rPr>
      </w:pPr>
      <w:r>
        <w:rPr>
          <w:lang w:val="en-GB"/>
        </w:rPr>
      </w:r>
    </w:p>
    <w:p>
      <w:pPr>
        <w:pStyle w:val="Normal"/>
        <w:spacing w:before="0" w:after="0"/>
        <w:jc w:val="both"/>
        <w:rPr>
          <w:lang w:val="en-GB"/>
        </w:rPr>
      </w:pPr>
      <w:r>
        <w:rPr>
          <w:lang w:val="en-GB"/>
        </w:rPr>
        <w:t xml:space="preserve">The engine itself will be protected for Authorised Users by a password. The scan extensions will be configured using the guidelines of EuroBank. For mobile Authorised Users, alternative update sites like the NAI FTP site will be configured as alternative update point. </w:t>
      </w:r>
    </w:p>
    <w:p>
      <w:pPr>
        <w:pStyle w:val="Normal"/>
        <w:spacing w:before="0" w:after="0"/>
        <w:jc w:val="both"/>
        <w:rPr>
          <w:lang w:val="en-GB"/>
        </w:rPr>
      </w:pPr>
      <w:r>
        <w:rPr>
          <w:lang w:val="en-GB"/>
        </w:rPr>
      </w:r>
    </w:p>
    <w:p>
      <w:pPr>
        <w:pStyle w:val="Normal"/>
        <w:spacing w:before="0" w:after="0"/>
        <w:jc w:val="both"/>
        <w:rPr/>
      </w:pPr>
      <w:r>
        <w:rPr>
          <w:lang w:val="en-GB"/>
        </w:rPr>
        <w:t>Unless changed through the Change Advisory Board, Microsoft Anti Spyware or equivalent program will be used to protect clients and be updated as newer versions when released. The PST Supplier will agree with EuroBank another product or another timeframe if, from the effective date, Microsoft Anti Spyware is still a beta release.</w:t>
      </w:r>
    </w:p>
    <w:p>
      <w:pPr>
        <w:pStyle w:val="Normal"/>
        <w:spacing w:before="0" w:after="0"/>
        <w:jc w:val="both"/>
        <w:rPr>
          <w:lang w:val="en-GB"/>
        </w:rPr>
      </w:pPr>
      <w:r>
        <w:rPr>
          <w:lang w:val="en-GB"/>
        </w:rPr>
      </w:r>
    </w:p>
    <w:p>
      <w:pPr>
        <w:pStyle w:val="Normal"/>
        <w:spacing w:before="0" w:after="0"/>
        <w:jc w:val="both"/>
        <w:rPr/>
      </w:pPr>
      <w:r>
        <w:rPr>
          <w:lang w:val="en-GB"/>
        </w:rPr>
        <w:t>The PST Supplier will continue to use EuroBank’s implementation of Anti-SPAM implemented in the EuroBank de-militarised zone (“DMZ”) although the PST Supplier will advise and agree changes with EuroBank to optimise this service. Where EuroBank’s DMZ Anti-SPAM facilities are inadequate, the PST Supplier will propose and implement another solution using the Change Control Procedure</w:t>
      </w:r>
    </w:p>
    <w:p>
      <w:pPr>
        <w:pStyle w:val="Normal"/>
        <w:spacing w:before="0" w:after="0"/>
        <w:jc w:val="both"/>
        <w:rPr>
          <w:lang w:val="en-GB"/>
        </w:rPr>
      </w:pPr>
      <w:r>
        <w:rPr>
          <w:lang w:val="en-GB"/>
        </w:rPr>
      </w:r>
    </w:p>
    <w:p>
      <w:pPr>
        <w:pStyle w:val="Normal"/>
        <w:spacing w:before="0" w:after="0"/>
        <w:jc w:val="both"/>
        <w:rPr/>
      </w:pPr>
      <w:r>
        <w:rPr>
          <w:lang w:val="en-GB"/>
        </w:rPr>
        <w:t>Amongst other related activities, the PST Supplier will provide a remote scanning service – on demand - of an Authorised User’s hard disk using SMS software inventory and compare this information with authorised System Software in Active Directory for that Authorised Users. Discrepancies will be reported to EuroBank and any remedial action taken in agreement with EuroBank. Scanning of diskettes can be provided too requiring additional local support by PST Supplier staff. Afterwards, the information obtained will, where required, be compared in the same way with information in Active Directory.</w:t>
      </w:r>
    </w:p>
    <w:p>
      <w:pPr>
        <w:pStyle w:val="Normal"/>
        <w:spacing w:before="0" w:after="0"/>
        <w:jc w:val="both"/>
        <w:rPr>
          <w:lang w:val="en-GB"/>
        </w:rPr>
      </w:pPr>
      <w:r>
        <w:rPr>
          <w:lang w:val="en-GB"/>
        </w:rPr>
      </w:r>
    </w:p>
    <w:p>
      <w:pPr>
        <w:pStyle w:val="Normal"/>
        <w:spacing w:before="0" w:after="0"/>
        <w:jc w:val="both"/>
        <w:rPr/>
      </w:pPr>
      <w:r>
        <w:rPr>
          <w:lang w:val="en-GB"/>
        </w:rPr>
        <w:t>Also, the PST Supplier will hide icons of unauthorised software for the logged on Authorised User on that PC, to prevent the use of unauthorised software, possibly left after roaming use on a desktop by another Authorised User. For this reason, the PST Supplier deploys SMS software metering or equivalent, to find System Software used by Authorised Users not having an authorisation for that software based on information in Active Directory.</w:t>
      </w:r>
    </w:p>
    <w:p>
      <w:pPr>
        <w:pStyle w:val="Normal"/>
        <w:spacing w:before="0" w:after="0"/>
        <w:jc w:val="both"/>
        <w:rPr>
          <w:lang w:val="en-GB"/>
        </w:rPr>
      </w:pPr>
      <w:r>
        <w:rPr>
          <w:lang w:val="en-GB"/>
        </w:rPr>
      </w:r>
    </w:p>
    <w:p>
      <w:pPr>
        <w:pStyle w:val="Normal"/>
        <w:spacing w:before="0" w:after="0"/>
        <w:jc w:val="both"/>
        <w:rPr/>
      </w:pPr>
      <w:r>
        <w:rPr>
          <w:lang w:val="en-GB"/>
        </w:rPr>
        <w:t>Additionally, the PST Supplier will block access to removable media and ports (Floppy Disk drive, USB memory Stick) with agreed products if EuroBank so decides.</w:t>
      </w:r>
    </w:p>
    <w:p>
      <w:pPr>
        <w:pStyle w:val="Normal"/>
        <w:spacing w:before="0" w:after="0"/>
        <w:jc w:val="both"/>
        <w:rPr>
          <w:lang w:val="en-GB"/>
        </w:rPr>
      </w:pPr>
      <w:r>
        <w:rPr>
          <w:lang w:val="en-GB"/>
        </w:rPr>
      </w:r>
    </w:p>
    <w:p>
      <w:pPr>
        <w:pStyle w:val="Normal"/>
        <w:spacing w:before="0" w:after="0"/>
        <w:jc w:val="both"/>
        <w:rPr>
          <w:lang w:val="en-GB"/>
        </w:rPr>
      </w:pPr>
      <w:r>
        <w:rPr>
          <w:lang w:val="en-GB"/>
        </w:rPr>
        <w:t>Overall user permissions will be managed through Active Directory Group Policies and they will be defined in conjunction with EuroBank..</w:t>
      </w:r>
    </w:p>
    <w:p>
      <w:pPr>
        <w:pStyle w:val="Normal"/>
        <w:spacing w:before="0" w:after="0"/>
        <w:jc w:val="both"/>
        <w:rPr>
          <w:lang w:val="en-GB"/>
        </w:rPr>
      </w:pPr>
      <w:r>
        <w:rPr>
          <w:lang w:val="en-GB"/>
        </w:rPr>
      </w:r>
    </w:p>
    <w:p>
      <w:pPr>
        <w:pStyle w:val="Normal"/>
        <w:spacing w:before="0" w:after="0"/>
        <w:jc w:val="both"/>
        <w:rPr>
          <w:lang w:val="en-GB"/>
        </w:rPr>
      </w:pPr>
      <w:r>
        <w:rPr>
          <w:lang w:val="en-GB"/>
        </w:rPr>
        <w:t>The PST Supplier will, where EuroBank Policies require, implement and maintain additional hardening measures for Windows servers by defining addition group policies for Windows servers in Active directory. An example of such measures is to rename the local administrator user ID on critical servers, to further prevent illegal access and hacking attempts.</w:t>
      </w:r>
    </w:p>
    <w:p>
      <w:pPr>
        <w:pStyle w:val="Normal"/>
        <w:spacing w:before="0" w:after="0"/>
        <w:jc w:val="both"/>
        <w:rPr>
          <w:lang w:val="en-GB"/>
        </w:rPr>
      </w:pPr>
      <w:r>
        <w:rPr>
          <w:lang w:val="en-GB"/>
        </w:rPr>
      </w:r>
    </w:p>
    <w:p>
      <w:pPr>
        <w:pStyle w:val="Normal"/>
        <w:spacing w:before="0" w:after="0"/>
        <w:jc w:val="both"/>
        <w:rPr>
          <w:lang w:val="en-GB"/>
        </w:rPr>
      </w:pPr>
      <w:r>
        <w:rPr>
          <w:lang w:val="en-GB"/>
        </w:rPr>
      </w:r>
    </w:p>
    <w:p>
      <w:pPr>
        <w:pStyle w:val="Normal"/>
        <w:spacing w:before="0" w:after="0"/>
        <w:jc w:val="both"/>
        <w:rPr>
          <w:lang w:val="en-GB"/>
        </w:rPr>
      </w:pPr>
      <w:r>
        <w:rPr>
          <w:lang w:val="en-GB"/>
        </w:rPr>
        <w:t>The PST Supplier’s responsibilities include:</w:t>
      </w:r>
    </w:p>
    <w:p>
      <w:pPr>
        <w:pStyle w:val="Normal"/>
        <w:spacing w:before="0" w:after="0"/>
        <w:jc w:val="both"/>
        <w:rPr>
          <w:lang w:val="en-GB"/>
        </w:rPr>
      </w:pPr>
      <w:r>
        <w:rPr>
          <w:lang w:val="en-GB"/>
        </w:rPr>
      </w:r>
    </w:p>
    <w:p>
      <w:pPr>
        <w:pStyle w:val="Normal"/>
        <w:spacing w:before="0" w:after="0"/>
        <w:ind w:hanging="720" w:start="720" w:end="0"/>
        <w:jc w:val="both"/>
        <w:rPr/>
      </w:pPr>
      <w:r>
        <w:rPr>
          <w:lang w:val="en-GB"/>
        </w:rPr>
        <w:t>a)</w:t>
        <w:tab/>
        <w:t xml:space="preserve">Support update provision to the virus-protection System Software as needed or as directed by 2IM, according to the SLAs. </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b)</w:t>
        <w:tab/>
        <w:t>Providing the capability to scan diskettes or hard drives for non authorised System Software upon demand.</w:t>
      </w:r>
    </w:p>
    <w:p>
      <w:pPr>
        <w:pStyle w:val="Heading2Numbered"/>
        <w:numPr>
          <w:ilvl w:val="1"/>
          <w:numId w:val="2"/>
        </w:numPr>
        <w:ind w:hanging="0" w:start="0"/>
        <w:jc w:val="both"/>
        <w:rPr>
          <w:sz w:val="22"/>
          <w:szCs w:val="22"/>
          <w:lang w:val="en-GB"/>
        </w:rPr>
      </w:pPr>
      <w:bookmarkStart w:id="5" w:name="__RefHeading___Toc150051192"/>
      <w:bookmarkEnd w:id="5"/>
      <w:r>
        <w:rPr>
          <w:sz w:val="22"/>
          <w:szCs w:val="22"/>
          <w:lang w:val="en-GB"/>
        </w:rPr>
        <w:t>Electronic Software Distribution</w:t>
      </w:r>
    </w:p>
    <w:p>
      <w:pPr>
        <w:pStyle w:val="Normal"/>
        <w:spacing w:before="0" w:after="0"/>
        <w:jc w:val="both"/>
        <w:rPr/>
      </w:pPr>
      <w:r>
        <w:rPr>
          <w:lang w:val="en-GB"/>
        </w:rPr>
        <w:t>For System Software distribution, the Applications Services PST Supplier is single point of entry for all System Software service layers, including CSL, COSL, BSL &amp; ROSL</w:t>
      </w:r>
    </w:p>
    <w:p>
      <w:pPr>
        <w:pStyle w:val="Normal"/>
        <w:spacing w:before="0" w:after="0"/>
        <w:jc w:val="both"/>
        <w:rPr>
          <w:lang w:val="en-GB"/>
        </w:rPr>
      </w:pPr>
      <w:r>
        <w:rPr>
          <w:lang w:val="en-GB"/>
        </w:rPr>
      </w:r>
    </w:p>
    <w:p>
      <w:pPr>
        <w:pStyle w:val="Normal"/>
        <w:spacing w:before="0" w:after="0"/>
        <w:jc w:val="both"/>
        <w:rPr/>
      </w:pPr>
      <w:r>
        <w:rPr>
          <w:lang w:val="en-GB"/>
        </w:rPr>
        <w:t xml:space="preserve">Subject to agreement with EuroBank, based on a business case the PST Supplier will implement Microsoft System Management Server 2003 (‘SMS’) or equivalent to enable System Software distribution and Windows Server 2003 R2 or equivalent will be installed. </w:t>
      </w:r>
    </w:p>
    <w:p>
      <w:pPr>
        <w:pStyle w:val="Normal"/>
        <w:spacing w:before="0" w:after="0"/>
        <w:jc w:val="both"/>
        <w:rPr>
          <w:lang w:val="en-GB"/>
        </w:rPr>
      </w:pPr>
      <w:r>
        <w:rPr>
          <w:lang w:val="en-GB"/>
        </w:rPr>
      </w:r>
    </w:p>
    <w:p>
      <w:pPr>
        <w:pStyle w:val="Normal"/>
        <w:spacing w:before="0" w:after="0"/>
        <w:jc w:val="both"/>
        <w:rPr/>
      </w:pPr>
      <w:r>
        <w:rPr>
          <w:lang w:val="en-GB"/>
        </w:rPr>
        <w:t>The PST Supplier will use Microsoft Server 2003 R2 or equivalent to implement the new distributed file system (“DFS”) replication mechanism called Remote Differential Compression (“RDC”). This solution will be used to address slow bandwidth problems to Branch Offices. Subject to the Change Control Procedure, each Branch Office will be equipped with an R2 cache server or equivalent. The R2 cache server or equivalent serves Branch Office print queues, user home directories, Branch Office user roaming profiles, SMS or equivalent distribution point (courier mode, feed through the new RDC), and “EPO” or equivalent client access point. The data required for this service is synchronised using RDC although, if required the relevant PST Supplier staff can upload large amounts of data, in agreement with EuroBank, using a high density medium such as DVDs.</w:t>
      </w:r>
    </w:p>
    <w:p>
      <w:pPr>
        <w:pStyle w:val="Normal"/>
        <w:spacing w:before="0" w:after="0"/>
        <w:jc w:val="both"/>
        <w:rPr>
          <w:lang w:val="en-GB"/>
        </w:rPr>
      </w:pPr>
      <w:r>
        <w:rPr>
          <w:lang w:val="en-GB"/>
        </w:rPr>
      </w:r>
    </w:p>
    <w:p>
      <w:pPr>
        <w:pStyle w:val="Normal"/>
        <w:spacing w:before="0" w:after="0"/>
        <w:jc w:val="both"/>
        <w:rPr/>
      </w:pPr>
      <w:r>
        <w:rPr>
          <w:lang w:val="en-GB"/>
        </w:rPr>
        <w:t>The PST Supplier will protect the data on these servers with encrypted file system (“EFS”) and defined security groups – this will make the server more secure in case of theft, and reduce the need to have a protected server room. The PST Supplier will apply this technology to specific types of group data, including but not limited to read-only databases and office documents, in agreement with EuroBank. This implementation addresses System Software distribution issues on Branch Offices, typically remotely connected. As result, users on Branch Offices will experience full system performance during System Software installation activities.</w:t>
      </w:r>
    </w:p>
    <w:p>
      <w:pPr>
        <w:pStyle w:val="Normal"/>
        <w:spacing w:before="0" w:after="0"/>
        <w:jc w:val="both"/>
        <w:rPr>
          <w:lang w:val="en-GB"/>
        </w:rPr>
      </w:pPr>
      <w:r>
        <w:rPr>
          <w:lang w:val="en-GB"/>
        </w:rPr>
      </w:r>
    </w:p>
    <w:p>
      <w:pPr>
        <w:pStyle w:val="Normal"/>
        <w:spacing w:before="0" w:after="0"/>
        <w:jc w:val="both"/>
        <w:rPr/>
      </w:pPr>
      <w:r>
        <w:rPr>
          <w:lang w:val="en-GB"/>
        </w:rPr>
        <w:t>The System Software Package will firstly be fully downloaded to the client, and then installed using standard SMS methods. The DVD will be made available where the quantity of data makes a remote install ineffective.</w:t>
      </w:r>
    </w:p>
    <w:p>
      <w:pPr>
        <w:pStyle w:val="Normal"/>
        <w:spacing w:before="0" w:after="0"/>
        <w:jc w:val="both"/>
        <w:rPr>
          <w:lang w:val="en-GB"/>
        </w:rPr>
      </w:pPr>
      <w:r>
        <w:rPr>
          <w:lang w:val="en-GB"/>
        </w:rPr>
      </w:r>
    </w:p>
    <w:p>
      <w:pPr>
        <w:pStyle w:val="Normal"/>
        <w:spacing w:before="0" w:after="0"/>
        <w:jc w:val="both"/>
        <w:rPr/>
      </w:pPr>
      <w:r>
        <w:rPr>
          <w:lang w:val="en-GB"/>
        </w:rPr>
        <w:t>The PST Supplier will use SMS or equivalent Collections to enable the ‘pilot / 10 / 30 / 60%’ distribution rule for mandatory assignments. SMS collections for this will always be selected manually. For Central OSL and the Regional OSL (and BSL when required) components, the PST Supplier will not use mandatory assignment to enable automated System Software deployment. Instead the PST Supplier will make this process semi automatic, enabling an automatic installation once the user has selected the System Software to avoid unnecessary software installation during roaming.</w:t>
      </w:r>
    </w:p>
    <w:p>
      <w:pPr>
        <w:pStyle w:val="Normal"/>
        <w:spacing w:before="0" w:after="0"/>
        <w:jc w:val="both"/>
        <w:rPr>
          <w:lang w:val="en-GB"/>
        </w:rPr>
      </w:pPr>
      <w:r>
        <w:rPr>
          <w:lang w:val="en-GB"/>
        </w:rPr>
      </w:r>
    </w:p>
    <w:p>
      <w:pPr>
        <w:pStyle w:val="Normal"/>
        <w:spacing w:before="0" w:after="0"/>
        <w:jc w:val="both"/>
        <w:rPr>
          <w:lang w:val="en-GB"/>
        </w:rPr>
      </w:pPr>
      <w:r>
        <w:rPr>
          <w:lang w:val="en-GB"/>
        </w:rPr>
        <w:t>However note that for patches &amp; fixes the installation will be mandatory for all users.</w:t>
      </w:r>
    </w:p>
    <w:p>
      <w:pPr>
        <w:pStyle w:val="Normal"/>
        <w:spacing w:before="0" w:after="0"/>
        <w:jc w:val="both"/>
        <w:rPr>
          <w:lang w:val="en-GB"/>
        </w:rPr>
      </w:pPr>
      <w:r>
        <w:rPr>
          <w:lang w:val="en-GB"/>
        </w:rPr>
      </w:r>
    </w:p>
    <w:p>
      <w:pPr>
        <w:pStyle w:val="Normal"/>
        <w:spacing w:before="0" w:after="0"/>
        <w:jc w:val="both"/>
        <w:rPr>
          <w:lang w:val="en-GB"/>
        </w:rPr>
      </w:pPr>
      <w:r>
        <w:rPr>
          <w:lang w:val="en-GB"/>
        </w:rPr>
        <w:t>The PST Supplier’s responsibilities include:</w:t>
      </w:r>
    </w:p>
    <w:p>
      <w:pPr>
        <w:pStyle w:val="Normal"/>
        <w:spacing w:before="0" w:after="0"/>
        <w:jc w:val="both"/>
        <w:rPr>
          <w:lang w:val="en-GB"/>
        </w:rPr>
      </w:pPr>
      <w:r>
        <w:rPr>
          <w:lang w:val="en-GB"/>
        </w:rPr>
      </w:r>
    </w:p>
    <w:p>
      <w:pPr>
        <w:pStyle w:val="Normal"/>
        <w:spacing w:before="0" w:after="0"/>
        <w:ind w:hanging="720" w:start="720" w:end="0"/>
        <w:jc w:val="both"/>
        <w:rPr/>
      </w:pPr>
      <w:r>
        <w:rPr>
          <w:lang w:val="en-GB"/>
        </w:rPr>
        <w:t>a)</w:t>
        <w:tab/>
        <w:t>For the relevant scope, where applicable and in agreement with 2IM, implementing an electronic System Software distribution system that effectively and efficiently distributes new software to LAN-connected workstations located at EuroBank Sites and to remotely connected workstations in a timely manner. This may require alternative transport methods (for example, CDs, etc.) due to size and bandwidth parameters. The distribution strategy will be determined on criteria such as service layer, scale and size (number of target users/machines, spreading possible risks (first pilot distribution then 10/30/60% rule) network capacity, prevention of big bang and possible reboot scenarios.</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b)</w:t>
        <w:tab/>
        <w:t>Scheduling relevant System Software distributions to minimise Authorised User disruption, and without Authorised User assistance and interaction, in order to support time-critical release upgrades, deploy urgent patches, and maintain current Projects.</w:t>
      </w:r>
    </w:p>
    <w:p>
      <w:pPr>
        <w:pStyle w:val="Normal"/>
        <w:spacing w:before="0" w:after="0"/>
        <w:ind w:hanging="720" w:start="720" w:end="0"/>
        <w:jc w:val="both"/>
        <w:rPr>
          <w:lang w:val="en-GB"/>
        </w:rPr>
      </w:pPr>
      <w:r>
        <w:rPr>
          <w:lang w:val="en-GB"/>
        </w:rPr>
      </w:r>
    </w:p>
    <w:p>
      <w:pPr>
        <w:pStyle w:val="Normal"/>
        <w:spacing w:before="0" w:after="0"/>
        <w:ind w:start="720" w:end="0"/>
        <w:jc w:val="both"/>
        <w:rPr>
          <w:lang w:val="en-GB"/>
        </w:rPr>
      </w:pPr>
      <w:r>
        <w:rPr>
          <w:lang w:val="en-GB"/>
        </w:rPr>
        <w:t>The precise timetable for releases will partly be defined by a risk assessment undertaken by the PST Supplier – for example virus updates are less risky than new application installations so will potentially be released faster. The PST Supplier will not release anything unless agreed with EuroBank using the Change Advisory Board.</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c)</w:t>
        <w:tab/>
        <w:t>Employing an automated System Software distribution solution that ensures consistent and efficient software deployments for software configuration changes. (e.g. building of Packages)</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d)</w:t>
        <w:tab/>
        <w:t>Providing System Software distribution processes as defined by 2IM to support different Authorised User environments in an automated way (for example, EuroBank LAN and WAN, home offices, Authorised Users working remotely, etc.).</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e)</w:t>
        <w:tab/>
        <w:t>Providing a transparent deployment mechanism independent from the distribution media (for example, LAN, WAN, dial-up, CD ROM, etc.).</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f)</w:t>
        <w:tab/>
        <w:t>As approved by 2IM, designing automated distributions so that the automated System Software deployment during a dial-up session does not require Authorised User input.</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g)</w:t>
        <w:tab/>
        <w:t>With the approval of 2IM, providing processes to link System Software distributions and workstation inventories in order to verify the success of local and global deployments and to ensure that the configurations are implemented and tracked.</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h)</w:t>
        <w:tab/>
        <w:t>Packaging and testing of the 'produced' Package of all desktop/laptop System Software In Scope of the Bundle, (e.g. packaging of all relevant Service Layers), fine-tuning Package, document Package findings, review the System Software (technically) by using the conflict database and carry out a peer review (install, de-install and document the Package).</w:t>
      </w:r>
    </w:p>
    <w:p>
      <w:pPr>
        <w:pStyle w:val="Normal"/>
        <w:spacing w:before="0" w:after="0"/>
        <w:jc w:val="both"/>
        <w:rPr>
          <w:lang w:val="en-GB"/>
        </w:rPr>
      </w:pPr>
      <w:r>
        <w:rPr>
          <w:lang w:val="en-GB"/>
        </w:rPr>
      </w:r>
    </w:p>
    <w:p>
      <w:pPr>
        <w:pStyle w:val="Heading2Numbered"/>
        <w:numPr>
          <w:ilvl w:val="1"/>
          <w:numId w:val="2"/>
        </w:numPr>
        <w:ind w:hanging="0" w:start="0"/>
        <w:jc w:val="both"/>
        <w:rPr>
          <w:sz w:val="22"/>
          <w:szCs w:val="22"/>
          <w:lang w:val="en-GB"/>
        </w:rPr>
      </w:pPr>
      <w:bookmarkStart w:id="6" w:name="__RefHeading___Toc150051193"/>
      <w:bookmarkEnd w:id="6"/>
      <w:r>
        <w:rPr>
          <w:sz w:val="22"/>
          <w:szCs w:val="22"/>
          <w:lang w:val="en-GB"/>
        </w:rPr>
        <w:t>License Management and Compliance</w:t>
      </w:r>
    </w:p>
    <w:p>
      <w:pPr>
        <w:pStyle w:val="Normal"/>
        <w:spacing w:before="0" w:after="0"/>
        <w:jc w:val="both"/>
        <w:rPr/>
      </w:pPr>
      <w:r>
        <w:rPr>
          <w:lang w:val="en-GB"/>
        </w:rPr>
        <w:t>The PST Supplier will use SMS 2003 software inventory (or equivalent) to detect all installed System Software on any WPS workstation. The information collected by the software inventory scan will be stored in the SMS or equivalent Database. The PST Supplier will report on the number of installed applications at regular intervals as agreed with EuroBank. The PST Supplier will compare the information gathered about the number of installations per type of System Software with information about the maximum allowed number of installations per type of software, provided by EuroBank via 2IM.</w:t>
      </w:r>
    </w:p>
    <w:p>
      <w:pPr>
        <w:pStyle w:val="Normal"/>
        <w:spacing w:before="0" w:after="0"/>
        <w:jc w:val="both"/>
        <w:rPr>
          <w:lang w:val="en-GB"/>
        </w:rPr>
      </w:pPr>
      <w:r>
        <w:rPr>
          <w:lang w:val="en-GB"/>
        </w:rPr>
      </w:r>
    </w:p>
    <w:p>
      <w:pPr>
        <w:pStyle w:val="Normal"/>
        <w:spacing w:before="0" w:after="0"/>
        <w:jc w:val="both"/>
        <w:rPr/>
      </w:pPr>
      <w:r>
        <w:rPr>
          <w:lang w:val="en-GB"/>
        </w:rPr>
        <w:t>The software inventory report will be compared to authorisations in the Active Directory. Deviations, either unauthorised or non-supported software will be detected and reported to EuroBank on an agreed cycle. The software inventory report will also be compared with a generic blacklist of software created in collaboration with EuroBank.</w:t>
      </w:r>
    </w:p>
    <w:p>
      <w:pPr>
        <w:pStyle w:val="Normal"/>
        <w:spacing w:before="0" w:after="0"/>
        <w:jc w:val="both"/>
        <w:rPr>
          <w:lang w:val="en-GB"/>
        </w:rPr>
      </w:pPr>
      <w:r>
        <w:rPr>
          <w:lang w:val="en-GB"/>
        </w:rPr>
      </w:r>
    </w:p>
    <w:p>
      <w:pPr>
        <w:pStyle w:val="Normal"/>
        <w:spacing w:before="0" w:after="0"/>
        <w:jc w:val="both"/>
        <w:rPr/>
      </w:pPr>
      <w:r>
        <w:rPr>
          <w:lang w:val="en-GB"/>
        </w:rPr>
        <w:t xml:space="preserve">Where EuroBank is financially responsible for the software, the PST Supplier will proactively report and advise on trends in System Software licenses in use, allowing EuroBank and 2IM sufficient time to plan and take any relevant action. Where necessary action will be the forced de-installation by the PST Supplier of specific software on certain computers – the exact approach will be defined and agreed between EuroBank and the 2IM as an activity during the transition with milestones defined as part of the transition plan. </w:t>
      </w:r>
    </w:p>
    <w:p>
      <w:pPr>
        <w:pStyle w:val="Normal"/>
        <w:spacing w:before="0" w:after="0"/>
        <w:jc w:val="both"/>
        <w:rPr>
          <w:lang w:val="en-GB"/>
        </w:rPr>
      </w:pPr>
      <w:r>
        <w:rPr>
          <w:lang w:val="en-GB"/>
        </w:rPr>
      </w:r>
    </w:p>
    <w:p>
      <w:pPr>
        <w:pStyle w:val="Normal"/>
        <w:spacing w:before="0" w:after="0"/>
        <w:jc w:val="both"/>
        <w:rPr/>
      </w:pPr>
      <w:r>
        <w:rPr>
          <w:lang w:val="en-GB"/>
        </w:rPr>
        <w:t>The PST Supplier will assume full financial responsibility for that System Software in use exclusively by the PST Supplier and PST Supplier partners that is required internally to deliver the SWS services. This class of System Software is not likely to be used by EuroBank Authorised Users. The PST Supplier will manage and guard the number of licenses and take corrective action at the PST Supplier’s expense when needed.</w:t>
      </w:r>
    </w:p>
    <w:p>
      <w:pPr>
        <w:pStyle w:val="Normal"/>
        <w:spacing w:before="0" w:after="0"/>
        <w:jc w:val="both"/>
        <w:rPr>
          <w:lang w:val="en-GB"/>
        </w:rPr>
      </w:pPr>
      <w:r>
        <w:rPr>
          <w:lang w:val="en-GB"/>
        </w:rPr>
      </w:r>
    </w:p>
    <w:p>
      <w:pPr>
        <w:pStyle w:val="Normal"/>
        <w:spacing w:before="0" w:after="0"/>
        <w:jc w:val="both"/>
        <w:rPr/>
      </w:pPr>
      <w:r>
        <w:rPr>
          <w:lang w:val="en-GB"/>
        </w:rPr>
        <w:t xml:space="preserve">The PST Supplier will support EuroBank in managing the System Software vendor licensing agreements by analysing the reports created through SMS 2003 Software (or equivalent) – this will include, for example, metering reporting, and measuring the actual software use on workstations. </w:t>
      </w:r>
    </w:p>
    <w:p>
      <w:pPr>
        <w:pStyle w:val="Normal"/>
        <w:spacing w:before="0" w:after="0"/>
        <w:jc w:val="both"/>
        <w:rPr>
          <w:lang w:val="en-GB"/>
        </w:rPr>
      </w:pPr>
      <w:r>
        <w:rPr>
          <w:lang w:val="en-GB"/>
        </w:rPr>
      </w:r>
    </w:p>
    <w:p>
      <w:pPr>
        <w:pStyle w:val="Normal"/>
        <w:spacing w:before="0" w:after="0"/>
        <w:jc w:val="both"/>
        <w:rPr>
          <w:lang w:val="en-GB"/>
        </w:rPr>
      </w:pPr>
      <w:r>
        <w:rPr>
          <w:lang w:val="en-GB"/>
        </w:rPr>
        <w:t xml:space="preserve">As part of innovation services the PST will advise on future solutions as they are released onto the market. </w:t>
      </w:r>
    </w:p>
    <w:p>
      <w:pPr>
        <w:pStyle w:val="Normal"/>
        <w:spacing w:before="0" w:after="0"/>
        <w:jc w:val="both"/>
        <w:rPr>
          <w:lang w:val="en-GB"/>
        </w:rPr>
      </w:pPr>
      <w:r>
        <w:rPr>
          <w:lang w:val="en-GB"/>
        </w:rPr>
      </w:r>
    </w:p>
    <w:p>
      <w:pPr>
        <w:pStyle w:val="Normal"/>
        <w:spacing w:before="0" w:after="0"/>
        <w:jc w:val="both"/>
        <w:rPr>
          <w:lang w:val="en-GB"/>
        </w:rPr>
      </w:pPr>
      <w:r>
        <w:rPr>
          <w:lang w:val="en-GB"/>
        </w:rPr>
        <w:t>The PST Supplier’s responsibilities include:</w:t>
      </w:r>
    </w:p>
    <w:p>
      <w:pPr>
        <w:pStyle w:val="Normal"/>
        <w:spacing w:before="0" w:after="0"/>
        <w:jc w:val="both"/>
        <w:rPr>
          <w:lang w:val="en-GB"/>
        </w:rPr>
      </w:pPr>
      <w:r>
        <w:rPr>
          <w:lang w:val="en-GB"/>
        </w:rPr>
      </w:r>
    </w:p>
    <w:p>
      <w:pPr>
        <w:pStyle w:val="Normal"/>
        <w:spacing w:before="0" w:after="0"/>
        <w:ind w:hanging="720" w:start="720" w:end="0"/>
        <w:jc w:val="both"/>
        <w:rPr/>
      </w:pPr>
      <w:r>
        <w:rPr>
          <w:lang w:val="en-GB"/>
        </w:rPr>
        <w:t>a)</w:t>
        <w:tab/>
        <w:t>As defined by 2IM, managing compliance with all System Software licenses by monitoring and auditing all software use, regardless of financial responsibility for the System Software.</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b)</w:t>
        <w:tab/>
        <w:t>Being proactive in monitoring the use of the System Software in order to maintain strict compliance.</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c)</w:t>
        <w:tab/>
        <w:t>Immediately notifying and advising 2IM and EuroBank of all Systeam Software license compliance issues associated with the Services and EuroBank retained software.</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d)</w:t>
        <w:tab/>
        <w:t>Where the PST Supplier is financially responsible for System Software associated with the Services, providing the software and acquiring the correct number of the licenses to be compliant with Third Party Vendor requirements.</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e)</w:t>
        <w:tab/>
        <w:t>Where EuroBank is financially responsible for System Software, EuroBank will notify 2IM of the number of Authorised Users allowed to use the software, along with any other pertinent licensing and use information related to the System Software.</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f)</w:t>
        <w:tab/>
        <w:t>Monitoring the Equipment for the presence of any unauthorised or non-standard software.</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g)</w:t>
        <w:tab/>
        <w:t>Utilising tools such as an enterprise management system and remote monitoring agents to assist in its monitoring efforts, subject to 2IM approval of all such tools.</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h)</w:t>
        <w:tab/>
        <w:t>To the extent enabled by the 2IM-approved enterprise management system provided by the PST Supplier, defining and checking for particular software signatures.</w:t>
      </w:r>
    </w:p>
    <w:p>
      <w:pPr>
        <w:pStyle w:val="Heading1Numbered"/>
        <w:numPr>
          <w:ilvl w:val="0"/>
          <w:numId w:val="2"/>
        </w:numPr>
        <w:ind w:hanging="0" w:start="0"/>
        <w:jc w:val="both"/>
        <w:rPr>
          <w:sz w:val="22"/>
          <w:szCs w:val="22"/>
          <w:lang w:val="en-GB"/>
        </w:rPr>
      </w:pPr>
      <w:bookmarkStart w:id="7" w:name="__RefHeading___Toc150051194"/>
      <w:bookmarkEnd w:id="7"/>
      <w:r>
        <w:rPr>
          <w:sz w:val="22"/>
          <w:szCs w:val="22"/>
          <w:lang w:val="en-GB"/>
        </w:rPr>
        <w:t>APPLICATION SERVICES</w:t>
      </w:r>
    </w:p>
    <w:p>
      <w:pPr>
        <w:pStyle w:val="Normal"/>
        <w:spacing w:before="0" w:after="0"/>
        <w:jc w:val="both"/>
        <w:rPr/>
      </w:pPr>
      <w:r>
        <w:rPr>
          <w:lang w:val="en-GB"/>
        </w:rPr>
        <w:t>This section describes the regional (ROSL) and business System Software (BSL) operations, in scope for EUC Application Services.</w:t>
      </w:r>
    </w:p>
    <w:p>
      <w:pPr>
        <w:pStyle w:val="Normal"/>
        <w:spacing w:before="0" w:after="0"/>
        <w:jc w:val="both"/>
        <w:rPr>
          <w:lang w:val="en-GB"/>
        </w:rPr>
      </w:pPr>
      <w:r>
        <w:rPr>
          <w:lang w:val="en-GB"/>
        </w:rPr>
      </w:r>
    </w:p>
    <w:p>
      <w:pPr>
        <w:pStyle w:val="Normal"/>
        <w:spacing w:before="0" w:after="0"/>
        <w:jc w:val="both"/>
        <w:rPr>
          <w:b/>
          <w:lang w:val="en-GB"/>
        </w:rPr>
      </w:pPr>
      <w:r>
        <w:rPr>
          <w:b/>
          <w:lang w:val="en-GB"/>
        </w:rPr>
        <w:t>Meeting the standard product requirements for application services</w:t>
      </w:r>
    </w:p>
    <w:p>
      <w:pPr>
        <w:pStyle w:val="Normal"/>
        <w:spacing w:before="0" w:after="0"/>
        <w:jc w:val="both"/>
        <w:rPr>
          <w:b/>
          <w:lang w:val="en-GB"/>
        </w:rPr>
      </w:pPr>
      <w:r>
        <w:rPr>
          <w:b/>
          <w:lang w:val="en-GB"/>
        </w:rPr>
      </w:r>
    </w:p>
    <w:p>
      <w:pPr>
        <w:pStyle w:val="Normal"/>
        <w:spacing w:before="0" w:after="0"/>
        <w:jc w:val="both"/>
        <w:rPr/>
      </w:pPr>
      <w:r>
        <w:rPr>
          <w:lang w:val="en-GB"/>
        </w:rPr>
        <w:t>To ensure that the Standard Product requirements for Application Services are met, the PST Supplier will provide life-cycle management of the specific software used by EuroBank. To establish life-cycle management of the software the following components must be in place:</w:t>
      </w:r>
    </w:p>
    <w:p>
      <w:pPr>
        <w:pStyle w:val="Normal"/>
        <w:spacing w:before="0" w:after="0"/>
        <w:jc w:val="both"/>
        <w:rPr>
          <w:lang w:val="en-GB"/>
        </w:rPr>
      </w:pPr>
      <w:r>
        <w:rPr>
          <w:lang w:val="en-GB"/>
        </w:rPr>
      </w:r>
    </w:p>
    <w:p>
      <w:pPr>
        <w:pStyle w:val="Normal"/>
        <w:spacing w:before="0" w:after="0"/>
        <w:ind w:start="720" w:end="0"/>
        <w:jc w:val="both"/>
        <w:rPr>
          <w:u w:val="single"/>
          <w:lang w:val="en-GB"/>
        </w:rPr>
      </w:pPr>
      <w:r>
        <w:rPr>
          <w:u w:val="single"/>
          <w:lang w:val="en-GB"/>
        </w:rPr>
        <w:t>Managed Environment (to enable Managed Processes)</w:t>
      </w:r>
    </w:p>
    <w:p>
      <w:pPr>
        <w:pStyle w:val="Normal"/>
        <w:spacing w:before="0" w:after="0"/>
        <w:ind w:start="720" w:end="0"/>
        <w:jc w:val="both"/>
        <w:rPr>
          <w:u w:val="single"/>
          <w:lang w:val="en-GB"/>
        </w:rPr>
      </w:pPr>
      <w:r>
        <w:rPr>
          <w:u w:val="single"/>
          <w:lang w:val="en-GB"/>
        </w:rPr>
      </w:r>
    </w:p>
    <w:p>
      <w:pPr>
        <w:pStyle w:val="Normal"/>
        <w:spacing w:before="0" w:after="0"/>
        <w:ind w:hanging="720" w:start="1440" w:end="0"/>
        <w:jc w:val="both"/>
        <w:rPr/>
      </w:pPr>
      <w:r>
        <w:rPr>
          <w:lang w:val="en-GB"/>
        </w:rPr>
        <w:t>•</w:t>
        <w:tab/>
        <w:t>A managed scripting &amp; packaging Infrastructure based on the functionality requirements of the EuroBank organisation.</w:t>
      </w:r>
      <w:r>
        <w:rPr>
          <w:lang w:val="en-GB"/>
        </w:rPr>
      </w:r>
    </w:p>
    <w:p>
      <w:pPr>
        <w:pStyle w:val="Normal"/>
        <w:spacing w:before="0" w:after="0"/>
        <w:ind w:hanging="720" w:start="1440" w:end="0"/>
        <w:jc w:val="both"/>
        <w:rPr>
          <w:lang w:val="en-GB"/>
        </w:rPr>
      </w:pPr>
      <w:r>
        <w:rPr>
          <w:lang w:val="en-GB"/>
        </w:rPr>
      </w:r>
    </w:p>
    <w:p>
      <w:pPr>
        <w:pStyle w:val="Normal"/>
        <w:spacing w:before="0" w:after="0"/>
        <w:ind w:hanging="720" w:start="1440" w:end="0"/>
        <w:jc w:val="both"/>
        <w:rPr/>
      </w:pPr>
      <w:r>
        <w:rPr>
          <w:lang w:val="en-GB"/>
        </w:rPr>
        <w:t>•</w:t>
        <w:tab/>
        <w:t>A managed set of standardised and consolidated System Software products to support the controlled release of products into the EuroBank environment</w:t>
      </w:r>
      <w:r>
        <w:rPr>
          <w:lang w:val="en-GB"/>
        </w:rPr>
      </w:r>
    </w:p>
    <w:p>
      <w:pPr>
        <w:pStyle w:val="Normal"/>
        <w:spacing w:before="0" w:after="0"/>
        <w:ind w:hanging="720" w:start="1440" w:end="0"/>
        <w:jc w:val="both"/>
        <w:rPr>
          <w:lang w:val="en-GB"/>
        </w:rPr>
      </w:pPr>
      <w:r>
        <w:rPr>
          <w:lang w:val="en-GB"/>
        </w:rPr>
      </w:r>
    </w:p>
    <w:p>
      <w:pPr>
        <w:pStyle w:val="Normal"/>
        <w:spacing w:before="0" w:after="0"/>
        <w:ind w:hanging="720" w:start="1440" w:end="0"/>
        <w:jc w:val="both"/>
        <w:rPr/>
      </w:pPr>
      <w:r>
        <w:rPr>
          <w:lang w:val="en-GB"/>
        </w:rPr>
        <w:t>•</w:t>
        <w:tab/>
        <w:t>A managed automated software control &amp; distribution mechanism based on the EuroBank design documents and the PST Supplier reference architecture for the front and back end components of the EuroBank System Software environment.</w:t>
      </w:r>
      <w:r>
        <w:rPr>
          <w:lang w:val="en-GB"/>
        </w:rPr>
      </w:r>
    </w:p>
    <w:p>
      <w:pPr>
        <w:pStyle w:val="Normal"/>
        <w:spacing w:before="0" w:after="0"/>
        <w:ind w:start="720" w:end="0"/>
        <w:jc w:val="both"/>
        <w:rPr>
          <w:lang w:val="en-GB"/>
        </w:rPr>
      </w:pPr>
      <w:r>
        <w:rPr>
          <w:lang w:val="en-GB"/>
        </w:rPr>
      </w:r>
    </w:p>
    <w:p>
      <w:pPr>
        <w:pStyle w:val="Normal"/>
        <w:spacing w:before="0" w:after="0"/>
        <w:ind w:start="720" w:end="0"/>
        <w:jc w:val="both"/>
        <w:rPr/>
      </w:pPr>
      <w:r>
        <w:rPr>
          <w:lang w:val="en-GB"/>
        </w:rPr>
        <w:t>The PST Supplier will, for those System Software layers explicitly in scope, by using the current environment as a starting point, create or enhance the managed environment; managed scripting &amp; packaging Infrastructure; managed set of standardised and consolidated System Software products; and automated software control &amp; distribution mechanism.</w:t>
      </w:r>
    </w:p>
    <w:p>
      <w:pPr>
        <w:pStyle w:val="Normal"/>
        <w:spacing w:before="0" w:after="0"/>
        <w:ind w:start="720" w:end="0"/>
        <w:jc w:val="both"/>
        <w:rPr>
          <w:lang w:val="en-GB"/>
        </w:rPr>
      </w:pPr>
      <w:r>
        <w:rPr>
          <w:lang w:val="en-GB"/>
        </w:rPr>
      </w:r>
    </w:p>
    <w:p>
      <w:pPr>
        <w:pStyle w:val="Normal"/>
        <w:spacing w:before="0" w:after="0"/>
        <w:ind w:start="720" w:end="0"/>
        <w:jc w:val="both"/>
        <w:rPr>
          <w:u w:val="single"/>
          <w:lang w:val="en-GB"/>
        </w:rPr>
      </w:pPr>
      <w:r>
        <w:rPr>
          <w:u w:val="single"/>
          <w:lang w:val="en-GB"/>
        </w:rPr>
        <w:t>Managed Processes (to continue business):</w:t>
      </w:r>
    </w:p>
    <w:p>
      <w:pPr>
        <w:pStyle w:val="Normal"/>
        <w:spacing w:before="0" w:after="0"/>
        <w:ind w:start="720" w:end="0"/>
        <w:jc w:val="both"/>
        <w:rPr>
          <w:u w:val="single"/>
          <w:lang w:val="en-GB"/>
        </w:rPr>
      </w:pPr>
      <w:r>
        <w:rPr>
          <w:u w:val="single"/>
          <w:lang w:val="en-GB"/>
        </w:rPr>
      </w:r>
    </w:p>
    <w:p>
      <w:pPr>
        <w:pStyle w:val="Normal"/>
        <w:spacing w:before="0" w:after="0"/>
        <w:ind w:hanging="720" w:start="1440" w:end="0"/>
        <w:jc w:val="both"/>
        <w:rPr>
          <w:lang w:val="en-GB"/>
        </w:rPr>
      </w:pPr>
      <w:r>
        <w:rPr>
          <w:lang w:val="en-GB"/>
        </w:rPr>
        <w:t>•</w:t>
      </w:r>
      <w:r>
        <w:rPr>
          <w:lang w:val="en-GB"/>
        </w:rPr>
        <w:tab/>
        <w:t>Change &amp; Release governance and detailed processes.</w:t>
      </w:r>
    </w:p>
    <w:p>
      <w:pPr>
        <w:pStyle w:val="Normal"/>
        <w:spacing w:before="0" w:after="0"/>
        <w:ind w:hanging="720" w:start="1440" w:end="0"/>
        <w:jc w:val="both"/>
        <w:rPr>
          <w:lang w:val="en-GB"/>
        </w:rPr>
      </w:pPr>
      <w:r>
        <w:rPr>
          <w:lang w:val="en-GB"/>
        </w:rPr>
      </w:r>
    </w:p>
    <w:p>
      <w:pPr>
        <w:pStyle w:val="Normal"/>
        <w:spacing w:before="0" w:after="0"/>
        <w:ind w:hanging="720" w:start="1440" w:end="0"/>
        <w:jc w:val="both"/>
        <w:rPr/>
      </w:pPr>
      <w:r>
        <w:rPr>
          <w:lang w:val="en-GB"/>
        </w:rPr>
        <w:t>•</w:t>
      </w:r>
      <w:r>
        <w:rPr>
          <w:lang w:val="en-GB"/>
        </w:rPr>
        <w:tab/>
        <w:t>A standard scripting and packaging process, including rollout support.</w:t>
      </w:r>
    </w:p>
    <w:p>
      <w:pPr>
        <w:pStyle w:val="Normal"/>
        <w:spacing w:before="0" w:after="0"/>
        <w:ind w:hanging="720" w:start="1440" w:end="0"/>
        <w:jc w:val="both"/>
        <w:rPr>
          <w:lang w:val="en-GB"/>
        </w:rPr>
      </w:pPr>
      <w:r>
        <w:rPr>
          <w:lang w:val="en-GB"/>
        </w:rPr>
      </w:r>
    </w:p>
    <w:p>
      <w:pPr>
        <w:pStyle w:val="Normal"/>
        <w:spacing w:before="0" w:after="0"/>
        <w:ind w:hanging="720" w:start="1440" w:end="0"/>
        <w:jc w:val="both"/>
        <w:rPr/>
      </w:pPr>
      <w:r>
        <w:rPr>
          <w:lang w:val="en-GB"/>
        </w:rPr>
        <w:t>•</w:t>
      </w:r>
      <w:r>
        <w:rPr>
          <w:lang w:val="en-GB"/>
        </w:rPr>
        <w:tab/>
        <w:t>Standardised end-user support Services based on best practices. All necessary support activities are designed into named Services, based on the ITIL processes and the PST Supplier best practices. These services will be agreed upon in a Service Level Agreement. Where possible, activities must be automated and  the Service Portal should be implemented.</w:t>
      </w:r>
    </w:p>
    <w:p>
      <w:pPr>
        <w:pStyle w:val="Normal"/>
        <w:spacing w:before="0" w:after="0"/>
        <w:ind w:start="720" w:end="0"/>
        <w:jc w:val="both"/>
        <w:rPr>
          <w:lang w:val="en-GB"/>
        </w:rPr>
      </w:pPr>
      <w:r>
        <w:rPr>
          <w:lang w:val="en-GB"/>
        </w:rPr>
      </w:r>
    </w:p>
    <w:p>
      <w:pPr>
        <w:pStyle w:val="Normal"/>
        <w:spacing w:before="0" w:after="0"/>
        <w:jc w:val="both"/>
        <w:rPr/>
      </w:pPr>
      <w:r>
        <w:rPr>
          <w:lang w:val="en-GB"/>
        </w:rPr>
        <w:t>All these components are dealt with elsewhere except managed scripting &amp; packaging infrastructure:</w:t>
      </w:r>
    </w:p>
    <w:p>
      <w:pPr>
        <w:pStyle w:val="Normal"/>
        <w:spacing w:before="0" w:after="0"/>
        <w:jc w:val="both"/>
        <w:rPr>
          <w:lang w:val="en-GB"/>
        </w:rPr>
      </w:pPr>
      <w:r>
        <w:rPr>
          <w:lang w:val="en-GB"/>
        </w:rPr>
      </w:r>
    </w:p>
    <w:p>
      <w:pPr>
        <w:pStyle w:val="Normal"/>
        <w:spacing w:before="0" w:after="0"/>
        <w:jc w:val="both"/>
        <w:rPr>
          <w:b/>
          <w:lang w:val="en-GB"/>
        </w:rPr>
      </w:pPr>
      <w:r>
        <w:rPr>
          <w:b/>
          <w:lang w:val="en-GB"/>
        </w:rPr>
        <w:t>Managed Scripting &amp; Packaging Infrastructure</w:t>
      </w:r>
    </w:p>
    <w:p>
      <w:pPr>
        <w:pStyle w:val="Normal"/>
        <w:spacing w:before="0" w:after="0"/>
        <w:jc w:val="both"/>
        <w:rPr>
          <w:b/>
          <w:lang w:val="en-GB"/>
        </w:rPr>
      </w:pPr>
      <w:r>
        <w:rPr>
          <w:b/>
          <w:lang w:val="en-GB"/>
        </w:rPr>
      </w:r>
    </w:p>
    <w:p>
      <w:pPr>
        <w:pStyle w:val="Normal"/>
        <w:spacing w:before="0" w:after="0"/>
        <w:jc w:val="both"/>
        <w:rPr/>
      </w:pPr>
      <w:r>
        <w:rPr>
          <w:lang w:val="en-GB"/>
        </w:rPr>
        <w:t>As described above, the PST Supplier will implement this infrastructure (in accordance with the transition plan) enabling initial application set-ups, performing compliancy analysis, scripting &amp; packaging of applications and testing of Packages (installation sets). The infrastructure will reflect the characteristics of the EuroBank System Software environment and longer term goals. Part of the infrastructure will be a conflict database. Per application all relevant information is maintained, such as, but not limited to:</w:t>
      </w:r>
    </w:p>
    <w:p>
      <w:pPr>
        <w:pStyle w:val="Normal"/>
        <w:spacing w:before="0" w:after="0"/>
        <w:jc w:val="both"/>
        <w:rPr>
          <w:lang w:val="en-GB"/>
        </w:rPr>
      </w:pPr>
      <w:r>
        <w:rPr>
          <w:lang w:val="en-GB"/>
        </w:rPr>
      </w:r>
    </w:p>
    <w:p>
      <w:pPr>
        <w:pStyle w:val="Normal"/>
        <w:spacing w:before="0" w:after="0"/>
        <w:jc w:val="both"/>
        <w:rPr>
          <w:lang w:val="en-GB"/>
        </w:rPr>
      </w:pPr>
      <w:r>
        <w:rPr>
          <w:lang w:val="en-GB"/>
        </w:rPr>
        <w:t>•</w:t>
      </w:r>
      <w:r>
        <w:rPr>
          <w:lang w:val="en-GB"/>
        </w:rPr>
        <w:tab/>
        <w:t>Main functionality.</w:t>
      </w:r>
    </w:p>
    <w:p>
      <w:pPr>
        <w:pStyle w:val="Normal"/>
        <w:spacing w:before="0" w:after="0"/>
        <w:jc w:val="both"/>
        <w:rPr>
          <w:lang w:val="en-GB"/>
        </w:rPr>
      </w:pPr>
      <w:r>
        <w:rPr>
          <w:lang w:val="en-GB"/>
        </w:rPr>
        <w:t>•</w:t>
      </w:r>
      <w:r>
        <w:rPr>
          <w:lang w:val="en-GB"/>
        </w:rPr>
        <w:tab/>
        <w:t>Main characteristics.</w:t>
      </w:r>
    </w:p>
    <w:p>
      <w:pPr>
        <w:pStyle w:val="Normal"/>
        <w:spacing w:before="0" w:after="0"/>
        <w:jc w:val="both"/>
        <w:rPr>
          <w:lang w:val="en-GB"/>
        </w:rPr>
      </w:pPr>
      <w:r>
        <w:rPr>
          <w:lang w:val="en-GB"/>
        </w:rPr>
        <w:t>•</w:t>
      </w:r>
      <w:r>
        <w:rPr>
          <w:lang w:val="en-GB"/>
        </w:rPr>
        <w:tab/>
        <w:t>Business requirements (including security requirements).</w:t>
      </w:r>
    </w:p>
    <w:p>
      <w:pPr>
        <w:pStyle w:val="Normal"/>
        <w:spacing w:before="0" w:after="0"/>
        <w:jc w:val="both"/>
        <w:rPr>
          <w:lang w:val="en-GB"/>
        </w:rPr>
      </w:pPr>
      <w:r>
        <w:rPr>
          <w:lang w:val="en-GB"/>
        </w:rPr>
        <w:t>•</w:t>
      </w:r>
      <w:r>
        <w:rPr>
          <w:lang w:val="en-GB"/>
        </w:rPr>
        <w:tab/>
        <w:t>Organisation aspect like name of application manager.</w:t>
      </w:r>
    </w:p>
    <w:p>
      <w:pPr>
        <w:pStyle w:val="Normal"/>
        <w:spacing w:before="0" w:after="0"/>
        <w:jc w:val="both"/>
        <w:rPr>
          <w:lang w:val="en-GB"/>
        </w:rPr>
      </w:pPr>
      <w:r>
        <w:rPr>
          <w:lang w:val="en-GB"/>
        </w:rPr>
      </w:r>
    </w:p>
    <w:p>
      <w:pPr>
        <w:pStyle w:val="Normal"/>
        <w:spacing w:before="0" w:after="0"/>
        <w:jc w:val="both"/>
        <w:rPr>
          <w:b/>
          <w:lang w:val="en-GB"/>
        </w:rPr>
      </w:pPr>
      <w:r>
        <w:rPr>
          <w:b/>
          <w:lang w:val="en-GB"/>
        </w:rPr>
        <w:t>Standard Scripting &amp; Packaging Process</w:t>
      </w:r>
    </w:p>
    <w:p>
      <w:pPr>
        <w:pStyle w:val="Normal"/>
        <w:spacing w:before="0" w:after="0"/>
        <w:jc w:val="both"/>
        <w:rPr>
          <w:b/>
          <w:lang w:val="en-GB"/>
        </w:rPr>
      </w:pPr>
      <w:r>
        <w:rPr>
          <w:b/>
          <w:lang w:val="en-GB"/>
        </w:rPr>
      </w:r>
    </w:p>
    <w:p>
      <w:pPr>
        <w:pStyle w:val="Normal"/>
        <w:spacing w:before="0" w:after="0"/>
        <w:jc w:val="both"/>
        <w:rPr>
          <w:lang w:val="en-GB"/>
        </w:rPr>
      </w:pPr>
      <w:r>
        <w:rPr>
          <w:lang w:val="en-GB"/>
        </w:rPr>
        <w:t>The Standard Scripting &amp; Packaging Process will be customised by the PST Supplier for EuroBank, based on an existing PST Supplier Service Descriptions. It will consist of the following activities (highlighted in the next paragraphs):</w:t>
      </w:r>
    </w:p>
    <w:p>
      <w:pPr>
        <w:pStyle w:val="Normal"/>
        <w:spacing w:before="0" w:after="0"/>
        <w:jc w:val="both"/>
        <w:rPr>
          <w:lang w:val="en-GB"/>
        </w:rPr>
      </w:pPr>
      <w:r>
        <w:rPr>
          <w:lang w:val="en-GB"/>
        </w:rPr>
      </w:r>
    </w:p>
    <w:tbl>
      <w:tblPr>
        <w:tblW w:w="5850" w:type="dxa"/>
        <w:jc w:val="start"/>
        <w:tblInd w:w="540" w:type="dxa"/>
        <w:tblLayout w:type="fixed"/>
        <w:tblCellMar>
          <w:top w:w="28" w:type="dxa"/>
          <w:start w:w="85" w:type="dxa"/>
          <w:bottom w:w="28" w:type="dxa"/>
          <w:end w:w="85" w:type="dxa"/>
        </w:tblCellMar>
      </w:tblPr>
      <w:tblGrid>
        <w:gridCol w:w="5850"/>
      </w:tblGrid>
      <w:tr>
        <w:trPr>
          <w:tblHeader w:val="true"/>
          <w:trHeight w:val="330" w:hRule="atLeast"/>
          <w:cantSplit w:val="true"/>
        </w:trPr>
        <w:tc>
          <w:tcPr>
            <w:tcW w:w="5850" w:type="dxa"/>
            <w:tcBorders>
              <w:top w:val="single" w:sz="4" w:space="0" w:color="000000"/>
              <w:start w:val="single" w:sz="4" w:space="0" w:color="000000"/>
              <w:bottom w:val="single" w:sz="4" w:space="0" w:color="000000"/>
              <w:end w:val="single" w:sz="4" w:space="0" w:color="000000"/>
            </w:tcBorders>
            <w:shd w:fill="000080" w:val="clear"/>
          </w:tcPr>
          <w:p>
            <w:pPr>
              <w:pStyle w:val="Normal"/>
              <w:spacing w:before="120" w:after="120"/>
              <w:jc w:val="both"/>
              <w:rPr>
                <w:b/>
                <w:bCs/>
                <w:sz w:val="18"/>
                <w:szCs w:val="18"/>
                <w:lang w:val="en-GB"/>
              </w:rPr>
            </w:pPr>
            <w:r>
              <w:rPr>
                <w:b/>
                <w:bCs/>
                <w:sz w:val="18"/>
                <w:szCs w:val="18"/>
                <w:lang w:val="en-GB"/>
              </w:rPr>
              <w:t>Scripting &amp; Packaging Process</w:t>
            </w:r>
          </w:p>
        </w:tc>
      </w:tr>
      <w:tr>
        <w:trPr>
          <w:cantSplit w:val="true"/>
        </w:trPr>
        <w:tc>
          <w:tcPr>
            <w:tcW w:w="5850" w:type="dxa"/>
            <w:tcBorders>
              <w:top w:val="single" w:sz="4" w:space="0" w:color="000000"/>
              <w:start w:val="single" w:sz="4" w:space="0" w:color="000080"/>
              <w:bottom w:val="single" w:sz="4" w:space="0" w:color="000080"/>
              <w:end w:val="single" w:sz="4" w:space="0" w:color="000080"/>
            </w:tcBorders>
            <w:vAlign w:val="center"/>
          </w:tcPr>
          <w:p>
            <w:pPr>
              <w:pStyle w:val="Normal"/>
              <w:spacing w:before="120" w:after="120"/>
              <w:jc w:val="both"/>
              <w:rPr>
                <w:sz w:val="18"/>
                <w:szCs w:val="18"/>
                <w:lang w:val="en-GB"/>
              </w:rPr>
            </w:pPr>
            <w:r>
              <w:rPr>
                <w:sz w:val="18"/>
                <w:szCs w:val="18"/>
                <w:lang w:val="en-GB"/>
              </w:rPr>
              <w:t>Application Intake</w:t>
            </w:r>
          </w:p>
        </w:tc>
      </w:tr>
      <w:tr>
        <w:trPr>
          <w:cantSplit w:val="true"/>
        </w:trPr>
        <w:tc>
          <w:tcPr>
            <w:tcW w:w="5850" w:type="dxa"/>
            <w:tcBorders>
              <w:top w:val="single" w:sz="4" w:space="0" w:color="000080"/>
              <w:start w:val="single" w:sz="4" w:space="0" w:color="000080"/>
              <w:bottom w:val="single" w:sz="4" w:space="0" w:color="000080"/>
              <w:end w:val="single" w:sz="4" w:space="0" w:color="000080"/>
            </w:tcBorders>
            <w:vAlign w:val="center"/>
          </w:tcPr>
          <w:p>
            <w:pPr>
              <w:pStyle w:val="Normal"/>
              <w:spacing w:before="120" w:after="120"/>
              <w:jc w:val="both"/>
              <w:rPr>
                <w:sz w:val="18"/>
                <w:szCs w:val="18"/>
                <w:lang w:val="en-GB"/>
              </w:rPr>
            </w:pPr>
            <w:r>
              <w:rPr>
                <w:sz w:val="18"/>
                <w:szCs w:val="18"/>
                <w:lang w:val="en-GB"/>
              </w:rPr>
              <w:t>Compliancy analysis</w:t>
            </w:r>
          </w:p>
        </w:tc>
      </w:tr>
      <w:tr>
        <w:trPr>
          <w:cantSplit w:val="true"/>
        </w:trPr>
        <w:tc>
          <w:tcPr>
            <w:tcW w:w="5850" w:type="dxa"/>
            <w:tcBorders>
              <w:top w:val="single" w:sz="4" w:space="0" w:color="000080"/>
              <w:start w:val="single" w:sz="4" w:space="0" w:color="000080"/>
              <w:bottom w:val="single" w:sz="4" w:space="0" w:color="000080"/>
              <w:end w:val="single" w:sz="4" w:space="0" w:color="000080"/>
            </w:tcBorders>
          </w:tcPr>
          <w:p>
            <w:pPr>
              <w:pStyle w:val="Normal"/>
              <w:spacing w:before="120" w:after="120"/>
              <w:jc w:val="both"/>
              <w:rPr>
                <w:sz w:val="18"/>
                <w:szCs w:val="18"/>
                <w:lang w:val="en-GB"/>
              </w:rPr>
            </w:pPr>
            <w:r>
              <w:rPr>
                <w:sz w:val="18"/>
                <w:szCs w:val="18"/>
                <w:lang w:val="en-GB"/>
              </w:rPr>
              <w:t>Scripting</w:t>
            </w:r>
          </w:p>
        </w:tc>
      </w:tr>
      <w:tr>
        <w:trPr>
          <w:cantSplit w:val="true"/>
        </w:trPr>
        <w:tc>
          <w:tcPr>
            <w:tcW w:w="5850" w:type="dxa"/>
            <w:tcBorders>
              <w:top w:val="single" w:sz="4" w:space="0" w:color="000080"/>
              <w:start w:val="single" w:sz="4" w:space="0" w:color="000080"/>
              <w:bottom w:val="single" w:sz="4" w:space="0" w:color="000080"/>
              <w:end w:val="single" w:sz="4" w:space="0" w:color="000080"/>
            </w:tcBorders>
          </w:tcPr>
          <w:p>
            <w:pPr>
              <w:pStyle w:val="Normal"/>
              <w:spacing w:before="120" w:after="120"/>
              <w:jc w:val="both"/>
              <w:rPr>
                <w:sz w:val="18"/>
                <w:szCs w:val="18"/>
                <w:lang w:val="en-GB"/>
              </w:rPr>
            </w:pPr>
            <w:r>
              <w:rPr>
                <w:sz w:val="18"/>
                <w:szCs w:val="18"/>
                <w:lang w:val="en-GB"/>
              </w:rPr>
              <w:t>Packaging</w:t>
            </w:r>
          </w:p>
        </w:tc>
      </w:tr>
      <w:tr>
        <w:trPr>
          <w:cantSplit w:val="true"/>
        </w:trPr>
        <w:tc>
          <w:tcPr>
            <w:tcW w:w="5850" w:type="dxa"/>
            <w:tcBorders>
              <w:top w:val="single" w:sz="4" w:space="0" w:color="000080"/>
              <w:start w:val="single" w:sz="4" w:space="0" w:color="000080"/>
              <w:bottom w:val="single" w:sz="4" w:space="0" w:color="000080"/>
              <w:end w:val="single" w:sz="4" w:space="0" w:color="000080"/>
            </w:tcBorders>
          </w:tcPr>
          <w:p>
            <w:pPr>
              <w:pStyle w:val="Normal"/>
              <w:spacing w:before="120" w:after="120"/>
              <w:jc w:val="both"/>
              <w:rPr>
                <w:sz w:val="18"/>
                <w:szCs w:val="18"/>
                <w:lang w:val="en-GB"/>
              </w:rPr>
            </w:pPr>
            <w:r>
              <w:rPr>
                <w:sz w:val="18"/>
                <w:szCs w:val="18"/>
                <w:lang w:val="en-GB"/>
              </w:rPr>
              <w:t>Testing</w:t>
            </w:r>
          </w:p>
        </w:tc>
      </w:tr>
      <w:tr>
        <w:trPr>
          <w:cantSplit w:val="true"/>
        </w:trPr>
        <w:tc>
          <w:tcPr>
            <w:tcW w:w="5850" w:type="dxa"/>
            <w:tcBorders>
              <w:top w:val="single" w:sz="4" w:space="0" w:color="000080"/>
              <w:start w:val="single" w:sz="4" w:space="0" w:color="000080"/>
              <w:bottom w:val="single" w:sz="4" w:space="0" w:color="000080"/>
              <w:end w:val="single" w:sz="4" w:space="0" w:color="000080"/>
            </w:tcBorders>
          </w:tcPr>
          <w:p>
            <w:pPr>
              <w:pStyle w:val="Normal"/>
              <w:spacing w:before="120" w:after="120"/>
              <w:jc w:val="both"/>
              <w:rPr>
                <w:sz w:val="18"/>
                <w:szCs w:val="18"/>
                <w:lang w:val="en-GB"/>
              </w:rPr>
            </w:pPr>
            <w:r>
              <w:rPr>
                <w:sz w:val="18"/>
                <w:szCs w:val="18"/>
                <w:lang w:val="en-GB"/>
              </w:rPr>
              <w:t>Distribute &amp; Roll Out Support</w:t>
            </w:r>
          </w:p>
        </w:tc>
      </w:tr>
    </w:tbl>
    <w:p>
      <w:pPr>
        <w:pStyle w:val="Normal"/>
        <w:spacing w:before="0" w:after="0"/>
        <w:jc w:val="both"/>
        <w:rPr>
          <w:lang w:val="en-GB"/>
        </w:rPr>
      </w:pPr>
      <w:r>
        <w:rPr>
          <w:lang w:val="en-GB"/>
        </w:rPr>
      </w:r>
    </w:p>
    <w:p>
      <w:pPr>
        <w:pStyle w:val="Normal"/>
        <w:spacing w:before="0" w:after="0"/>
        <w:jc w:val="both"/>
        <w:rPr>
          <w:b/>
          <w:lang w:val="en-GB"/>
        </w:rPr>
      </w:pPr>
      <w:r>
        <w:rPr>
          <w:b/>
          <w:lang w:val="en-GB"/>
        </w:rPr>
        <w:t>Application Intake</w:t>
      </w:r>
    </w:p>
    <w:p>
      <w:pPr>
        <w:pStyle w:val="Normal"/>
        <w:spacing w:before="0" w:after="0"/>
        <w:jc w:val="both"/>
        <w:rPr>
          <w:b/>
          <w:lang w:val="en-GB"/>
        </w:rPr>
      </w:pPr>
      <w:r>
        <w:rPr>
          <w:b/>
          <w:lang w:val="en-GB"/>
        </w:rPr>
      </w:r>
    </w:p>
    <w:p>
      <w:pPr>
        <w:pStyle w:val="Normal"/>
        <w:spacing w:before="0" w:after="0"/>
        <w:jc w:val="both"/>
        <w:rPr/>
      </w:pPr>
      <w:r>
        <w:rPr>
          <w:lang w:val="en-GB"/>
        </w:rPr>
        <w:t>All required System Software installs and upgrades will be analysed to understand the application's unique requirements.</w:t>
      </w:r>
    </w:p>
    <w:p>
      <w:pPr>
        <w:pStyle w:val="Normal"/>
        <w:spacing w:before="0" w:after="0"/>
        <w:jc w:val="both"/>
        <w:rPr>
          <w:lang w:val="en-GB"/>
        </w:rPr>
      </w:pPr>
      <w:r>
        <w:rPr>
          <w:lang w:val="en-GB"/>
        </w:rPr>
      </w:r>
    </w:p>
    <w:p>
      <w:pPr>
        <w:pStyle w:val="Normal"/>
        <w:spacing w:before="0" w:after="0"/>
        <w:jc w:val="both"/>
        <w:rPr>
          <w:lang w:val="en-GB"/>
        </w:rPr>
      </w:pPr>
      <w:r>
        <w:rPr>
          <w:lang w:val="en-GB"/>
        </w:rPr>
        <w:t xml:space="preserve">An examination is carried out resulting in an Application Intake Document that will consist of but be limited to: </w:t>
      </w:r>
    </w:p>
    <w:p>
      <w:pPr>
        <w:pStyle w:val="Normal"/>
        <w:spacing w:before="0" w:after="0"/>
        <w:jc w:val="both"/>
        <w:rPr>
          <w:lang w:val="en-GB"/>
        </w:rPr>
      </w:pPr>
      <w:r>
        <w:rPr>
          <w:lang w:val="en-GB"/>
        </w:rPr>
      </w:r>
    </w:p>
    <w:p>
      <w:pPr>
        <w:pStyle w:val="Normal"/>
        <w:spacing w:before="0" w:after="0"/>
        <w:jc w:val="both"/>
        <w:rPr>
          <w:lang w:val="en-GB"/>
        </w:rPr>
      </w:pPr>
      <w:r>
        <w:rPr>
          <w:lang w:val="en-GB"/>
        </w:rPr>
        <w:t>•</w:t>
      </w:r>
      <w:r>
        <w:rPr>
          <w:lang w:val="en-GB"/>
        </w:rPr>
        <w:tab/>
        <w:t>Applicable level of complexity.</w:t>
      </w:r>
    </w:p>
    <w:p>
      <w:pPr>
        <w:pStyle w:val="Normal"/>
        <w:spacing w:before="0" w:after="0"/>
        <w:jc w:val="both"/>
        <w:rPr>
          <w:lang w:val="en-GB"/>
        </w:rPr>
      </w:pPr>
      <w:r>
        <w:rPr>
          <w:lang w:val="en-GB"/>
        </w:rPr>
        <w:t>•</w:t>
        <w:tab/>
        <w:t>EuroBank configuration requirements.</w:t>
      </w:r>
      <w:r>
        <w:rPr>
          <w:lang w:val="en-GB"/>
        </w:rPr>
      </w:r>
    </w:p>
    <w:p>
      <w:pPr>
        <w:pStyle w:val="Normal"/>
        <w:spacing w:before="0" w:after="0"/>
        <w:jc w:val="both"/>
        <w:rPr>
          <w:lang w:val="en-GB"/>
        </w:rPr>
      </w:pPr>
      <w:r>
        <w:rPr>
          <w:lang w:val="en-GB"/>
        </w:rPr>
        <w:t>•</w:t>
      </w:r>
      <w:r>
        <w:rPr>
          <w:lang w:val="en-GB"/>
        </w:rPr>
        <w:tab/>
        <w:t>Application specific security requirements.</w:t>
      </w:r>
    </w:p>
    <w:p>
      <w:pPr>
        <w:pStyle w:val="Normal"/>
        <w:spacing w:before="0" w:after="0"/>
        <w:jc w:val="both"/>
        <w:rPr>
          <w:lang w:val="en-GB"/>
        </w:rPr>
      </w:pPr>
      <w:r>
        <w:rPr>
          <w:lang w:val="en-GB"/>
        </w:rPr>
        <w:t>•</w:t>
      </w:r>
      <w:r>
        <w:rPr>
          <w:lang w:val="en-GB"/>
        </w:rPr>
        <w:tab/>
        <w:t>License information.</w:t>
      </w:r>
    </w:p>
    <w:p>
      <w:pPr>
        <w:pStyle w:val="Normal"/>
        <w:spacing w:before="0" w:after="0"/>
        <w:jc w:val="both"/>
        <w:rPr>
          <w:lang w:val="en-GB"/>
        </w:rPr>
      </w:pPr>
      <w:r>
        <w:rPr>
          <w:lang w:val="en-GB"/>
        </w:rPr>
      </w:r>
    </w:p>
    <w:p>
      <w:pPr>
        <w:pStyle w:val="Normal"/>
        <w:spacing w:before="0" w:after="0"/>
        <w:jc w:val="both"/>
        <w:rPr>
          <w:b/>
          <w:lang w:val="en-GB"/>
        </w:rPr>
      </w:pPr>
      <w:r>
        <w:rPr>
          <w:b/>
          <w:lang w:val="en-GB"/>
        </w:rPr>
        <w:t>Compliancy analysis</w:t>
      </w:r>
    </w:p>
    <w:p>
      <w:pPr>
        <w:pStyle w:val="Normal"/>
        <w:spacing w:before="0" w:after="0"/>
        <w:jc w:val="both"/>
        <w:rPr>
          <w:b/>
          <w:lang w:val="en-GB"/>
        </w:rPr>
      </w:pPr>
      <w:r>
        <w:rPr>
          <w:b/>
          <w:lang w:val="en-GB"/>
        </w:rPr>
      </w:r>
    </w:p>
    <w:p>
      <w:pPr>
        <w:pStyle w:val="Normal"/>
        <w:spacing w:before="0" w:after="0"/>
        <w:jc w:val="both"/>
        <w:rPr/>
      </w:pPr>
      <w:r>
        <w:rPr>
          <w:lang w:val="en-GB"/>
        </w:rPr>
        <w:t xml:space="preserve">Conflicts with other applications will be identified and corrected - to determine whether a particular application will be able to function in coexistence with the existing EuroBank environment (applications and operating system) without threatening the system integrity. Non-compliancy is reported to EuroBank by means of conflict reports. A conflict report lists any potential file and registry conflicts between the loaded Packages. </w:t>
      </w:r>
    </w:p>
    <w:p>
      <w:pPr>
        <w:pStyle w:val="Normal"/>
        <w:spacing w:before="0" w:after="0"/>
        <w:jc w:val="both"/>
        <w:rPr>
          <w:lang w:val="en-GB"/>
        </w:rPr>
      </w:pPr>
      <w:r>
        <w:rPr>
          <w:lang w:val="en-GB"/>
        </w:rPr>
      </w:r>
    </w:p>
    <w:p>
      <w:pPr>
        <w:pStyle w:val="Normal"/>
        <w:spacing w:before="0" w:after="0"/>
        <w:jc w:val="both"/>
        <w:rPr>
          <w:lang w:val="en-GB"/>
        </w:rPr>
      </w:pPr>
      <w:r>
        <w:rPr>
          <w:lang w:val="en-GB"/>
        </w:rPr>
        <w:t>Compliancy analysis will be undertaken before scripting, in order to avoid building in faults.  Actual testing will be undertaken by the PST Supplier after scripting is complete.</w:t>
      </w:r>
    </w:p>
    <w:p>
      <w:pPr>
        <w:pStyle w:val="Normal"/>
        <w:spacing w:before="0" w:after="0"/>
        <w:jc w:val="both"/>
        <w:rPr>
          <w:lang w:val="en-GB"/>
        </w:rPr>
      </w:pPr>
      <w:r>
        <w:rPr>
          <w:lang w:val="en-GB"/>
        </w:rPr>
      </w:r>
    </w:p>
    <w:p>
      <w:pPr>
        <w:pStyle w:val="Normal"/>
        <w:spacing w:before="0" w:after="0"/>
        <w:jc w:val="both"/>
        <w:rPr>
          <w:b/>
          <w:lang w:val="en-GB"/>
        </w:rPr>
      </w:pPr>
      <w:r>
        <w:rPr>
          <w:b/>
          <w:lang w:val="en-GB"/>
        </w:rPr>
        <w:t>Scripting</w:t>
      </w:r>
    </w:p>
    <w:p>
      <w:pPr>
        <w:pStyle w:val="Normal"/>
        <w:spacing w:before="0" w:after="0"/>
        <w:jc w:val="both"/>
        <w:rPr>
          <w:b/>
          <w:lang w:val="en-GB"/>
        </w:rPr>
      </w:pPr>
      <w:r>
        <w:rPr>
          <w:b/>
          <w:lang w:val="en-GB"/>
        </w:rPr>
      </w:r>
    </w:p>
    <w:p>
      <w:pPr>
        <w:pStyle w:val="Normal"/>
        <w:spacing w:before="0" w:after="0"/>
        <w:jc w:val="both"/>
        <w:rPr>
          <w:lang w:val="en-GB"/>
        </w:rPr>
      </w:pPr>
      <w:r>
        <w:rPr>
          <w:lang w:val="en-GB"/>
        </w:rPr>
        <w:t>The PST Supplier will ensure that scripting will enable the application to install:</w:t>
      </w:r>
    </w:p>
    <w:p>
      <w:pPr>
        <w:pStyle w:val="Normal"/>
        <w:spacing w:before="0" w:after="0"/>
        <w:jc w:val="both"/>
        <w:rPr>
          <w:lang w:val="en-GB"/>
        </w:rPr>
      </w:pPr>
      <w:r>
        <w:rPr>
          <w:lang w:val="en-GB"/>
        </w:rPr>
      </w:r>
    </w:p>
    <w:p>
      <w:pPr>
        <w:pStyle w:val="Normal"/>
        <w:spacing w:before="0" w:after="0"/>
        <w:jc w:val="both"/>
        <w:rPr>
          <w:lang w:val="en-GB"/>
        </w:rPr>
      </w:pPr>
      <w:r>
        <w:rPr>
          <w:lang w:val="en-GB"/>
        </w:rPr>
        <w:t>•</w:t>
      </w:r>
      <w:r>
        <w:rPr>
          <w:lang w:val="en-GB"/>
        </w:rPr>
        <w:tab/>
        <w:t>Correctly (i.e. without error notifications).</w:t>
      </w:r>
    </w:p>
    <w:p>
      <w:pPr>
        <w:pStyle w:val="Normal"/>
        <w:spacing w:before="0" w:after="0"/>
        <w:jc w:val="both"/>
        <w:rPr>
          <w:lang w:val="en-GB"/>
        </w:rPr>
      </w:pPr>
      <w:r>
        <w:rPr>
          <w:lang w:val="en-GB"/>
        </w:rPr>
        <w:t>•</w:t>
      </w:r>
      <w:r>
        <w:rPr>
          <w:lang w:val="en-GB"/>
        </w:rPr>
        <w:tab/>
        <w:t>Unattended (i.e. no data entry needed during installation).</w:t>
      </w:r>
    </w:p>
    <w:p>
      <w:pPr>
        <w:pStyle w:val="Normal"/>
        <w:spacing w:before="0" w:after="0"/>
        <w:jc w:val="both"/>
        <w:rPr>
          <w:lang w:val="en-GB"/>
        </w:rPr>
      </w:pPr>
      <w:r>
        <w:rPr>
          <w:lang w:val="en-GB"/>
        </w:rPr>
        <w:t>•</w:t>
        <w:tab/>
        <w:t>In-line with EuroBank requirements (customisation).</w:t>
      </w:r>
      <w:r>
        <w:rPr>
          <w:lang w:val="en-GB"/>
        </w:rPr>
      </w:r>
    </w:p>
    <w:p>
      <w:pPr>
        <w:pStyle w:val="Normal"/>
        <w:spacing w:before="0" w:after="0"/>
        <w:jc w:val="both"/>
        <w:rPr>
          <w:lang w:val="en-GB"/>
        </w:rPr>
      </w:pPr>
      <w:r>
        <w:rPr>
          <w:lang w:val="en-GB"/>
        </w:rPr>
        <w:t>•</w:t>
      </w:r>
      <w:r>
        <w:rPr>
          <w:lang w:val="en-GB"/>
        </w:rPr>
        <w:tab/>
        <w:t>In-line with Security guidelines.</w:t>
      </w:r>
    </w:p>
    <w:p>
      <w:pPr>
        <w:pStyle w:val="Normal"/>
        <w:spacing w:before="0" w:after="0"/>
        <w:jc w:val="both"/>
        <w:rPr>
          <w:lang w:val="en-GB"/>
        </w:rPr>
      </w:pPr>
      <w:r>
        <w:rPr>
          <w:lang w:val="en-GB"/>
        </w:rPr>
      </w:r>
    </w:p>
    <w:p>
      <w:pPr>
        <w:pStyle w:val="Normal"/>
        <w:spacing w:before="0" w:after="0"/>
        <w:jc w:val="both"/>
        <w:rPr>
          <w:lang w:val="en-GB"/>
        </w:rPr>
      </w:pPr>
      <w:r>
        <w:rPr>
          <w:lang w:val="en-GB"/>
        </w:rPr>
        <w:t>The scope of scripting encompasses but is not limited to:</w:t>
      </w:r>
    </w:p>
    <w:p>
      <w:pPr>
        <w:pStyle w:val="Normal"/>
        <w:spacing w:before="0" w:after="0"/>
        <w:jc w:val="both"/>
        <w:rPr>
          <w:lang w:val="en-GB"/>
        </w:rPr>
      </w:pPr>
      <w:r>
        <w:rPr>
          <w:lang w:val="en-GB"/>
        </w:rPr>
      </w:r>
    </w:p>
    <w:p>
      <w:pPr>
        <w:pStyle w:val="Normal"/>
        <w:spacing w:before="0" w:after="0"/>
        <w:jc w:val="both"/>
        <w:rPr>
          <w:lang w:val="en-GB"/>
        </w:rPr>
      </w:pPr>
      <w:r>
        <w:rPr>
          <w:lang w:val="en-GB"/>
        </w:rPr>
        <w:t>•</w:t>
      </w:r>
      <w:r>
        <w:rPr>
          <w:lang w:val="en-GB"/>
        </w:rPr>
        <w:tab/>
        <w:t>Selection of files, e.g. Dynamic Link Libraries (DLL’s).</w:t>
      </w:r>
    </w:p>
    <w:p>
      <w:pPr>
        <w:pStyle w:val="Normal"/>
        <w:spacing w:before="0" w:after="0"/>
        <w:jc w:val="both"/>
        <w:rPr>
          <w:lang w:val="en-GB"/>
        </w:rPr>
      </w:pPr>
      <w:r>
        <w:rPr>
          <w:lang w:val="en-GB"/>
        </w:rPr>
        <w:t>•</w:t>
      </w:r>
      <w:r>
        <w:rPr>
          <w:lang w:val="en-GB"/>
        </w:rPr>
        <w:tab/>
        <w:t>Selection of settings, e.g. registry keys, initialisation files.</w:t>
      </w:r>
    </w:p>
    <w:p>
      <w:pPr>
        <w:pStyle w:val="Normal"/>
        <w:spacing w:before="0" w:after="0"/>
        <w:jc w:val="both"/>
        <w:rPr>
          <w:lang w:val="en-GB"/>
        </w:rPr>
      </w:pPr>
      <w:r>
        <w:rPr>
          <w:lang w:val="en-GB"/>
        </w:rPr>
        <w:t>•</w:t>
      </w:r>
      <w:r>
        <w:rPr>
          <w:lang w:val="en-GB"/>
        </w:rPr>
        <w:tab/>
        <w:t>Creation of an application set-up file (called a script).</w:t>
      </w:r>
    </w:p>
    <w:p>
      <w:pPr>
        <w:pStyle w:val="Normal"/>
        <w:spacing w:before="0" w:after="0"/>
        <w:jc w:val="both"/>
        <w:rPr>
          <w:lang w:val="en-GB"/>
        </w:rPr>
      </w:pPr>
      <w:r>
        <w:rPr>
          <w:lang w:val="en-GB"/>
        </w:rPr>
        <w:t>•</w:t>
      </w:r>
      <w:r>
        <w:rPr>
          <w:lang w:val="en-GB"/>
        </w:rPr>
        <w:tab/>
        <w:t>Data gathering during the compliance analysis (used as input information).</w:t>
      </w:r>
    </w:p>
    <w:p>
      <w:pPr>
        <w:pStyle w:val="Normal"/>
        <w:spacing w:before="0" w:after="0"/>
        <w:jc w:val="both"/>
        <w:rPr>
          <w:lang w:val="en-GB"/>
        </w:rPr>
      </w:pPr>
      <w:r>
        <w:rPr>
          <w:lang w:val="en-GB"/>
        </w:rPr>
        <w:t>•</w:t>
      </w:r>
      <w:r>
        <w:rPr>
          <w:lang w:val="en-GB"/>
        </w:rPr>
        <w:tab/>
        <w:t>Setting of security rights (e.g. rights of user context, power user, administrator, etc).</w:t>
      </w:r>
    </w:p>
    <w:p>
      <w:pPr>
        <w:pStyle w:val="Normal"/>
        <w:spacing w:before="0" w:after="0"/>
        <w:jc w:val="both"/>
        <w:rPr>
          <w:lang w:val="en-GB"/>
        </w:rPr>
      </w:pPr>
      <w:r>
        <w:rPr>
          <w:lang w:val="en-GB"/>
        </w:rPr>
      </w:r>
    </w:p>
    <w:p>
      <w:pPr>
        <w:pStyle w:val="Normal"/>
        <w:spacing w:before="0" w:after="0"/>
        <w:jc w:val="both"/>
        <w:rPr>
          <w:lang w:val="en-GB"/>
        </w:rPr>
      </w:pPr>
      <w:r>
        <w:rPr>
          <w:lang w:val="en-GB"/>
        </w:rPr>
        <w:t>Scripting will be undertaken for, but not be limited to:</w:t>
      </w:r>
    </w:p>
    <w:p>
      <w:pPr>
        <w:pStyle w:val="Normal"/>
        <w:spacing w:before="0" w:after="0"/>
        <w:jc w:val="both"/>
        <w:rPr>
          <w:lang w:val="en-GB"/>
        </w:rPr>
      </w:pPr>
      <w:r>
        <w:rPr>
          <w:lang w:val="en-GB"/>
        </w:rPr>
      </w:r>
    </w:p>
    <w:p>
      <w:pPr>
        <w:pStyle w:val="Normal"/>
        <w:spacing w:before="0" w:after="0"/>
        <w:ind w:hanging="720" w:start="720" w:end="0"/>
        <w:jc w:val="both"/>
        <w:rPr>
          <w:lang w:val="en-GB"/>
        </w:rPr>
      </w:pPr>
      <w:r>
        <w:rPr>
          <w:lang w:val="en-GB"/>
        </w:rPr>
        <w:t>•</w:t>
      </w:r>
      <w:r>
        <w:rPr>
          <w:lang w:val="en-GB"/>
        </w:rPr>
        <w:tab/>
        <w:t>A new (additional) application.</w:t>
      </w:r>
    </w:p>
    <w:p>
      <w:pPr>
        <w:pStyle w:val="Normal"/>
        <w:spacing w:before="0" w:after="0"/>
        <w:ind w:hanging="720" w:start="720" w:end="0"/>
        <w:jc w:val="both"/>
        <w:rPr>
          <w:lang w:val="en-GB"/>
        </w:rPr>
      </w:pPr>
      <w:r>
        <w:rPr>
          <w:lang w:val="en-GB"/>
        </w:rPr>
        <w:t>•</w:t>
      </w:r>
      <w:r>
        <w:rPr>
          <w:lang w:val="en-GB"/>
        </w:rPr>
        <w:tab/>
        <w:t>A new version of an existing application.</w:t>
      </w:r>
    </w:p>
    <w:p>
      <w:pPr>
        <w:pStyle w:val="Normal"/>
        <w:spacing w:before="0" w:after="0"/>
        <w:ind w:hanging="720" w:start="720" w:end="0"/>
        <w:jc w:val="both"/>
        <w:rPr>
          <w:lang w:val="en-GB"/>
        </w:rPr>
      </w:pPr>
      <w:r>
        <w:rPr>
          <w:lang w:val="en-GB"/>
        </w:rPr>
        <w:t>•</w:t>
      </w:r>
      <w:r>
        <w:rPr>
          <w:lang w:val="en-GB"/>
        </w:rPr>
        <w:tab/>
        <w:t>An existing application that has to be installed on a new operating system (script migration).</w:t>
      </w:r>
    </w:p>
    <w:p>
      <w:pPr>
        <w:pStyle w:val="Normal"/>
        <w:spacing w:before="0" w:after="0"/>
        <w:ind w:hanging="720" w:start="720" w:end="0"/>
        <w:jc w:val="both"/>
        <w:rPr>
          <w:lang w:val="en-GB"/>
        </w:rPr>
      </w:pPr>
      <w:r>
        <w:rPr>
          <w:lang w:val="en-GB"/>
        </w:rPr>
        <w:t>•</w:t>
      </w:r>
      <w:r>
        <w:rPr>
          <w:lang w:val="en-GB"/>
        </w:rPr>
        <w:tab/>
        <w:t>An existing application that requires a configuration change.</w:t>
      </w:r>
    </w:p>
    <w:p>
      <w:pPr>
        <w:pStyle w:val="Normal"/>
        <w:spacing w:before="0" w:after="0"/>
        <w:jc w:val="both"/>
        <w:rPr>
          <w:lang w:val="en-GB"/>
        </w:rPr>
      </w:pPr>
      <w:r>
        <w:rPr>
          <w:lang w:val="en-GB"/>
        </w:rPr>
      </w:r>
    </w:p>
    <w:p>
      <w:pPr>
        <w:pStyle w:val="Normal"/>
        <w:spacing w:before="0" w:after="0"/>
        <w:jc w:val="both"/>
        <w:rPr>
          <w:b/>
          <w:lang w:val="en-GB"/>
        </w:rPr>
      </w:pPr>
      <w:r>
        <w:rPr>
          <w:b/>
          <w:lang w:val="en-GB"/>
        </w:rPr>
        <w:t>Packaging</w:t>
      </w:r>
    </w:p>
    <w:p>
      <w:pPr>
        <w:pStyle w:val="Normal"/>
        <w:spacing w:before="0" w:after="0"/>
        <w:jc w:val="both"/>
        <w:rPr>
          <w:b/>
          <w:lang w:val="en-GB"/>
        </w:rPr>
      </w:pPr>
      <w:r>
        <w:rPr>
          <w:b/>
          <w:lang w:val="en-GB"/>
        </w:rPr>
      </w:r>
    </w:p>
    <w:p>
      <w:pPr>
        <w:pStyle w:val="Normal"/>
        <w:spacing w:before="0" w:after="0"/>
        <w:jc w:val="both"/>
        <w:rPr/>
      </w:pPr>
      <w:r>
        <w:rPr>
          <w:lang w:val="en-GB"/>
        </w:rPr>
        <w:t xml:space="preserve">The PST Supplier will execute the packaging process involving capturing the changes made by an installation program for the purpose of creating (scripting) a new, customised installation. This new installation, which is called a “Package”, is designed to support EuroBank company standards and distribution methods. </w:t>
      </w:r>
    </w:p>
    <w:p>
      <w:pPr>
        <w:pStyle w:val="Normal"/>
        <w:spacing w:before="0" w:after="0"/>
        <w:jc w:val="both"/>
        <w:rPr>
          <w:lang w:val="en-GB"/>
        </w:rPr>
      </w:pPr>
      <w:r>
        <w:rPr>
          <w:lang w:val="en-GB"/>
        </w:rPr>
      </w:r>
    </w:p>
    <w:p>
      <w:pPr>
        <w:pStyle w:val="Normal"/>
        <w:spacing w:before="0" w:after="0"/>
        <w:jc w:val="both"/>
        <w:rPr/>
      </w:pPr>
      <w:r>
        <w:rPr>
          <w:lang w:val="en-GB"/>
        </w:rPr>
        <w:t>For System Software distribution and installation purposes, the following files will be bundled within an installation Package:</w:t>
      </w:r>
    </w:p>
    <w:p>
      <w:pPr>
        <w:pStyle w:val="Normal"/>
        <w:spacing w:before="0" w:after="0"/>
        <w:jc w:val="both"/>
        <w:rPr>
          <w:lang w:val="en-GB"/>
        </w:rPr>
      </w:pPr>
      <w:r>
        <w:rPr>
          <w:lang w:val="en-GB"/>
        </w:rPr>
      </w:r>
    </w:p>
    <w:p>
      <w:pPr>
        <w:pStyle w:val="Normal"/>
        <w:spacing w:before="0" w:after="0"/>
        <w:jc w:val="both"/>
        <w:rPr>
          <w:lang w:val="en-GB"/>
        </w:rPr>
      </w:pPr>
      <w:r>
        <w:rPr>
          <w:lang w:val="en-GB"/>
        </w:rPr>
        <w:t>•</w:t>
      </w:r>
      <w:r>
        <w:rPr>
          <w:lang w:val="en-GB"/>
        </w:rPr>
        <w:tab/>
        <w:t>Files and settings selected during scripting.</w:t>
      </w:r>
    </w:p>
    <w:p>
      <w:pPr>
        <w:pStyle w:val="Normal"/>
        <w:spacing w:before="0" w:after="0"/>
        <w:jc w:val="both"/>
        <w:rPr>
          <w:lang w:val="en-GB"/>
        </w:rPr>
      </w:pPr>
      <w:r>
        <w:rPr>
          <w:lang w:val="en-GB"/>
        </w:rPr>
        <w:t>•</w:t>
      </w:r>
      <w:r>
        <w:rPr>
          <w:lang w:val="en-GB"/>
        </w:rPr>
        <w:tab/>
        <w:t>The installation script.</w:t>
      </w:r>
    </w:p>
    <w:p>
      <w:pPr>
        <w:pStyle w:val="Normal"/>
        <w:spacing w:before="0" w:after="0"/>
        <w:jc w:val="both"/>
        <w:rPr>
          <w:lang w:val="en-GB"/>
        </w:rPr>
      </w:pPr>
      <w:r>
        <w:rPr>
          <w:lang w:val="en-GB"/>
        </w:rPr>
        <w:t>•</w:t>
      </w:r>
      <w:r>
        <w:rPr>
          <w:lang w:val="en-GB"/>
        </w:rPr>
        <w:tab/>
        <w:t>Distribution template(s).</w:t>
      </w:r>
    </w:p>
    <w:p>
      <w:pPr>
        <w:pStyle w:val="Normal"/>
        <w:spacing w:before="0" w:after="0"/>
        <w:jc w:val="both"/>
        <w:rPr>
          <w:lang w:val="en-GB"/>
        </w:rPr>
      </w:pPr>
      <w:r>
        <w:rPr>
          <w:lang w:val="en-GB"/>
        </w:rPr>
      </w:r>
    </w:p>
    <w:p>
      <w:pPr>
        <w:pStyle w:val="Normal"/>
        <w:spacing w:before="0" w:after="0"/>
        <w:jc w:val="both"/>
        <w:rPr/>
      </w:pPr>
      <w:r>
        <w:rPr>
          <w:lang w:val="en-GB"/>
        </w:rPr>
        <w:t xml:space="preserve">A Package will always be delivered with a security template that is to be used (by the Package) to set the appropriate permissions for predefined users including folders, files and registry keys. Occasionally, and only where necessary, the security template might, under strict conditions, contain settings that are needed beyond the default “user” permissions to start the application as an ordinary user. </w:t>
      </w:r>
    </w:p>
    <w:p>
      <w:pPr>
        <w:pStyle w:val="Normal"/>
        <w:spacing w:before="0" w:after="0"/>
        <w:jc w:val="both"/>
        <w:rPr>
          <w:lang w:val="en-GB"/>
        </w:rPr>
      </w:pPr>
      <w:r>
        <w:rPr>
          <w:lang w:val="en-GB"/>
        </w:rPr>
      </w:r>
    </w:p>
    <w:p>
      <w:pPr>
        <w:pStyle w:val="Normal"/>
        <w:spacing w:before="0" w:after="0"/>
        <w:jc w:val="both"/>
        <w:rPr>
          <w:lang w:val="en-GB"/>
        </w:rPr>
      </w:pPr>
      <w:r>
        <w:rPr>
          <w:lang w:val="en-GB"/>
        </w:rPr>
        <w:t>The PST Supplier reference architecture allows granting change permissions, equivalent to the default permissions granted to a “power user”, on the same resource within or on the application-root(s).</w:t>
      </w:r>
    </w:p>
    <w:p>
      <w:pPr>
        <w:pStyle w:val="Normal"/>
        <w:spacing w:before="0" w:after="0"/>
        <w:jc w:val="both"/>
        <w:rPr>
          <w:lang w:val="en-GB"/>
        </w:rPr>
      </w:pPr>
      <w:r>
        <w:rPr>
          <w:lang w:val="en-GB"/>
        </w:rPr>
      </w:r>
    </w:p>
    <w:p>
      <w:pPr>
        <w:pStyle w:val="Normal"/>
        <w:spacing w:before="0" w:after="0"/>
        <w:jc w:val="both"/>
        <w:rPr>
          <w:lang w:val="en-GB"/>
        </w:rPr>
      </w:pPr>
      <w:r>
        <w:rPr>
          <w:lang w:val="en-GB"/>
        </w:rPr>
        <w:t>The PST Supplier will not repackaging certain types of applications which includes:</w:t>
      </w:r>
    </w:p>
    <w:p>
      <w:pPr>
        <w:pStyle w:val="Normal"/>
        <w:spacing w:before="0" w:after="0"/>
        <w:jc w:val="both"/>
        <w:rPr>
          <w:lang w:val="en-GB"/>
        </w:rPr>
      </w:pPr>
      <w:r>
        <w:rPr>
          <w:lang w:val="en-GB"/>
        </w:rPr>
      </w:r>
    </w:p>
    <w:p>
      <w:pPr>
        <w:pStyle w:val="Normal"/>
        <w:spacing w:before="0" w:after="0"/>
        <w:ind w:firstLine="720" w:end="0"/>
        <w:jc w:val="both"/>
        <w:rPr>
          <w:lang w:val="en-GB"/>
        </w:rPr>
      </w:pPr>
      <w:r>
        <w:rPr/>
        <w:drawing>
          <wp:inline distT="0" distB="0" distL="0" distR="0">
            <wp:extent cx="2516505" cy="1233805"/>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8"/>
                    <a:srcRect l="-9" t="-21" r="-9" b="-21"/>
                    <a:stretch>
                      <a:fillRect/>
                    </a:stretch>
                  </pic:blipFill>
                  <pic:spPr bwMode="auto">
                    <a:xfrm>
                      <a:off x="0" y="0"/>
                      <a:ext cx="2516505" cy="1233805"/>
                    </a:xfrm>
                    <a:prstGeom prst="rect">
                      <a:avLst/>
                    </a:prstGeom>
                    <a:noFill/>
                  </pic:spPr>
                </pic:pic>
              </a:graphicData>
            </a:graphic>
          </wp:inline>
        </w:drawing>
      </w:r>
    </w:p>
    <w:p>
      <w:pPr>
        <w:pStyle w:val="Normal"/>
        <w:spacing w:before="0" w:after="0"/>
        <w:jc w:val="both"/>
        <w:rPr>
          <w:lang w:val="en-GB"/>
        </w:rPr>
      </w:pPr>
      <w:r>
        <w:rPr>
          <w:lang w:val="en-GB"/>
        </w:rPr>
      </w:r>
    </w:p>
    <w:p>
      <w:pPr>
        <w:pStyle w:val="Normal"/>
        <w:spacing w:before="0" w:after="0"/>
        <w:jc w:val="both"/>
        <w:rPr>
          <w:lang w:val="en-GB"/>
        </w:rPr>
      </w:pPr>
      <w:r>
        <w:rPr>
          <w:lang w:val="en-GB"/>
        </w:rPr>
        <w:t xml:space="preserve">Capturing is not appropriate for operating systems or service patches. </w:t>
      </w:r>
    </w:p>
    <w:p>
      <w:pPr>
        <w:pStyle w:val="Normal"/>
        <w:spacing w:before="0" w:after="0"/>
        <w:jc w:val="both"/>
        <w:rPr>
          <w:lang w:val="en-GB"/>
        </w:rPr>
      </w:pPr>
      <w:r>
        <w:rPr>
          <w:lang w:val="en-GB"/>
        </w:rPr>
      </w:r>
    </w:p>
    <w:p>
      <w:pPr>
        <w:pStyle w:val="Normal"/>
        <w:spacing w:before="0" w:after="0"/>
        <w:jc w:val="both"/>
        <w:rPr/>
      </w:pPr>
      <w:r>
        <w:rPr>
          <w:lang w:val="en-GB"/>
        </w:rPr>
        <w:t>Installations that are already in .MSI format should not be packaged, but instead should be customised using a ‘transform’ Windows Media Player, Internet Explorer, anti-virus software, and device drivers. All four types of applications listed make low-level changes to the operating system involving Windows file protection.</w:t>
      </w:r>
    </w:p>
    <w:p>
      <w:pPr>
        <w:pStyle w:val="Normal"/>
        <w:spacing w:before="0" w:after="0"/>
        <w:jc w:val="both"/>
        <w:rPr>
          <w:lang w:val="en-GB"/>
        </w:rPr>
      </w:pPr>
      <w:r>
        <w:rPr>
          <w:lang w:val="en-GB"/>
        </w:rPr>
      </w:r>
    </w:p>
    <w:p>
      <w:pPr>
        <w:pStyle w:val="Normal"/>
        <w:spacing w:before="0" w:after="0"/>
        <w:jc w:val="both"/>
        <w:rPr/>
      </w:pPr>
      <w:r>
        <w:rPr>
          <w:lang w:val="en-GB"/>
        </w:rPr>
        <w:t>For each Package, a Package archive document is created which describes the ins and outs of the Package.</w:t>
      </w:r>
    </w:p>
    <w:p>
      <w:pPr>
        <w:pStyle w:val="Normal"/>
        <w:spacing w:before="0" w:after="0"/>
        <w:jc w:val="both"/>
        <w:rPr>
          <w:lang w:val="en-GB"/>
        </w:rPr>
      </w:pPr>
      <w:r>
        <w:rPr>
          <w:lang w:val="en-GB"/>
        </w:rPr>
      </w:r>
    </w:p>
    <w:p>
      <w:pPr>
        <w:pStyle w:val="Normal"/>
        <w:spacing w:before="0" w:after="0"/>
        <w:jc w:val="both"/>
        <w:rPr>
          <w:b/>
          <w:lang w:val="en-GB"/>
        </w:rPr>
      </w:pPr>
      <w:r>
        <w:rPr>
          <w:b/>
          <w:lang w:val="en-GB"/>
        </w:rPr>
        <w:t>Testing</w:t>
      </w:r>
    </w:p>
    <w:p>
      <w:pPr>
        <w:pStyle w:val="Normal"/>
        <w:spacing w:before="0" w:after="0"/>
        <w:jc w:val="both"/>
        <w:rPr>
          <w:b/>
          <w:lang w:val="en-GB"/>
        </w:rPr>
      </w:pPr>
      <w:r>
        <w:rPr>
          <w:b/>
          <w:lang w:val="en-GB"/>
        </w:rPr>
      </w:r>
    </w:p>
    <w:p>
      <w:pPr>
        <w:pStyle w:val="Normal"/>
        <w:spacing w:before="0" w:after="0"/>
        <w:jc w:val="both"/>
        <w:rPr/>
      </w:pPr>
      <w:r>
        <w:rPr>
          <w:lang w:val="en-GB"/>
        </w:rPr>
        <w:t>The Package is deployed on test machines that mimic the EuroBank environment. A master test plan is executed and any problems identified will be resolved.</w:t>
      </w:r>
    </w:p>
    <w:p>
      <w:pPr>
        <w:pStyle w:val="Normal"/>
        <w:spacing w:before="0" w:after="0"/>
        <w:jc w:val="both"/>
        <w:rPr>
          <w:lang w:val="en-GB"/>
        </w:rPr>
      </w:pPr>
      <w:r>
        <w:rPr>
          <w:lang w:val="en-GB"/>
        </w:rPr>
      </w:r>
    </w:p>
    <w:p>
      <w:pPr>
        <w:pStyle w:val="Normal"/>
        <w:spacing w:before="0" w:after="0"/>
        <w:jc w:val="both"/>
        <w:rPr/>
      </w:pPr>
      <w:r>
        <w:rPr>
          <w:lang w:val="en-GB"/>
        </w:rPr>
        <w:t>Before submitting a Package to EuroBank for acceptance, the Package is tested on:</w:t>
      </w:r>
    </w:p>
    <w:p>
      <w:pPr>
        <w:pStyle w:val="Normal"/>
        <w:spacing w:before="0" w:after="0"/>
        <w:jc w:val="both"/>
        <w:rPr>
          <w:lang w:val="en-GB"/>
        </w:rPr>
      </w:pPr>
      <w:r>
        <w:rPr>
          <w:lang w:val="en-GB"/>
        </w:rPr>
      </w:r>
    </w:p>
    <w:p>
      <w:pPr>
        <w:pStyle w:val="Normal"/>
        <w:spacing w:before="0" w:after="0"/>
        <w:ind w:hanging="720" w:start="720" w:end="0"/>
        <w:jc w:val="both"/>
        <w:rPr>
          <w:lang w:val="en-GB"/>
        </w:rPr>
      </w:pPr>
      <w:r>
        <w:rPr>
          <w:lang w:val="en-GB"/>
        </w:rPr>
        <w:t>•</w:t>
      </w:r>
      <w:r>
        <w:rPr>
          <w:lang w:val="en-GB"/>
        </w:rPr>
        <w:tab/>
        <w:t>Distribution: determine if the Package can be distributed using the agreed distribution tooling.</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w:t>
      </w:r>
      <w:r>
        <w:rPr>
          <w:lang w:val="en-GB"/>
        </w:rPr>
        <w:tab/>
        <w:t>Installation: determine if the script can be activated and correctly installs the application.</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w:t>
      </w:r>
      <w:r>
        <w:rPr>
          <w:lang w:val="en-GB"/>
        </w:rPr>
        <w:tab/>
        <w:t>Technical testing: test if the basic application functions are running correctly on the managed environment.</w:t>
      </w:r>
    </w:p>
    <w:p>
      <w:pPr>
        <w:pStyle w:val="Normal"/>
        <w:spacing w:before="0" w:after="0"/>
        <w:jc w:val="both"/>
        <w:rPr>
          <w:lang w:val="en-GB"/>
        </w:rPr>
      </w:pPr>
      <w:r>
        <w:rPr>
          <w:lang w:val="en-GB"/>
        </w:rPr>
      </w:r>
    </w:p>
    <w:p>
      <w:pPr>
        <w:pStyle w:val="Normal"/>
        <w:spacing w:before="0" w:after="0"/>
        <w:jc w:val="both"/>
        <w:rPr>
          <w:lang w:val="en-GB"/>
        </w:rPr>
      </w:pPr>
      <w:r>
        <w:rPr>
          <w:lang w:val="en-GB"/>
        </w:rPr>
        <w:t>This results in a Package Test Report.</w:t>
      </w:r>
    </w:p>
    <w:p>
      <w:pPr>
        <w:pStyle w:val="Normal"/>
        <w:spacing w:before="0" w:after="0"/>
        <w:jc w:val="both"/>
        <w:rPr>
          <w:lang w:val="en-GB"/>
        </w:rPr>
      </w:pPr>
      <w:r>
        <w:rPr>
          <w:lang w:val="en-GB"/>
        </w:rPr>
      </w:r>
    </w:p>
    <w:p>
      <w:pPr>
        <w:pStyle w:val="Normal"/>
        <w:spacing w:before="0" w:after="0"/>
        <w:jc w:val="both"/>
        <w:rPr>
          <w:b/>
          <w:lang w:val="en-GB"/>
        </w:rPr>
      </w:pPr>
      <w:r>
        <w:rPr>
          <w:b/>
          <w:lang w:val="en-GB"/>
        </w:rPr>
        <w:t>Distribute &amp; Roll Out Support</w:t>
      </w:r>
    </w:p>
    <w:p>
      <w:pPr>
        <w:pStyle w:val="Normal"/>
        <w:spacing w:before="0" w:after="0"/>
        <w:jc w:val="both"/>
        <w:rPr>
          <w:b/>
          <w:lang w:val="en-GB"/>
        </w:rPr>
      </w:pPr>
      <w:r>
        <w:rPr>
          <w:b/>
          <w:lang w:val="en-GB"/>
        </w:rPr>
      </w:r>
    </w:p>
    <w:p>
      <w:pPr>
        <w:pStyle w:val="Normal"/>
        <w:spacing w:before="0" w:after="0"/>
        <w:jc w:val="both"/>
        <w:rPr/>
      </w:pPr>
      <w:r>
        <w:rPr>
          <w:lang w:val="en-GB"/>
        </w:rPr>
        <w:t xml:space="preserve">The application Package is deployed across the workforce quickly, cleanly and without disrupting productivity. One of the main requirements (besides security) for Application Services is to enable unattended and uninterrupted installation of new or updated applications within the installed workplace environment of EuroBank. To achieve an installation environment that can be used during and after the initial rollout and is reliable and fast as well, it is important to choose methods where a minimal amount of manual human effort is necessary during installation. </w:t>
      </w:r>
    </w:p>
    <w:p>
      <w:pPr>
        <w:pStyle w:val="Normal"/>
        <w:spacing w:before="0" w:after="0"/>
        <w:jc w:val="both"/>
        <w:rPr>
          <w:lang w:val="en-GB"/>
        </w:rPr>
      </w:pPr>
      <w:r>
        <w:rPr>
          <w:lang w:val="en-GB"/>
        </w:rPr>
      </w:r>
    </w:p>
    <w:p>
      <w:pPr>
        <w:pStyle w:val="Normal"/>
        <w:spacing w:before="0" w:after="0"/>
        <w:jc w:val="both"/>
        <w:rPr>
          <w:lang w:val="en-GB"/>
        </w:rPr>
      </w:pPr>
      <w:r>
        <w:rPr>
          <w:lang w:val="en-GB"/>
        </w:rPr>
        <w:t xml:space="preserve">Once EuroBank has implemented an environment based on the PST Supplier reference architecture (carried out in a Transformation Project), large scale roll-outs will be part of the day to day operations and are always supported by the PST Supplier. </w:t>
      </w:r>
    </w:p>
    <w:p>
      <w:pPr>
        <w:pStyle w:val="Normal"/>
        <w:spacing w:before="0" w:after="0"/>
        <w:jc w:val="both"/>
        <w:rPr>
          <w:lang w:val="en-GB"/>
        </w:rPr>
      </w:pPr>
      <w:r>
        <w:rPr>
          <w:lang w:val="en-GB"/>
        </w:rPr>
      </w:r>
    </w:p>
    <w:p>
      <w:pPr>
        <w:pStyle w:val="Heading2Numbered"/>
        <w:numPr>
          <w:ilvl w:val="1"/>
          <w:numId w:val="2"/>
        </w:numPr>
        <w:ind w:hanging="0" w:start="0"/>
        <w:jc w:val="both"/>
        <w:rPr>
          <w:sz w:val="22"/>
          <w:szCs w:val="22"/>
          <w:lang w:val="en-GB"/>
        </w:rPr>
      </w:pPr>
      <w:bookmarkStart w:id="8" w:name="__RefHeading___Toc150051195"/>
      <w:bookmarkEnd w:id="8"/>
      <w:r>
        <w:rPr>
          <w:sz w:val="22"/>
          <w:szCs w:val="22"/>
          <w:lang w:val="en-GB"/>
        </w:rPr>
        <w:t>Functional Support</w:t>
      </w:r>
    </w:p>
    <w:p>
      <w:pPr>
        <w:pStyle w:val="Normal"/>
        <w:spacing w:before="0" w:after="0"/>
        <w:jc w:val="both"/>
        <w:rPr>
          <w:lang w:val="en-GB"/>
        </w:rPr>
      </w:pPr>
      <w:r>
        <w:rPr>
          <w:lang w:val="en-GB"/>
        </w:rPr>
        <w:t>The PST Supplier’s responsibilities include:</w:t>
      </w:r>
    </w:p>
    <w:p>
      <w:pPr>
        <w:pStyle w:val="Normal"/>
        <w:spacing w:before="0" w:after="0"/>
        <w:jc w:val="both"/>
        <w:rPr>
          <w:lang w:val="en-GB"/>
        </w:rPr>
      </w:pPr>
      <w:r>
        <w:rPr>
          <w:lang w:val="en-GB"/>
        </w:rPr>
      </w:r>
    </w:p>
    <w:p>
      <w:pPr>
        <w:pStyle w:val="Normal"/>
        <w:spacing w:before="0" w:after="0"/>
        <w:ind w:hanging="720" w:start="720" w:end="0"/>
        <w:jc w:val="both"/>
        <w:rPr>
          <w:lang w:val="en-GB"/>
        </w:rPr>
      </w:pPr>
      <w:r>
        <w:rPr>
          <w:lang w:val="en-GB"/>
        </w:rPr>
        <w:t>a)</w:t>
        <w:tab/>
        <w:t>As approved by 2IM; providing relevant product (service) management to ensure that the functionality requirements of the EuroBank organisation are met.</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b)</w:t>
        <w:tab/>
        <w:t>Providing life-cycle management for the related System Software used by EuroBank, as defined by 2IM</w:t>
      </w:r>
    </w:p>
    <w:p>
      <w:pPr>
        <w:pStyle w:val="Normal"/>
        <w:spacing w:before="0" w:after="0"/>
        <w:jc w:val="both"/>
        <w:rPr>
          <w:lang w:val="en-GB"/>
        </w:rPr>
      </w:pPr>
      <w:r>
        <w:rPr>
          <w:lang w:val="en-GB"/>
        </w:rPr>
      </w:r>
    </w:p>
    <w:p>
      <w:pPr>
        <w:pStyle w:val="Normal"/>
        <w:spacing w:before="0" w:after="0"/>
        <w:jc w:val="both"/>
        <w:rPr/>
      </w:pPr>
      <w:r>
        <w:rPr>
          <w:lang w:val="en-GB"/>
        </w:rPr>
        <w:t>The life-cycle management matrix and responsibilities are shown below:</w:t>
      </w:r>
    </w:p>
    <w:p>
      <w:pPr>
        <w:pStyle w:val="Normal"/>
        <w:spacing w:before="0" w:after="0"/>
        <w:jc w:val="both"/>
        <w:rPr>
          <w:lang w:val="en-GB"/>
        </w:rPr>
      </w:pPr>
      <w:r>
        <w:rPr>
          <w:lang w:val="en-GB"/>
        </w:rPr>
      </w:r>
    </w:p>
    <w:tbl>
      <w:tblPr>
        <w:tblW w:w="4990" w:type="dxa"/>
        <w:jc w:val="start"/>
        <w:tblInd w:w="540" w:type="dxa"/>
        <w:tblLayout w:type="fixed"/>
        <w:tblCellMar>
          <w:top w:w="0" w:type="dxa"/>
          <w:start w:w="108" w:type="dxa"/>
          <w:bottom w:w="0" w:type="dxa"/>
          <w:end w:w="108" w:type="dxa"/>
        </w:tblCellMar>
      </w:tblPr>
      <w:tblGrid>
        <w:gridCol w:w="1163"/>
        <w:gridCol w:w="1136"/>
        <w:gridCol w:w="1134"/>
        <w:gridCol w:w="1557"/>
      </w:tblGrid>
      <w:tr>
        <w:trPr/>
        <w:tc>
          <w:tcPr>
            <w:tcW w:w="1163"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before="120" w:after="120"/>
              <w:jc w:val="both"/>
              <w:rPr>
                <w:bCs/>
                <w:szCs w:val="22"/>
                <w:lang w:val="en-GB"/>
              </w:rPr>
            </w:pPr>
            <w:r>
              <w:rPr>
                <w:bCs/>
                <w:szCs w:val="22"/>
                <w:lang w:val="en-GB"/>
              </w:rPr>
            </w:r>
          </w:p>
        </w:tc>
        <w:tc>
          <w:tcPr>
            <w:tcW w:w="1136"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both"/>
              <w:rPr>
                <w:bCs/>
                <w:i/>
                <w:i/>
                <w:iCs/>
                <w:szCs w:val="22"/>
                <w:lang w:val="en-GB"/>
              </w:rPr>
            </w:pPr>
            <w:r>
              <w:rPr>
                <w:bCs/>
                <w:i/>
                <w:iCs/>
                <w:szCs w:val="22"/>
                <w:lang w:val="en-GB"/>
              </w:rPr>
              <w:t>Owner</w:t>
            </w:r>
          </w:p>
        </w:tc>
        <w:tc>
          <w:tcPr>
            <w:tcW w:w="1134"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both"/>
              <w:rPr>
                <w:bCs/>
                <w:i/>
                <w:i/>
                <w:iCs/>
                <w:szCs w:val="22"/>
                <w:lang w:val="en-GB"/>
              </w:rPr>
            </w:pPr>
            <w:r>
              <w:rPr>
                <w:bCs/>
                <w:i/>
                <w:iCs/>
                <w:szCs w:val="22"/>
                <w:lang w:val="en-GB"/>
              </w:rPr>
              <w:t>manager</w:t>
            </w:r>
          </w:p>
        </w:tc>
        <w:tc>
          <w:tcPr>
            <w:tcW w:w="1557"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both"/>
              <w:rPr>
                <w:bCs/>
                <w:i/>
                <w:i/>
                <w:iCs/>
                <w:szCs w:val="22"/>
                <w:lang w:val="en-GB"/>
              </w:rPr>
            </w:pPr>
            <w:r>
              <w:rPr>
                <w:bCs/>
                <w:i/>
                <w:iCs/>
                <w:szCs w:val="22"/>
                <w:lang w:val="en-GB"/>
              </w:rPr>
              <w:t>Execute</w:t>
            </w:r>
          </w:p>
        </w:tc>
      </w:tr>
      <w:tr>
        <w:trPr/>
        <w:tc>
          <w:tcPr>
            <w:tcW w:w="1163"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both"/>
              <w:rPr>
                <w:bCs/>
                <w:i/>
                <w:i/>
                <w:iCs/>
                <w:szCs w:val="22"/>
                <w:lang w:val="en-GB"/>
              </w:rPr>
            </w:pPr>
            <w:r>
              <w:rPr>
                <w:bCs/>
                <w:i/>
                <w:iCs/>
                <w:szCs w:val="22"/>
                <w:lang w:val="en-GB"/>
              </w:rPr>
              <w:t>CSL</w:t>
            </w:r>
          </w:p>
        </w:tc>
        <w:tc>
          <w:tcPr>
            <w:tcW w:w="1136"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both"/>
              <w:rPr>
                <w:bCs/>
                <w:szCs w:val="22"/>
                <w:lang w:val="en-GB"/>
              </w:rPr>
            </w:pPr>
            <w:r>
              <w:rPr>
                <w:bCs/>
                <w:szCs w:val="22"/>
                <w:lang w:val="en-GB"/>
              </w:rPr>
              <w:t>2IM</w:t>
            </w:r>
          </w:p>
        </w:tc>
        <w:tc>
          <w:tcPr>
            <w:tcW w:w="1134"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both"/>
              <w:rPr>
                <w:bCs/>
                <w:szCs w:val="22"/>
                <w:lang w:val="en-GB"/>
              </w:rPr>
            </w:pPr>
            <w:r>
              <w:rPr>
                <w:bCs/>
                <w:szCs w:val="22"/>
                <w:lang w:val="en-GB"/>
              </w:rPr>
              <w:t>2IM</w:t>
            </w:r>
          </w:p>
        </w:tc>
        <w:tc>
          <w:tcPr>
            <w:tcW w:w="1557"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both"/>
              <w:rPr>
                <w:bCs/>
                <w:szCs w:val="22"/>
                <w:lang w:val="en-GB"/>
              </w:rPr>
            </w:pPr>
            <w:r>
              <w:rPr>
                <w:bCs/>
                <w:szCs w:val="22"/>
                <w:lang w:val="en-GB"/>
              </w:rPr>
              <w:t>PST Supplier</w:t>
            </w:r>
          </w:p>
        </w:tc>
      </w:tr>
      <w:tr>
        <w:trPr/>
        <w:tc>
          <w:tcPr>
            <w:tcW w:w="1163"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both"/>
              <w:rPr>
                <w:bCs/>
                <w:i/>
                <w:i/>
                <w:iCs/>
                <w:szCs w:val="22"/>
                <w:lang w:val="en-GB"/>
              </w:rPr>
            </w:pPr>
            <w:r>
              <w:rPr>
                <w:bCs/>
                <w:i/>
                <w:iCs/>
                <w:szCs w:val="22"/>
                <w:lang w:val="en-GB"/>
              </w:rPr>
              <w:t>COSL</w:t>
            </w:r>
          </w:p>
        </w:tc>
        <w:tc>
          <w:tcPr>
            <w:tcW w:w="1136"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both"/>
              <w:rPr>
                <w:bCs/>
                <w:szCs w:val="22"/>
                <w:lang w:val="en-GB"/>
              </w:rPr>
            </w:pPr>
            <w:r>
              <w:rPr>
                <w:bCs/>
                <w:szCs w:val="22"/>
                <w:lang w:val="en-GB"/>
              </w:rPr>
              <w:t>2IM</w:t>
            </w:r>
          </w:p>
        </w:tc>
        <w:tc>
          <w:tcPr>
            <w:tcW w:w="1134"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both"/>
              <w:rPr>
                <w:bCs/>
                <w:szCs w:val="22"/>
                <w:lang w:val="en-GB"/>
              </w:rPr>
            </w:pPr>
            <w:r>
              <w:rPr>
                <w:bCs/>
                <w:szCs w:val="22"/>
                <w:lang w:val="en-GB"/>
              </w:rPr>
              <w:t>2IM</w:t>
            </w:r>
          </w:p>
        </w:tc>
        <w:tc>
          <w:tcPr>
            <w:tcW w:w="1557" w:type="dxa"/>
            <w:tcBorders>
              <w:top w:val="single" w:sz="4" w:space="0" w:color="000000"/>
              <w:start w:val="single" w:sz="4" w:space="0" w:color="000000"/>
              <w:bottom w:val="single" w:sz="4" w:space="0" w:color="000000"/>
              <w:end w:val="single" w:sz="4" w:space="0" w:color="000000"/>
            </w:tcBorders>
          </w:tcPr>
          <w:p>
            <w:pPr>
              <w:pStyle w:val="Normal"/>
              <w:spacing w:before="120" w:after="120"/>
              <w:jc w:val="both"/>
              <w:rPr>
                <w:lang w:val="en-GB"/>
              </w:rPr>
            </w:pPr>
            <w:r>
              <w:rPr>
                <w:bCs/>
                <w:szCs w:val="22"/>
                <w:lang w:val="en-GB"/>
              </w:rPr>
              <w:t>PST Supplier</w:t>
            </w:r>
          </w:p>
        </w:tc>
      </w:tr>
      <w:tr>
        <w:trPr/>
        <w:tc>
          <w:tcPr>
            <w:tcW w:w="1163"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both"/>
              <w:rPr>
                <w:bCs/>
                <w:i/>
                <w:i/>
                <w:iCs/>
                <w:szCs w:val="22"/>
                <w:lang w:val="en-GB"/>
              </w:rPr>
            </w:pPr>
            <w:r>
              <w:rPr>
                <w:bCs/>
                <w:i/>
                <w:iCs/>
                <w:szCs w:val="22"/>
                <w:lang w:val="en-GB"/>
              </w:rPr>
              <w:t>ROSL</w:t>
            </w:r>
          </w:p>
        </w:tc>
        <w:tc>
          <w:tcPr>
            <w:tcW w:w="1136"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both"/>
              <w:rPr>
                <w:bCs/>
                <w:szCs w:val="22"/>
                <w:lang w:val="en-GB"/>
              </w:rPr>
            </w:pPr>
            <w:r>
              <w:rPr>
                <w:bCs/>
                <w:szCs w:val="22"/>
                <w:lang w:val="en-GB"/>
              </w:rPr>
              <w:t>2IM</w:t>
            </w:r>
          </w:p>
        </w:tc>
        <w:tc>
          <w:tcPr>
            <w:tcW w:w="1134"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both"/>
              <w:rPr>
                <w:bCs/>
                <w:szCs w:val="22"/>
                <w:lang w:val="en-GB"/>
              </w:rPr>
            </w:pPr>
            <w:r>
              <w:rPr>
                <w:bCs/>
                <w:szCs w:val="22"/>
                <w:lang w:val="en-GB"/>
              </w:rPr>
              <w:t>2IM</w:t>
            </w:r>
          </w:p>
        </w:tc>
        <w:tc>
          <w:tcPr>
            <w:tcW w:w="1557" w:type="dxa"/>
            <w:tcBorders>
              <w:top w:val="single" w:sz="4" w:space="0" w:color="000000"/>
              <w:start w:val="single" w:sz="4" w:space="0" w:color="000000"/>
              <w:bottom w:val="single" w:sz="4" w:space="0" w:color="000000"/>
              <w:end w:val="single" w:sz="4" w:space="0" w:color="000000"/>
            </w:tcBorders>
          </w:tcPr>
          <w:p>
            <w:pPr>
              <w:pStyle w:val="Normal"/>
              <w:spacing w:before="120" w:after="120"/>
              <w:jc w:val="both"/>
              <w:rPr>
                <w:lang w:val="en-GB"/>
              </w:rPr>
            </w:pPr>
            <w:r>
              <w:rPr>
                <w:bCs/>
                <w:szCs w:val="22"/>
                <w:lang w:val="en-GB"/>
              </w:rPr>
              <w:t>PST Supplier</w:t>
            </w:r>
          </w:p>
        </w:tc>
      </w:tr>
      <w:tr>
        <w:trPr/>
        <w:tc>
          <w:tcPr>
            <w:tcW w:w="1163"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both"/>
              <w:rPr>
                <w:bCs/>
                <w:i/>
                <w:i/>
                <w:iCs/>
                <w:szCs w:val="22"/>
                <w:lang w:val="en-GB"/>
              </w:rPr>
            </w:pPr>
            <w:r>
              <w:rPr>
                <w:bCs/>
                <w:i/>
                <w:iCs/>
                <w:szCs w:val="22"/>
                <w:lang w:val="en-GB"/>
              </w:rPr>
              <w:t>BSL</w:t>
            </w:r>
          </w:p>
        </w:tc>
        <w:tc>
          <w:tcPr>
            <w:tcW w:w="1136"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both"/>
              <w:rPr>
                <w:bCs/>
                <w:szCs w:val="22"/>
                <w:lang w:val="en-GB"/>
              </w:rPr>
            </w:pPr>
            <w:r>
              <w:rPr>
                <w:bCs/>
                <w:szCs w:val="22"/>
                <w:lang w:val="en-GB"/>
              </w:rPr>
              <w:t>EuroBank</w:t>
            </w:r>
          </w:p>
        </w:tc>
        <w:tc>
          <w:tcPr>
            <w:tcW w:w="1134"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both"/>
              <w:rPr>
                <w:bCs/>
                <w:szCs w:val="22"/>
                <w:lang w:val="en-GB"/>
              </w:rPr>
            </w:pPr>
            <w:r>
              <w:rPr>
                <w:bCs/>
                <w:szCs w:val="22"/>
                <w:lang w:val="en-GB"/>
              </w:rPr>
              <w:t>2IM</w:t>
            </w:r>
          </w:p>
        </w:tc>
        <w:tc>
          <w:tcPr>
            <w:tcW w:w="1557" w:type="dxa"/>
            <w:tcBorders>
              <w:top w:val="single" w:sz="4" w:space="0" w:color="000000"/>
              <w:start w:val="single" w:sz="4" w:space="0" w:color="000000"/>
              <w:bottom w:val="single" w:sz="4" w:space="0" w:color="000000"/>
              <w:end w:val="single" w:sz="4" w:space="0" w:color="000000"/>
            </w:tcBorders>
          </w:tcPr>
          <w:p>
            <w:pPr>
              <w:pStyle w:val="Normal"/>
              <w:spacing w:before="120" w:after="120"/>
              <w:jc w:val="both"/>
              <w:rPr>
                <w:lang w:val="en-GB"/>
              </w:rPr>
            </w:pPr>
            <w:r>
              <w:rPr>
                <w:bCs/>
                <w:szCs w:val="22"/>
                <w:lang w:val="en-GB"/>
              </w:rPr>
              <w:t>PST Supplier</w:t>
            </w:r>
          </w:p>
        </w:tc>
      </w:tr>
    </w:tbl>
    <w:p>
      <w:pPr>
        <w:pStyle w:val="Normal"/>
        <w:spacing w:before="0" w:after="0"/>
        <w:jc w:val="both"/>
        <w:rPr>
          <w:lang w:val="en-GB"/>
        </w:rPr>
      </w:pPr>
      <w:r>
        <w:rPr>
          <w:lang w:val="en-GB"/>
        </w:rPr>
      </w:r>
    </w:p>
    <w:p>
      <w:pPr>
        <w:pStyle w:val="Heading2Numbered"/>
        <w:numPr>
          <w:ilvl w:val="1"/>
          <w:numId w:val="2"/>
        </w:numPr>
        <w:ind w:hanging="0" w:start="0"/>
        <w:jc w:val="both"/>
        <w:rPr>
          <w:sz w:val="22"/>
          <w:szCs w:val="22"/>
          <w:lang w:val="en-GB"/>
        </w:rPr>
      </w:pPr>
      <w:bookmarkStart w:id="9" w:name="__RefHeading___Toc150051196"/>
      <w:bookmarkEnd w:id="9"/>
      <w:r>
        <w:rPr>
          <w:sz w:val="22"/>
          <w:szCs w:val="22"/>
          <w:lang w:val="en-GB"/>
        </w:rPr>
        <w:t>Technical support</w:t>
      </w:r>
    </w:p>
    <w:p>
      <w:pPr>
        <w:pStyle w:val="Normal"/>
        <w:spacing w:before="0" w:after="0"/>
        <w:jc w:val="both"/>
        <w:rPr/>
      </w:pPr>
      <w:r>
        <w:rPr>
          <w:lang w:val="en-GB"/>
        </w:rPr>
        <w:t>The PST Supplier will maintain and fulfil technical and functional support for the regional System Software and technical support for the business System Software by means of:</w:t>
      </w:r>
    </w:p>
    <w:p>
      <w:pPr>
        <w:pStyle w:val="Normal"/>
        <w:spacing w:before="0" w:after="0"/>
        <w:jc w:val="both"/>
        <w:rPr>
          <w:lang w:val="en-GB"/>
        </w:rPr>
      </w:pPr>
      <w:r>
        <w:rPr>
          <w:lang w:val="en-GB"/>
        </w:rPr>
      </w:r>
    </w:p>
    <w:p>
      <w:pPr>
        <w:pStyle w:val="Normal"/>
        <w:spacing w:before="0" w:after="0"/>
        <w:jc w:val="both"/>
        <w:rPr>
          <w:lang w:val="en-GB"/>
        </w:rPr>
      </w:pPr>
      <w:r>
        <w:rPr>
          <w:lang w:val="en-GB"/>
        </w:rPr>
        <w:t>i.</w:t>
        <w:tab/>
        <w:t xml:space="preserve">Development of relevant implementable solutions, including but not limited to: </w:t>
      </w:r>
    </w:p>
    <w:p>
      <w:pPr>
        <w:pStyle w:val="Normal"/>
        <w:spacing w:before="0" w:after="0"/>
        <w:jc w:val="both"/>
        <w:rPr>
          <w:lang w:val="en-GB"/>
        </w:rPr>
      </w:pPr>
      <w:r>
        <w:rPr>
          <w:lang w:val="en-GB"/>
        </w:rPr>
      </w:r>
    </w:p>
    <w:p>
      <w:pPr>
        <w:pStyle w:val="Normal"/>
        <w:spacing w:before="0" w:after="0"/>
        <w:ind w:start="720" w:end="0"/>
        <w:jc w:val="both"/>
        <w:rPr>
          <w:lang w:val="en-GB"/>
        </w:rPr>
      </w:pPr>
      <w:r>
        <w:rPr>
          <w:lang w:val="en-GB"/>
        </w:rPr>
        <w:t>1)</w:t>
        <w:tab/>
        <w:t>Solution description</w:t>
      </w:r>
    </w:p>
    <w:p>
      <w:pPr>
        <w:pStyle w:val="Normal"/>
        <w:spacing w:before="0" w:after="0"/>
        <w:ind w:start="720" w:end="0"/>
        <w:jc w:val="both"/>
        <w:rPr>
          <w:lang w:val="en-GB"/>
        </w:rPr>
      </w:pPr>
      <w:r>
        <w:rPr>
          <w:lang w:val="en-GB"/>
        </w:rPr>
      </w:r>
    </w:p>
    <w:p>
      <w:pPr>
        <w:pStyle w:val="Normal"/>
        <w:spacing w:before="0" w:after="0"/>
        <w:ind w:start="720" w:end="0"/>
        <w:jc w:val="both"/>
        <w:rPr/>
      </w:pPr>
      <w:r>
        <w:rPr>
          <w:lang w:val="en-GB"/>
        </w:rPr>
        <w:t>2)</w:t>
        <w:tab/>
        <w:t>Standard Building blocks used (e.g. System Software build)</w:t>
      </w:r>
    </w:p>
    <w:p>
      <w:pPr>
        <w:pStyle w:val="Normal"/>
        <w:spacing w:before="0" w:after="0"/>
        <w:ind w:start="720" w:end="0"/>
        <w:jc w:val="both"/>
        <w:rPr>
          <w:lang w:val="en-GB"/>
        </w:rPr>
      </w:pPr>
      <w:r>
        <w:rPr>
          <w:lang w:val="en-GB"/>
        </w:rPr>
      </w:r>
    </w:p>
    <w:p>
      <w:pPr>
        <w:pStyle w:val="Normal"/>
        <w:spacing w:before="0" w:after="0"/>
        <w:ind w:start="720" w:end="0"/>
        <w:jc w:val="both"/>
        <w:rPr>
          <w:lang w:val="en-GB"/>
        </w:rPr>
      </w:pPr>
      <w:r>
        <w:rPr>
          <w:lang w:val="en-GB"/>
        </w:rPr>
        <w:t>3)</w:t>
        <w:tab/>
        <w:t>Installation manual</w:t>
      </w:r>
    </w:p>
    <w:p>
      <w:pPr>
        <w:pStyle w:val="Normal"/>
        <w:spacing w:before="0" w:after="0"/>
        <w:ind w:start="720" w:end="0"/>
        <w:jc w:val="both"/>
        <w:rPr>
          <w:lang w:val="en-GB"/>
        </w:rPr>
      </w:pPr>
      <w:r>
        <w:rPr>
          <w:lang w:val="en-GB"/>
        </w:rPr>
      </w:r>
    </w:p>
    <w:p>
      <w:pPr>
        <w:pStyle w:val="Normal"/>
        <w:spacing w:before="0" w:after="0"/>
        <w:ind w:start="720" w:end="0"/>
        <w:jc w:val="both"/>
        <w:rPr>
          <w:lang w:val="en-GB"/>
        </w:rPr>
      </w:pPr>
      <w:r>
        <w:rPr>
          <w:lang w:val="en-GB"/>
        </w:rPr>
        <w:t>4)</w:t>
        <w:tab/>
        <w:t>User manual</w:t>
      </w:r>
    </w:p>
    <w:p>
      <w:pPr>
        <w:pStyle w:val="Normal"/>
        <w:spacing w:before="0" w:after="0"/>
        <w:jc w:val="both"/>
        <w:rPr>
          <w:lang w:val="en-GB"/>
        </w:rPr>
      </w:pPr>
      <w:r>
        <w:rPr>
          <w:lang w:val="en-GB"/>
        </w:rPr>
      </w:r>
    </w:p>
    <w:p>
      <w:pPr>
        <w:pStyle w:val="Normal"/>
        <w:spacing w:before="0" w:after="0"/>
        <w:ind w:hanging="720" w:start="720" w:end="0"/>
        <w:jc w:val="both"/>
        <w:rPr/>
      </w:pPr>
      <w:r>
        <w:rPr>
          <w:lang w:val="en-GB"/>
        </w:rPr>
        <w:t>ii.</w:t>
        <w:tab/>
        <w:t>Provide 2nd line Problem Management support: e.g. bug fixes, patches, security-related issues, etc.</w:t>
      </w:r>
    </w:p>
    <w:p>
      <w:pPr>
        <w:pStyle w:val="Normal"/>
        <w:spacing w:before="0" w:after="0"/>
        <w:jc w:val="both"/>
        <w:rPr>
          <w:lang w:val="en-GB"/>
        </w:rPr>
      </w:pPr>
      <w:r>
        <w:rPr>
          <w:lang w:val="en-GB"/>
        </w:rPr>
      </w:r>
    </w:p>
    <w:p>
      <w:pPr>
        <w:pStyle w:val="Heading2Numbered"/>
        <w:numPr>
          <w:ilvl w:val="1"/>
          <w:numId w:val="2"/>
        </w:numPr>
        <w:ind w:hanging="0" w:start="0"/>
        <w:jc w:val="both"/>
        <w:rPr>
          <w:sz w:val="22"/>
          <w:szCs w:val="22"/>
          <w:lang w:val="en-GB"/>
        </w:rPr>
      </w:pPr>
      <w:bookmarkStart w:id="10" w:name="__RefHeading___Toc150051197"/>
      <w:bookmarkEnd w:id="10"/>
      <w:r>
        <w:rPr>
          <w:sz w:val="22"/>
          <w:szCs w:val="22"/>
          <w:lang w:val="en-GB"/>
        </w:rPr>
        <w:t>Rollouts</w:t>
      </w:r>
    </w:p>
    <w:p>
      <w:pPr>
        <w:pStyle w:val="Normal"/>
        <w:spacing w:before="0" w:after="0"/>
        <w:jc w:val="both"/>
        <w:rPr>
          <w:lang w:val="en-GB"/>
        </w:rPr>
      </w:pPr>
      <w:r>
        <w:rPr>
          <w:lang w:val="en-GB"/>
        </w:rPr>
        <w:t xml:space="preserve">Providing 2nd line support and other guidance needed, when large scale roll-outs are performed, as defined by 2IM. </w:t>
      </w:r>
    </w:p>
    <w:p>
      <w:pPr>
        <w:pStyle w:val="Normal"/>
        <w:spacing w:before="0" w:after="0"/>
        <w:jc w:val="both"/>
        <w:rPr>
          <w:lang w:val="en-GB"/>
        </w:rPr>
      </w:pPr>
      <w:r>
        <w:rPr>
          <w:lang w:val="en-GB"/>
        </w:rPr>
      </w:r>
    </w:p>
    <w:p>
      <w:pPr>
        <w:pStyle w:val="Heading2Numbered"/>
        <w:numPr>
          <w:ilvl w:val="1"/>
          <w:numId w:val="2"/>
        </w:numPr>
        <w:ind w:hanging="0" w:start="0"/>
        <w:jc w:val="both"/>
        <w:rPr>
          <w:sz w:val="22"/>
          <w:szCs w:val="22"/>
          <w:lang w:val="en-GB"/>
        </w:rPr>
      </w:pPr>
      <w:bookmarkStart w:id="11" w:name="__RefHeading___Toc150051198"/>
      <w:bookmarkEnd w:id="11"/>
      <w:r>
        <w:rPr>
          <w:sz w:val="22"/>
          <w:szCs w:val="22"/>
          <w:lang w:val="en-GB"/>
        </w:rPr>
        <w:t>Service Delivery Application Services</w:t>
      </w:r>
    </w:p>
    <w:p>
      <w:pPr>
        <w:pStyle w:val="Normal"/>
        <w:spacing w:before="0" w:after="0"/>
        <w:jc w:val="both"/>
        <w:rPr>
          <w:u w:val="single"/>
          <w:lang w:val="en-GB"/>
        </w:rPr>
      </w:pPr>
      <w:r>
        <w:rPr>
          <w:u w:val="single"/>
          <w:lang w:val="en-GB"/>
        </w:rPr>
        <w:t>Incident resolution</w:t>
      </w:r>
    </w:p>
    <w:p>
      <w:pPr>
        <w:pStyle w:val="Normal"/>
        <w:spacing w:before="0" w:after="0"/>
        <w:jc w:val="both"/>
        <w:rPr>
          <w:u w:val="single"/>
          <w:lang w:val="en-GB"/>
        </w:rPr>
      </w:pPr>
      <w:r>
        <w:rPr>
          <w:u w:val="single"/>
          <w:lang w:val="en-GB"/>
        </w:rPr>
      </w:r>
    </w:p>
    <w:p>
      <w:pPr>
        <w:pStyle w:val="Normal"/>
        <w:spacing w:before="0" w:after="0"/>
        <w:jc w:val="both"/>
        <w:rPr/>
      </w:pPr>
      <w:r>
        <w:rPr>
          <w:lang w:val="en-GB"/>
        </w:rPr>
        <w:t>Incident Management covers all the processes and actions necessary to resolve ROSL and BSL application problems. Incident Management handles the recovery of the service and not necessarily looks at the root cause of why the service fails. The Problem Management process handles the Root Cause Analysis (RCA).The PST Supplier Delivery organisation has operationally responsible units for the different ROSL and BSL software. These units deliver 2nd line, 3rd line and development support for this software, when developed and maintained within these units. For software not developed within these units, limited 3rd line support is offered, as far as the developer of the software (EuroBank or 3rd party) released information required for 3rd line support. The PST Supplier assumes underlying support contracts with 3rd parties to be in place.</w:t>
      </w:r>
    </w:p>
    <w:p>
      <w:pPr>
        <w:pStyle w:val="Normal"/>
        <w:spacing w:before="0" w:after="0"/>
        <w:jc w:val="both"/>
        <w:rPr>
          <w:lang w:val="en-GB"/>
        </w:rPr>
      </w:pPr>
      <w:r>
        <w:rPr>
          <w:lang w:val="en-GB"/>
        </w:rPr>
      </w:r>
    </w:p>
    <w:p>
      <w:pPr>
        <w:pStyle w:val="Normal"/>
        <w:spacing w:before="0" w:after="0"/>
        <w:jc w:val="both"/>
        <w:rPr>
          <w:lang w:val="en-GB"/>
        </w:rPr>
      </w:pPr>
      <w:r>
        <w:rPr>
          <w:lang w:val="en-GB"/>
        </w:rPr>
        <w:t>In order to ensure that the correct resources are allocated to Incident Management, a method of prioritisation is needed to reflect both the customer impact/urgency of the service failure and the internal importance to the PST Supplier, which is reflected in the use of categories with predefined escalation.</w:t>
      </w:r>
    </w:p>
    <w:p>
      <w:pPr>
        <w:pStyle w:val="Normal"/>
        <w:spacing w:before="0" w:after="0"/>
        <w:jc w:val="both"/>
        <w:rPr>
          <w:lang w:val="en-GB"/>
        </w:rPr>
      </w:pPr>
      <w:r>
        <w:rPr>
          <w:lang w:val="en-GB"/>
        </w:rPr>
      </w:r>
    </w:p>
    <w:p>
      <w:pPr>
        <w:pStyle w:val="Normal"/>
        <w:spacing w:before="0" w:after="0"/>
        <w:jc w:val="both"/>
        <w:rPr>
          <w:lang w:val="en-GB"/>
        </w:rPr>
      </w:pPr>
      <w:r>
        <w:rPr>
          <w:lang w:val="en-GB"/>
        </w:rPr>
        <w:t>The communication to the customer is a very important part of this process. Customers will be informed regularly of the progress of incidents where the service cannot be quickly restored, and also that a check is made to ensure that the customer can actually use the service before the incident is closed.</w:t>
      </w:r>
    </w:p>
    <w:p>
      <w:pPr>
        <w:pStyle w:val="Normal"/>
        <w:spacing w:before="0" w:after="0"/>
        <w:jc w:val="both"/>
        <w:rPr>
          <w:lang w:val="en-GB"/>
        </w:rPr>
      </w:pPr>
      <w:r>
        <w:rPr>
          <w:lang w:val="en-GB"/>
        </w:rPr>
      </w:r>
    </w:p>
    <w:p>
      <w:pPr>
        <w:pStyle w:val="Normal"/>
        <w:spacing w:before="0" w:after="0"/>
        <w:ind w:hanging="720" w:start="720" w:end="0"/>
        <w:jc w:val="both"/>
        <w:rPr>
          <w:lang w:val="en-GB"/>
        </w:rPr>
      </w:pPr>
      <w:r>
        <w:rPr>
          <w:lang w:val="en-GB"/>
        </w:rPr>
        <w:t>i)</w:t>
        <w:tab/>
        <w:t xml:space="preserve">Following 2IM procedures, Provide 2nd line incident &amp; problem resolution , including product specific expertise. </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ii)</w:t>
        <w:tab/>
        <w:t>For regional System Software, following 2IM procedures, provide Non-standard (3rd line) functional and technical incident &amp; problem resolution; including applying possible changes to the product (eg System Software build) if needed.</w:t>
      </w:r>
    </w:p>
    <w:p>
      <w:pPr>
        <w:pStyle w:val="Heading2Numbered"/>
        <w:numPr>
          <w:ilvl w:val="1"/>
          <w:numId w:val="2"/>
        </w:numPr>
        <w:ind w:hanging="0" w:start="0"/>
        <w:jc w:val="both"/>
        <w:rPr>
          <w:sz w:val="22"/>
          <w:szCs w:val="22"/>
          <w:lang w:val="en-GB"/>
        </w:rPr>
      </w:pPr>
      <w:bookmarkStart w:id="12" w:name="__RefHeading___Toc150051199"/>
      <w:bookmarkEnd w:id="12"/>
      <w:r>
        <w:rPr>
          <w:sz w:val="22"/>
          <w:szCs w:val="22"/>
          <w:lang w:val="en-GB"/>
        </w:rPr>
        <w:t>Electronic Software Distribution</w:t>
      </w:r>
    </w:p>
    <w:p>
      <w:pPr>
        <w:pStyle w:val="Normal"/>
        <w:spacing w:before="0" w:after="0"/>
        <w:jc w:val="both"/>
        <w:rPr/>
      </w:pPr>
      <w:r>
        <w:rPr>
          <w:lang w:val="en-GB"/>
        </w:rPr>
        <w:t>For System Software distribution the Applications Services PST Supplier is single point of entry for all System Software service layers, including CSL, COSL, BSL &amp; ROSL</w:t>
      </w:r>
    </w:p>
    <w:p>
      <w:pPr>
        <w:pStyle w:val="Normal"/>
        <w:spacing w:before="0" w:after="0"/>
        <w:jc w:val="both"/>
        <w:rPr>
          <w:lang w:val="en-GB"/>
        </w:rPr>
      </w:pPr>
      <w:r>
        <w:rPr>
          <w:lang w:val="en-GB"/>
        </w:rPr>
      </w:r>
    </w:p>
    <w:p>
      <w:pPr>
        <w:pStyle w:val="Normal"/>
        <w:spacing w:before="0" w:after="0"/>
        <w:jc w:val="both"/>
        <w:rPr/>
      </w:pPr>
      <w:r>
        <w:rPr>
          <w:lang w:val="en-GB"/>
        </w:rPr>
        <w:t>Subject to agreement with EuroBank, based on a business case. The PST Supplier will implement Microsoft System Management Server 2003 (or equivalent – this term applies to all System Software described in this section) to enable software distribution. Additionally Windows Server 2003 R2 is installed.</w:t>
      </w:r>
    </w:p>
    <w:p>
      <w:pPr>
        <w:pStyle w:val="Normal"/>
        <w:spacing w:before="0" w:after="0"/>
        <w:jc w:val="both"/>
        <w:rPr>
          <w:lang w:val="en-GB"/>
        </w:rPr>
      </w:pPr>
      <w:r>
        <w:rPr>
          <w:lang w:val="en-GB"/>
        </w:rPr>
      </w:r>
    </w:p>
    <w:p>
      <w:pPr>
        <w:pStyle w:val="Normal"/>
        <w:spacing w:before="0" w:after="0"/>
        <w:jc w:val="both"/>
        <w:rPr/>
      </w:pPr>
      <w:r>
        <w:rPr>
          <w:lang w:val="en-GB"/>
        </w:rPr>
        <w:t xml:space="preserve">Subject to agreement with EuroBank, based on a business case. Microsoft Server 2003 R2 is used to implement the new Distributed File System (DFS) replication mechanism called Remote Differential Compression (RDC). This addresses slow bandwidth problems to Branch Offices. </w:t>
      </w:r>
    </w:p>
    <w:p>
      <w:pPr>
        <w:pStyle w:val="Normal"/>
        <w:spacing w:before="0" w:after="0"/>
        <w:jc w:val="both"/>
        <w:rPr>
          <w:lang w:val="en-GB"/>
        </w:rPr>
      </w:pPr>
      <w:r>
        <w:rPr>
          <w:lang w:val="en-GB"/>
        </w:rPr>
      </w:r>
    </w:p>
    <w:p>
      <w:pPr>
        <w:pStyle w:val="Normal"/>
        <w:spacing w:before="0" w:after="0"/>
        <w:jc w:val="both"/>
        <w:rPr/>
      </w:pPr>
      <w:r>
        <w:rPr>
          <w:lang w:val="en-GB"/>
        </w:rPr>
        <w:t xml:space="preserve">Subject to agreement with EuroBank, based on a business case. PST Supplier will equip each Branch Office with a R2 cache server. The R2 cache server is used for branch office print queues, user home directories, branch office user roaming profiles, SMS or equivalent distribution point (courier mode, feed through the new RDC), and McAfee EPO or equivalent client access point (EPO stands for E-Policy Orchestrator, the part of the McAfee suite of products controlling the enterprise virus protection installation). </w:t>
      </w:r>
    </w:p>
    <w:p>
      <w:pPr>
        <w:pStyle w:val="Normal"/>
        <w:spacing w:before="0" w:after="0"/>
        <w:jc w:val="both"/>
        <w:rPr>
          <w:lang w:val="en-GB"/>
        </w:rPr>
      </w:pPr>
      <w:r>
        <w:rPr>
          <w:lang w:val="en-GB"/>
        </w:rPr>
      </w:r>
    </w:p>
    <w:p>
      <w:pPr>
        <w:pStyle w:val="Normal"/>
        <w:spacing w:before="0" w:after="0"/>
        <w:jc w:val="both"/>
        <w:rPr/>
      </w:pPr>
      <w:r>
        <w:rPr>
          <w:lang w:val="en-GB"/>
        </w:rPr>
        <w:t>Subject to agreement with EuroBank, based on a business case. This data is synchronised using RDC. Additionally uploading large amounts of data using DVDs is still possible.</w:t>
      </w:r>
    </w:p>
    <w:p>
      <w:pPr>
        <w:pStyle w:val="Normal"/>
        <w:spacing w:before="0" w:after="0"/>
        <w:jc w:val="both"/>
        <w:rPr>
          <w:lang w:val="en-GB"/>
        </w:rPr>
      </w:pPr>
      <w:r>
        <w:rPr>
          <w:lang w:val="en-GB"/>
        </w:rPr>
      </w:r>
    </w:p>
    <w:p>
      <w:pPr>
        <w:pStyle w:val="Normal"/>
        <w:spacing w:before="0" w:after="0"/>
        <w:jc w:val="both"/>
        <w:rPr/>
      </w:pPr>
      <w:r>
        <w:rPr>
          <w:lang w:val="en-GB"/>
        </w:rPr>
        <w:t>Subject to agreement with EuroBank, based on a business case. PST Supplier will protect the data on this server with Microsoft Encrypted File System (EFS) and security groups, which make the server more secure in case of theft, and therefore does not necessarily, need a protected server room. Specific types of group data like read only databases; office documents etc. can use the same approach. This implementation addresses software distribution issues on branch offices, typically remotely connected. As result, users on branch offices will experience full performance during software installation.</w:t>
      </w:r>
    </w:p>
    <w:p>
      <w:pPr>
        <w:pStyle w:val="Normal"/>
        <w:spacing w:before="0" w:after="0"/>
        <w:jc w:val="both"/>
        <w:rPr>
          <w:lang w:val="en-GB"/>
        </w:rPr>
      </w:pPr>
      <w:r>
        <w:rPr>
          <w:lang w:val="en-GB"/>
        </w:rPr>
      </w:r>
    </w:p>
    <w:p>
      <w:pPr>
        <w:pStyle w:val="Normal"/>
        <w:spacing w:before="0" w:after="0"/>
        <w:jc w:val="both"/>
        <w:rPr/>
      </w:pPr>
      <w:r>
        <w:rPr>
          <w:lang w:val="en-GB"/>
        </w:rPr>
        <w:t>Subject to agreement with EuroBank, based on a business case. Remotely connected laptops and home offices are ‘served’ with alternative SMS client software from Afaria or equivalent. This enables effective usage of the bandwidth when installing software. The software Package is first fully downloaded to the client, and then installed using standard SMS methods. Afaria SMS client or equivalent software makes this download effective because it continues where it was stopped. Additionally uploading large amounts of data using DVDs is still possible.</w:t>
      </w:r>
    </w:p>
    <w:p>
      <w:pPr>
        <w:pStyle w:val="Normal"/>
        <w:spacing w:before="0" w:after="0"/>
        <w:jc w:val="both"/>
        <w:rPr>
          <w:lang w:val="en-GB"/>
        </w:rPr>
      </w:pPr>
      <w:r>
        <w:rPr>
          <w:lang w:val="en-GB"/>
        </w:rPr>
      </w:r>
    </w:p>
    <w:p>
      <w:pPr>
        <w:pStyle w:val="Normal"/>
        <w:spacing w:before="0" w:after="0"/>
        <w:jc w:val="both"/>
        <w:rPr>
          <w:lang w:val="en-GB"/>
        </w:rPr>
      </w:pPr>
      <w:r>
        <w:rPr>
          <w:lang w:val="en-GB"/>
        </w:rPr>
        <w:t>Subject to agreement with EuroBank, based on a business case. PST Supplier will use SMS or equivalent Collections to enable the ‘pilot / 10 / 30 / 60%’ distribution rule for mandatory assignments. SMS collections for this are always selected manually. For Central OSL and the Regional OSL (and BSL when optional) the PST Supplier will not use mandatory assignment to enable automated software deployment. The PST Supplier will make this process semi automatic, as soon as the user selects the software, it should be installed automatically. Doing so prevents unwanted installation of software when the user is roaming.</w:t>
      </w:r>
    </w:p>
    <w:p>
      <w:pPr>
        <w:pStyle w:val="Normal"/>
        <w:spacing w:before="0" w:after="0"/>
        <w:jc w:val="both"/>
        <w:rPr>
          <w:lang w:val="en-GB"/>
        </w:rPr>
      </w:pPr>
      <w:r>
        <w:rPr>
          <w:lang w:val="en-GB"/>
        </w:rPr>
      </w:r>
    </w:p>
    <w:p>
      <w:pPr>
        <w:pStyle w:val="Normal"/>
        <w:spacing w:before="0" w:after="0"/>
        <w:jc w:val="both"/>
        <w:rPr/>
      </w:pPr>
      <w:r>
        <w:rPr>
          <w:lang w:val="en-GB"/>
        </w:rPr>
        <w:t xml:space="preserve">Subject to agreement with EuroBank, based on a business case. The PST Supplier will equip each Branch Office with an R2 cache server, in agreement with EuroBank. The R2 cache server is used for branch office print queues, user home directories, branch office user roaming profiles, SMS or equivalent distribution point (courier mode, feed through the new RDC), and McAfee EPO or equivalent client access point (EPO stands for E-Policy Orchestrator, the part of the McAfee suite of products controlling the enterprise virus protection installation).  </w:t>
      </w:r>
    </w:p>
    <w:p>
      <w:pPr>
        <w:pStyle w:val="Normal"/>
        <w:spacing w:before="0" w:after="0"/>
        <w:jc w:val="both"/>
        <w:rPr>
          <w:lang w:val="en-GB"/>
        </w:rPr>
      </w:pPr>
      <w:r>
        <w:rPr>
          <w:lang w:val="en-GB"/>
        </w:rPr>
      </w:r>
    </w:p>
    <w:p>
      <w:pPr>
        <w:pStyle w:val="Normal"/>
        <w:spacing w:before="0" w:after="0"/>
        <w:jc w:val="both"/>
        <w:rPr>
          <w:lang w:val="en-GB"/>
        </w:rPr>
      </w:pPr>
      <w:r>
        <w:rPr>
          <w:lang w:val="en-GB"/>
        </w:rPr>
        <w:t>The PST Supplier’s responsibilities include:</w:t>
      </w:r>
    </w:p>
    <w:p>
      <w:pPr>
        <w:pStyle w:val="Normal"/>
        <w:spacing w:before="0" w:after="0"/>
        <w:jc w:val="both"/>
        <w:rPr>
          <w:lang w:val="en-GB"/>
        </w:rPr>
      </w:pPr>
      <w:r>
        <w:rPr>
          <w:lang w:val="en-GB"/>
        </w:rPr>
      </w:r>
    </w:p>
    <w:p>
      <w:pPr>
        <w:pStyle w:val="Normal"/>
        <w:spacing w:before="0" w:after="0"/>
        <w:ind w:hanging="720" w:start="720" w:end="0"/>
        <w:jc w:val="both"/>
        <w:rPr/>
      </w:pPr>
      <w:r>
        <w:rPr>
          <w:lang w:val="en-GB"/>
        </w:rPr>
        <w:t>a)</w:t>
        <w:tab/>
        <w:t>Scheduling relevant software distributions to minimize Authorised User disruption, and without Authorised User assistance and interaction, in order to support time-critical release upgrades, deploy urgent patches, and maintain current Projects.</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b)</w:t>
        <w:tab/>
        <w:t>Performing relevant software distributions consistent with the configurations associated with Standard Products, as applicable, independent from the distribution media (for example, LAN, WAN, dial-up, CD ROM, etc.).</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c)</w:t>
        <w:tab/>
        <w:t>Wherever possible, installing software via an automated installation Package without Authorised User interaction to ensure a harmonised installation globally and to reduce lost productivity due to missing or wrong application configuration.</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d)</w:t>
        <w:tab/>
        <w:t>Executing automated distributions so that the automated software deployment during a dial-up session does not require Authorised User input.</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e)</w:t>
        <w:tab/>
        <w:t>For the relevant scope, where needed and in agreement with 2IM, implementing an electronic software distribution system that effectively and efficiently distributes new software to LAN-connected workstations located at EuroBank Sites and to remotely connected workstations in a timely manner. This may require alternative transport methods (for example, CDs, etc.) due to size and bandwidth parameters. The distribution strategy will be determined on criteria such as service layer, scale and size (number of target users/machines, spreading possible risks (first pilot distribution then 10/30/60% rule) network capacity, prevention of big bang and possible reboot scenarios.</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f)</w:t>
        <w:tab/>
        <w:t>Packaging and testing of the 'produced' Package of all desktop/laptop System Software in scope of the Bundle, (e.g. packaging of all relevant Service Layers), fine-tuning Package, document Package findings, review the System Software (technically) by using the conflict database and carry out a peer review (install, de-install and document the Package).</w:t>
      </w:r>
    </w:p>
    <w:p>
      <w:pPr>
        <w:pStyle w:val="Normal"/>
        <w:spacing w:before="0" w:after="0"/>
        <w:ind w:start="720" w:end="0"/>
        <w:jc w:val="both"/>
        <w:rPr>
          <w:lang w:val="en-GB"/>
        </w:rPr>
      </w:pPr>
      <w:r>
        <w:rPr>
          <w:lang w:val="en-GB"/>
        </w:rPr>
      </w:r>
    </w:p>
    <w:p>
      <w:pPr>
        <w:pStyle w:val="Normal"/>
        <w:spacing w:before="0" w:after="0"/>
        <w:ind w:start="720" w:end="0"/>
        <w:jc w:val="both"/>
        <w:rPr/>
      </w:pPr>
      <w:r>
        <w:rPr>
          <w:lang w:val="en-GB"/>
        </w:rPr>
        <w:t>The test environments for the packaging will be installed and operated by the PST Supplier – 2 Sites will be established (Amsterdam and Brussels) but within EuroBank locations. With regard to stress testing, the tooling will be provided, but not a stress testing environment.</w:t>
      </w:r>
    </w:p>
    <w:p>
      <w:pPr>
        <w:pStyle w:val="Normal"/>
        <w:spacing w:before="0" w:after="0"/>
        <w:jc w:val="both"/>
        <w:rPr>
          <w:lang w:val="en-GB"/>
        </w:rPr>
      </w:pPr>
      <w:r>
        <w:rPr>
          <w:lang w:val="en-GB"/>
        </w:rPr>
      </w:r>
    </w:p>
    <w:p>
      <w:pPr>
        <w:pStyle w:val="Heading2Numbered"/>
        <w:numPr>
          <w:ilvl w:val="1"/>
          <w:numId w:val="2"/>
        </w:numPr>
        <w:ind w:hanging="0" w:start="0"/>
        <w:jc w:val="both"/>
        <w:rPr>
          <w:sz w:val="22"/>
          <w:szCs w:val="22"/>
          <w:lang w:val="en-GB"/>
        </w:rPr>
      </w:pPr>
      <w:bookmarkStart w:id="13" w:name="__RefHeading___Toc150051200"/>
      <w:bookmarkEnd w:id="13"/>
      <w:r>
        <w:rPr>
          <w:sz w:val="22"/>
          <w:szCs w:val="22"/>
          <w:lang w:val="en-GB"/>
        </w:rPr>
        <w:t>Release Management</w:t>
      </w:r>
    </w:p>
    <w:p>
      <w:pPr>
        <w:pStyle w:val="Normal"/>
        <w:spacing w:before="0" w:after="0"/>
        <w:jc w:val="both"/>
        <w:rPr>
          <w:lang w:val="en-GB"/>
        </w:rPr>
      </w:pPr>
      <w:r>
        <w:rPr>
          <w:lang w:val="en-GB"/>
        </w:rPr>
        <w:t>The controlled release of products into the EuroBank environment is important to the stability of Services provided.</w:t>
      </w:r>
    </w:p>
    <w:p>
      <w:pPr>
        <w:pStyle w:val="Normal"/>
        <w:spacing w:before="0" w:after="0"/>
        <w:jc w:val="both"/>
        <w:rPr>
          <w:lang w:val="en-GB"/>
        </w:rPr>
      </w:pPr>
      <w:r>
        <w:rPr>
          <w:lang w:val="en-GB"/>
        </w:rPr>
      </w:r>
    </w:p>
    <w:p>
      <w:pPr>
        <w:pStyle w:val="Normal"/>
        <w:spacing w:before="0" w:after="0"/>
        <w:jc w:val="both"/>
        <w:rPr/>
      </w:pPr>
      <w:r>
        <w:rPr>
          <w:lang w:val="en-GB"/>
        </w:rPr>
        <w:t>The PST Supplier will participate in the central Change/Release meeting with all EuroBank Application Development Centres (‘ADCs’) to coordinate the entire Release calendar. The centrally established release calendar will be taken into account. The PST Supplier has regular meetings with each ADC to discuss the release planning/calendar and other current matters.</w:t>
      </w:r>
    </w:p>
    <w:p>
      <w:pPr>
        <w:pStyle w:val="Normal"/>
        <w:spacing w:before="0" w:after="0"/>
        <w:jc w:val="both"/>
        <w:rPr>
          <w:lang w:val="en-GB"/>
        </w:rPr>
      </w:pPr>
      <w:r>
        <w:rPr>
          <w:lang w:val="en-GB"/>
        </w:rPr>
      </w:r>
    </w:p>
    <w:p>
      <w:pPr>
        <w:pStyle w:val="Normal"/>
        <w:spacing w:before="0" w:after="0"/>
        <w:jc w:val="both"/>
        <w:rPr>
          <w:lang w:val="en-GB"/>
        </w:rPr>
      </w:pPr>
      <w:r>
        <w:rPr>
          <w:lang w:val="en-GB"/>
        </w:rPr>
        <w:t>The PST Supplier calibrates the release activities to get and stay in line with the centrally agreed release calendar. All activities will fall under 2IM procedures and rules.</w:t>
      </w:r>
    </w:p>
    <w:p>
      <w:pPr>
        <w:pStyle w:val="Normal"/>
        <w:spacing w:before="0" w:after="0"/>
        <w:jc w:val="both"/>
        <w:rPr>
          <w:lang w:val="en-GB"/>
        </w:rPr>
      </w:pPr>
      <w:r>
        <w:rPr>
          <w:lang w:val="en-GB"/>
        </w:rPr>
      </w:r>
    </w:p>
    <w:p>
      <w:pPr>
        <w:pStyle w:val="Normal"/>
        <w:spacing w:before="0" w:after="0"/>
        <w:ind w:hanging="720" w:start="720" w:end="0"/>
        <w:jc w:val="both"/>
        <w:rPr>
          <w:lang w:val="en-GB"/>
        </w:rPr>
      </w:pPr>
      <w:r>
        <w:rPr>
          <w:lang w:val="en-GB"/>
        </w:rPr>
        <w:t>a)</w:t>
        <w:tab/>
        <w:t>Following 2IM procedures, the PST Supplier will agree with the ADC a release schedule</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b)</w:t>
        <w:tab/>
        <w:t>As defined by 2IM, have meetings with each ADC on a regular basis to discuss the release planning/calendar and other current matters.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c)</w:t>
        <w:tab/>
        <w:t>As defined by 2IM, participating in meetings with all ADC’s to coordinate the entire release calendar.</w:t>
      </w:r>
    </w:p>
    <w:p>
      <w:pPr>
        <w:pStyle w:val="Heading1Numbered"/>
        <w:numPr>
          <w:ilvl w:val="0"/>
          <w:numId w:val="2"/>
        </w:numPr>
        <w:ind w:hanging="0" w:start="0"/>
        <w:jc w:val="both"/>
        <w:rPr>
          <w:sz w:val="22"/>
          <w:szCs w:val="22"/>
          <w:lang w:val="en-GB"/>
        </w:rPr>
      </w:pPr>
      <w:bookmarkStart w:id="14" w:name="__RefHeading___Toc150051201"/>
      <w:bookmarkEnd w:id="14"/>
      <w:r>
        <w:rPr>
          <w:sz w:val="22"/>
          <w:szCs w:val="22"/>
          <w:lang w:val="en-GB"/>
        </w:rPr>
        <w:t>SOFTWARE OPERATIONS AND SUPPORT</w:t>
      </w:r>
    </w:p>
    <w:p>
      <w:pPr>
        <w:pStyle w:val="Normal"/>
        <w:spacing w:before="0" w:after="0"/>
        <w:jc w:val="both"/>
        <w:rPr/>
      </w:pPr>
      <w:r>
        <w:rPr>
          <w:lang w:val="en-GB"/>
        </w:rPr>
        <w:t xml:space="preserve">The following section applies to design and support Services as well as Application Services, however for each of these sub-Bundles, the scope differs; </w:t>
      </w:r>
    </w:p>
    <w:p>
      <w:pPr>
        <w:pStyle w:val="Normal"/>
        <w:spacing w:before="0" w:after="0"/>
        <w:jc w:val="both"/>
        <w:rPr>
          <w:lang w:val="en-GB"/>
        </w:rPr>
      </w:pPr>
      <w:r>
        <w:rPr>
          <w:lang w:val="en-GB"/>
        </w:rPr>
      </w:r>
    </w:p>
    <w:p>
      <w:pPr>
        <w:pStyle w:val="Normal"/>
        <w:spacing w:before="0" w:after="0"/>
        <w:ind w:start="720" w:end="0"/>
        <w:jc w:val="both"/>
        <w:rPr>
          <w:lang w:val="en-GB"/>
        </w:rPr>
      </w:pPr>
      <w:r>
        <w:rPr>
          <w:lang w:val="en-GB"/>
        </w:rPr>
        <w:t xml:space="preserve">Design and support - </w:t>
      </w:r>
      <w:r>
        <w:rPr>
          <w:i/>
          <w:lang w:val="en-GB"/>
        </w:rPr>
        <w:t>CSL and COSL</w:t>
      </w:r>
    </w:p>
    <w:p>
      <w:pPr>
        <w:pStyle w:val="Normal"/>
        <w:spacing w:before="0" w:after="0"/>
        <w:ind w:start="720" w:end="0"/>
        <w:jc w:val="both"/>
        <w:rPr>
          <w:lang w:val="en-GB"/>
        </w:rPr>
      </w:pPr>
      <w:r>
        <w:rPr>
          <w:lang w:val="en-GB"/>
        </w:rPr>
        <w:t xml:space="preserve">Application Services - </w:t>
      </w:r>
      <w:r>
        <w:rPr>
          <w:i/>
          <w:lang w:val="en-GB"/>
        </w:rPr>
        <w:t>BSL and ROSL</w:t>
      </w:r>
    </w:p>
    <w:p>
      <w:pPr>
        <w:pStyle w:val="Heading2Numbered"/>
        <w:numPr>
          <w:ilvl w:val="1"/>
          <w:numId w:val="2"/>
        </w:numPr>
        <w:ind w:hanging="0" w:start="0"/>
        <w:jc w:val="both"/>
        <w:rPr>
          <w:sz w:val="22"/>
          <w:szCs w:val="22"/>
          <w:lang w:val="en-GB"/>
        </w:rPr>
      </w:pPr>
      <w:bookmarkStart w:id="15" w:name="__RefHeading___Toc150051202"/>
      <w:r>
        <w:rPr>
          <w:sz w:val="22"/>
          <w:szCs w:val="22"/>
          <w:lang w:val="en-GB"/>
        </w:rPr>
        <w:t>Installation, Upgrades and Changes</w:t>
      </w:r>
      <w:bookmarkEnd w:id="15"/>
      <w:r>
        <w:rPr>
          <w:sz w:val="22"/>
          <w:szCs w:val="22"/>
          <w:lang w:val="en-GB"/>
        </w:rPr>
        <w:t xml:space="preserve"> </w:t>
      </w:r>
    </w:p>
    <w:p>
      <w:pPr>
        <w:pStyle w:val="Normal"/>
        <w:spacing w:before="0" w:after="0"/>
        <w:jc w:val="both"/>
        <w:rPr/>
      </w:pPr>
      <w:r>
        <w:rPr>
          <w:lang w:val="en-GB"/>
        </w:rPr>
        <w:t xml:space="preserve">The PST Supplier workplace concept sets forth that all System Software running on a workstation is packaged and the roles necessary to undertake this consists of </w:t>
      </w:r>
    </w:p>
    <w:p>
      <w:pPr>
        <w:pStyle w:val="Normal"/>
        <w:spacing w:before="0" w:after="0"/>
        <w:jc w:val="both"/>
        <w:rPr>
          <w:lang w:val="en-GB"/>
        </w:rPr>
      </w:pPr>
      <w:r>
        <w:rPr>
          <w:lang w:val="en-GB"/>
        </w:rPr>
      </w:r>
    </w:p>
    <w:p>
      <w:pPr>
        <w:pStyle w:val="Normal"/>
        <w:spacing w:before="0" w:after="0"/>
        <w:ind w:hanging="720" w:start="720" w:end="0"/>
        <w:jc w:val="both"/>
        <w:rPr/>
      </w:pPr>
      <w:r>
        <w:rPr>
          <w:lang w:val="en-GB"/>
        </w:rPr>
        <w:t>•</w:t>
        <w:tab/>
        <w:t>Functional Application Manager (“FAM”) is an EuroBank or development team representative, capable to install an application and to determine if an application behaves correctly.</w:t>
      </w:r>
      <w:r>
        <w:rPr>
          <w:lang w:val="en-GB"/>
        </w:rPr>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w:t>
      </w:r>
      <w:r>
        <w:rPr>
          <w:lang w:val="en-GB"/>
        </w:rPr>
        <w:tab/>
        <w:t>The PST Supplier Application Intake Coordinator (“AIC”) interfaces between the FAM and the PST Supplier Scripting Factory (“SF”) and offers the FAM a standardised environment to carry out his duties.</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w:t>
      </w:r>
      <w:r>
        <w:rPr>
          <w:lang w:val="en-GB"/>
        </w:rPr>
        <w:tab/>
        <w:t>The PST Supplier Scripting Factory is a department where Packages are created, based on instructions by the FAM.</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w:t>
      </w:r>
      <w:r>
        <w:rPr>
          <w:lang w:val="en-GB"/>
        </w:rPr>
        <w:tab/>
        <w:t>The PST Supplier Test Management Department (“TDM”) performs technical tests and compliancy tests based on input of the FAM and their own developed knowledge. These tests include regression test, focusing on earlier reported issues, exploring all known ‘boundaries’ and ‘corners’ of an application, as far as the available infrastructure allows this test department to test.</w:t>
      </w:r>
    </w:p>
    <w:p>
      <w:pPr>
        <w:pStyle w:val="Normal"/>
        <w:spacing w:before="0" w:after="0"/>
        <w:jc w:val="both"/>
        <w:rPr>
          <w:lang w:val="en-GB"/>
        </w:rPr>
      </w:pPr>
      <w:r>
        <w:rPr>
          <w:lang w:val="en-GB"/>
        </w:rPr>
      </w:r>
    </w:p>
    <w:p>
      <w:pPr>
        <w:pStyle w:val="Normal"/>
        <w:spacing w:before="0" w:after="0"/>
        <w:jc w:val="both"/>
        <w:rPr/>
      </w:pPr>
      <w:r>
        <w:rPr>
          <w:lang w:val="en-GB"/>
        </w:rPr>
        <w:t xml:space="preserve">The PST Supplier will utilise a thorough and resilient process to package all relevant System Software, in agreement with EuroBank, including the necessary technical tests to ensure reliability. </w:t>
      </w:r>
    </w:p>
    <w:p>
      <w:pPr>
        <w:pStyle w:val="Normal"/>
        <w:spacing w:before="0" w:after="0"/>
        <w:jc w:val="both"/>
        <w:rPr>
          <w:lang w:val="en-GB"/>
        </w:rPr>
      </w:pPr>
      <w:r>
        <w:rPr>
          <w:lang w:val="en-GB"/>
        </w:rPr>
      </w:r>
    </w:p>
    <w:p>
      <w:pPr>
        <w:pStyle w:val="Normal"/>
        <w:spacing w:before="0" w:after="0"/>
        <w:jc w:val="both"/>
        <w:rPr/>
      </w:pPr>
      <w:r>
        <w:rPr>
          <w:lang w:val="en-GB"/>
        </w:rPr>
        <w:t xml:space="preserve">software changes, upgrades or new releases are strongly related to and often triggered by Change Management and Release Management. </w:t>
      </w:r>
    </w:p>
    <w:p>
      <w:pPr>
        <w:pStyle w:val="Normal"/>
        <w:spacing w:before="0" w:after="0"/>
        <w:jc w:val="both"/>
        <w:rPr>
          <w:lang w:val="en-GB"/>
        </w:rPr>
      </w:pPr>
      <w:r>
        <w:rPr>
          <w:lang w:val="en-GB"/>
        </w:rPr>
      </w:r>
    </w:p>
    <w:p>
      <w:pPr>
        <w:pStyle w:val="Normal"/>
        <w:spacing w:before="0" w:after="0"/>
        <w:jc w:val="both"/>
        <w:rPr/>
      </w:pPr>
      <w:r>
        <w:rPr>
          <w:lang w:val="en-GB"/>
        </w:rPr>
        <w:t>The process of Software Control &amp; Distribution (“SC&amp;D”) is responsible for all software that is managed. This software may be made in house or bought elsewhere.</w:t>
      </w:r>
    </w:p>
    <w:p>
      <w:pPr>
        <w:pStyle w:val="Normal"/>
        <w:spacing w:before="0" w:after="0"/>
        <w:jc w:val="both"/>
        <w:rPr>
          <w:lang w:val="en-GB"/>
        </w:rPr>
      </w:pPr>
      <w:r>
        <w:rPr>
          <w:lang w:val="en-GB"/>
        </w:rPr>
      </w:r>
    </w:p>
    <w:p>
      <w:pPr>
        <w:pStyle w:val="Normal"/>
        <w:spacing w:before="0" w:after="0"/>
        <w:jc w:val="both"/>
        <w:rPr/>
      </w:pPr>
      <w:r>
        <w:rPr>
          <w:lang w:val="en-GB"/>
        </w:rPr>
        <w:t>Hereto Software Control &amp; Distribution defines different environments (such as development, test, definitive System Software, production) and organises:</w:t>
      </w:r>
    </w:p>
    <w:p>
      <w:pPr>
        <w:pStyle w:val="Normal"/>
        <w:spacing w:before="0" w:after="0"/>
        <w:jc w:val="both"/>
        <w:rPr>
          <w:lang w:val="en-GB"/>
        </w:rPr>
      </w:pPr>
      <w:r>
        <w:rPr>
          <w:lang w:val="en-GB"/>
        </w:rPr>
      </w:r>
    </w:p>
    <w:p>
      <w:pPr>
        <w:pStyle w:val="Normal"/>
        <w:spacing w:before="0" w:after="0"/>
        <w:jc w:val="both"/>
        <w:rPr/>
      </w:pPr>
      <w:r>
        <w:rPr>
          <w:lang w:val="en-GB"/>
        </w:rPr>
        <w:t>•</w:t>
      </w:r>
      <w:r>
        <w:rPr>
          <w:lang w:val="en-GB"/>
        </w:rPr>
        <w:tab/>
        <w:t>The storage of the software in both centralised and distributed systems.</w:t>
      </w:r>
    </w:p>
    <w:p>
      <w:pPr>
        <w:pStyle w:val="Normal"/>
        <w:spacing w:before="0" w:after="0"/>
        <w:jc w:val="both"/>
        <w:rPr/>
      </w:pPr>
      <w:r>
        <w:rPr>
          <w:lang w:val="en-GB"/>
        </w:rPr>
        <w:t>•</w:t>
      </w:r>
      <w:r>
        <w:rPr>
          <w:lang w:val="en-GB"/>
        </w:rPr>
        <w:tab/>
        <w:t>The movement of the software between environments.</w:t>
      </w:r>
    </w:p>
    <w:p>
      <w:pPr>
        <w:pStyle w:val="Normal"/>
        <w:spacing w:before="0" w:after="0"/>
        <w:jc w:val="both"/>
        <w:rPr/>
      </w:pPr>
      <w:r>
        <w:rPr>
          <w:lang w:val="en-GB"/>
        </w:rPr>
        <w:t>•</w:t>
      </w:r>
      <w:r>
        <w:rPr>
          <w:lang w:val="en-GB"/>
        </w:rPr>
        <w:tab/>
        <w:t>The distribution of the System Software to remote locations.</w:t>
      </w:r>
    </w:p>
    <w:p>
      <w:pPr>
        <w:pStyle w:val="Normal"/>
        <w:spacing w:before="0" w:after="0"/>
        <w:jc w:val="both"/>
        <w:rPr>
          <w:lang w:val="en-GB"/>
        </w:rPr>
      </w:pPr>
      <w:r>
        <w:rPr>
          <w:lang w:val="en-GB"/>
        </w:rPr>
        <w:t>•</w:t>
      </w:r>
      <w:r>
        <w:rPr>
          <w:lang w:val="en-GB"/>
        </w:rPr>
        <w:tab/>
        <w:t>Version and Release Control.</w:t>
      </w:r>
    </w:p>
    <w:p>
      <w:pPr>
        <w:pStyle w:val="Normal"/>
        <w:spacing w:before="0" w:after="0"/>
        <w:jc w:val="both"/>
        <w:rPr>
          <w:lang w:val="en-GB"/>
        </w:rPr>
      </w:pPr>
      <w:r>
        <w:rPr>
          <w:lang w:val="en-GB"/>
        </w:rPr>
      </w:r>
    </w:p>
    <w:p>
      <w:pPr>
        <w:pStyle w:val="Normal"/>
        <w:spacing w:before="0" w:after="0"/>
        <w:jc w:val="both"/>
        <w:rPr/>
      </w:pPr>
      <w:r>
        <w:rPr>
          <w:lang w:val="en-GB"/>
        </w:rPr>
        <w:t>A ‘Software Inventory’ (SI) is the database that registers all managed software, in production and under development. System Software (and documentation) is physically moved between the different environments by SC&amp;D. SC&amp;D will perform the necessary checks and register the changes in the SI. After a successful test the System Software is moved to the definitive software environment. The DSE contains the versions/releases ready for production (current and non-current) and is subsequently used as the basis for further distribution of the software to production environments.</w:t>
      </w:r>
    </w:p>
    <w:p>
      <w:pPr>
        <w:pStyle w:val="Normal"/>
        <w:spacing w:before="0" w:after="0"/>
        <w:jc w:val="both"/>
        <w:rPr>
          <w:lang w:val="en-GB"/>
        </w:rPr>
      </w:pPr>
      <w:r>
        <w:rPr>
          <w:lang w:val="en-GB"/>
        </w:rPr>
      </w:r>
    </w:p>
    <w:p>
      <w:pPr>
        <w:pStyle w:val="Normal"/>
        <w:spacing w:before="0" w:after="0"/>
        <w:jc w:val="both"/>
        <w:rPr>
          <w:lang w:val="en-GB"/>
        </w:rPr>
      </w:pPr>
      <w:r>
        <w:rPr>
          <w:lang w:val="en-GB"/>
        </w:rPr>
        <w:tab/>
      </w:r>
      <w:r>
        <w:rPr>
          <w:lang w:val="en-GB"/>
        </w:rPr>
        <w:drawing>
          <wp:inline distT="0" distB="0" distL="0" distR="0">
            <wp:extent cx="3259455" cy="1447800"/>
            <wp:effectExtent l="0" t="0" r="0" b="0"/>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9"/>
                    <a:srcRect l="-5" t="-11" r="-5" b="-11"/>
                    <a:stretch>
                      <a:fillRect/>
                    </a:stretch>
                  </pic:blipFill>
                  <pic:spPr bwMode="auto">
                    <a:xfrm>
                      <a:off x="0" y="0"/>
                      <a:ext cx="3259455" cy="1447800"/>
                    </a:xfrm>
                    <a:prstGeom prst="rect">
                      <a:avLst/>
                    </a:prstGeom>
                    <a:noFill/>
                  </pic:spPr>
                </pic:pic>
              </a:graphicData>
            </a:graphic>
          </wp:inline>
        </w:drawing>
      </w:r>
    </w:p>
    <w:p>
      <w:pPr>
        <w:pStyle w:val="Normal"/>
        <w:spacing w:before="0" w:after="0"/>
        <w:jc w:val="both"/>
        <w:rPr>
          <w:lang w:val="en-GB"/>
        </w:rPr>
      </w:pPr>
      <w:r>
        <w:rPr>
          <w:lang w:val="en-GB"/>
        </w:rPr>
        <w:t>Software Control &amp; Distribution, as depicted in the figure above, controls the different environments. Change Management performs the actual development and testing.</w:t>
      </w:r>
    </w:p>
    <w:p>
      <w:pPr>
        <w:pStyle w:val="Normal"/>
        <w:spacing w:before="0" w:after="0"/>
        <w:jc w:val="both"/>
        <w:rPr>
          <w:lang w:val="en-GB"/>
        </w:rPr>
      </w:pPr>
      <w:r>
        <w:rPr>
          <w:lang w:val="en-GB"/>
        </w:rPr>
      </w:r>
    </w:p>
    <w:p>
      <w:pPr>
        <w:pStyle w:val="Normal"/>
        <w:spacing w:before="0" w:after="0"/>
        <w:jc w:val="both"/>
        <w:rPr>
          <w:lang w:val="en-GB"/>
        </w:rPr>
      </w:pPr>
      <w:r>
        <w:rPr>
          <w:lang w:val="en-GB"/>
        </w:rPr>
        <w:t>The PST Supplier’s responsibilities include; in accordance with EuroBank policies and technical architecture standards, with respect of EuroBank change management procedures and as defined by 2IM:</w:t>
      </w:r>
    </w:p>
    <w:p>
      <w:pPr>
        <w:pStyle w:val="Normal"/>
        <w:spacing w:before="0" w:after="0"/>
        <w:jc w:val="both"/>
        <w:rPr>
          <w:lang w:val="en-GB"/>
        </w:rPr>
      </w:pPr>
      <w:r>
        <w:rPr>
          <w:lang w:val="en-GB"/>
        </w:rPr>
      </w:r>
    </w:p>
    <w:p>
      <w:pPr>
        <w:pStyle w:val="Normal"/>
        <w:spacing w:before="0" w:after="0"/>
        <w:ind w:hanging="720" w:start="720" w:end="0"/>
        <w:jc w:val="both"/>
        <w:rPr/>
      </w:pPr>
      <w:r>
        <w:rPr>
          <w:lang w:val="en-GB"/>
        </w:rPr>
        <w:t>a)</w:t>
        <w:tab/>
        <w:t>Installing, upgrading and changing all software as required.</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b)</w:t>
        <w:tab/>
        <w:t>Interfacing with retained EuroBank staff and other Third Parties to promote compatibility of software products.</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c)</w:t>
        <w:tab/>
        <w:t xml:space="preserve">Unless otherwise directed by EuroBank, installing, upgrading, and changing software to 2IM prescribed release levels. The PST Supplier will provide: </w:t>
      </w:r>
    </w:p>
    <w:p>
      <w:pPr>
        <w:pStyle w:val="Normal"/>
        <w:spacing w:before="0" w:after="0"/>
        <w:ind w:hanging="720" w:start="720" w:end="0"/>
        <w:jc w:val="both"/>
        <w:rPr>
          <w:lang w:val="en-GB"/>
        </w:rPr>
      </w:pPr>
      <w:r>
        <w:rPr>
          <w:lang w:val="en-GB"/>
        </w:rPr>
      </w:r>
    </w:p>
    <w:p>
      <w:pPr>
        <w:pStyle w:val="Normal"/>
        <w:spacing w:before="0" w:after="0"/>
        <w:ind w:hanging="720" w:start="2160" w:end="0"/>
        <w:jc w:val="both"/>
        <w:rPr>
          <w:lang w:val="en-GB"/>
        </w:rPr>
      </w:pPr>
      <w:r>
        <w:rPr>
          <w:lang w:val="en-GB"/>
        </w:rPr>
        <w:t>CSL, COSL, ROSL, upgrades as per EuroBank estimates;</w:t>
      </w:r>
    </w:p>
    <w:p>
      <w:pPr>
        <w:pStyle w:val="Normal"/>
        <w:spacing w:before="0" w:after="0"/>
        <w:ind w:hanging="720" w:start="2160" w:end="0"/>
        <w:jc w:val="both"/>
        <w:rPr>
          <w:lang w:val="en-GB"/>
        </w:rPr>
      </w:pPr>
      <w:r>
        <w:rPr>
          <w:lang w:val="en-GB"/>
        </w:rPr>
      </w:r>
    </w:p>
    <w:p>
      <w:pPr>
        <w:pStyle w:val="Normal"/>
        <w:spacing w:before="0" w:after="0"/>
        <w:ind w:hanging="720" w:start="2160" w:end="0"/>
        <w:jc w:val="both"/>
        <w:rPr>
          <w:lang w:val="en-GB"/>
        </w:rPr>
      </w:pPr>
      <w:r>
        <w:rPr>
          <w:lang w:val="en-GB"/>
        </w:rPr>
        <w:t>OSL – distribution support; testing (technical testing for packaging; functional testing – provide facilities, i.e. acceptance environment, with users undertaking the tests and EuroBank provide hardware and licenses); and packaging..</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d)</w:t>
        <w:tab/>
        <w:t>Providing installation of department or Authorised User-specific software as requested by EuroBank and validated by 2IM.</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e)</w:t>
        <w:tab/>
        <w:t>Installing Third Party-supplied corrections for Third Party software problems, plus installing Third Party-supplied software patches as required. The agreed number of Packages distributed per year are included in the base charge. Service packs are considered to be a new Package. Anti-virus updates, registry settings, DLL maintenance (i.e. only changing DLL files not adding a new application), security patches etc are not considered Packages and are not included in the agreed number of Packages - but they are included within the base charge.</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f)</w:t>
        <w:tab/>
        <w:t>Prior to the start of each calendar quarter, giving notice to all relevant EuroBank parties of all upgrades and changes of software that are planned to occur in the following quarter. The Parties will mutually agree on the timing of the implementation of upgrades.</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g)</w:t>
        <w:tab/>
        <w:t>Coordinating testing, installation, customisation and support of software with ADC personnel, Authorised Users, and other Third Parties as required. This includes regression (integration) testing for BSL apps –technical test (conflict testing), but not necessarily fault resolution for out of scope components such as for some DLLs.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h)</w:t>
        <w:tab/>
        <w:t>Observing EuroBank and 2IM Change Management procedures while implementing changes, upgrades or enhancements.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i)</w:t>
        <w:tab/>
        <w:t>For any changes, upgrades, or enhancements, advising EuroBank and PST Supplier of any additional Equipment, network, environmental, or other requirements needed during integration testing and/or otherwise known to be necessary for the implementation .</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j)</w:t>
        <w:tab/>
        <w:t>Proactively providing ADC staff, EuroBank, and other Third Parties with support for Equipment and System Software used in support of ADC activities.</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k)</w:t>
        <w:tab/>
        <w:t>Prior to implementation or changes to Application software, proactively providing ADC staff, EuroBank staff, and other Third Parties with information and constraints related to Equipment, System Software, and network requirements.</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l)</w:t>
        <w:tab/>
        <w:t>Coordinating production testing and implementation activities for Application software with ADC staff, EuroBank staff, and other Third Parties as required in order to successfully promoting Application software into the production environment.</w:t>
      </w:r>
    </w:p>
    <w:p>
      <w:pPr>
        <w:pStyle w:val="Heading2Numbered"/>
        <w:numPr>
          <w:ilvl w:val="1"/>
          <w:numId w:val="2"/>
        </w:numPr>
        <w:ind w:hanging="0" w:start="0"/>
        <w:jc w:val="both"/>
        <w:rPr>
          <w:sz w:val="22"/>
          <w:szCs w:val="22"/>
          <w:lang w:val="en-GB"/>
        </w:rPr>
      </w:pPr>
      <w:bookmarkStart w:id="16" w:name="__RefHeading___Toc150051203"/>
      <w:bookmarkEnd w:id="16"/>
      <w:r>
        <w:rPr>
          <w:sz w:val="22"/>
          <w:szCs w:val="22"/>
          <w:lang w:val="en-GB"/>
        </w:rPr>
        <w:t>Software Support</w:t>
      </w:r>
    </w:p>
    <w:p>
      <w:pPr>
        <w:pStyle w:val="Normal"/>
        <w:spacing w:before="0" w:after="0"/>
        <w:jc w:val="both"/>
        <w:rPr/>
      </w:pPr>
      <w:r>
        <w:rPr>
          <w:lang w:val="en-GB"/>
        </w:rPr>
        <w:t>The PST Supplier offers 1st line support for all System Software via the PST Service Desk. For System Software developed by PST Supplier , PST Supplier offers 2nd line, 3rd line and development support. For System Software developed within EuroBank or a 3rd party, the PST Supplier offers 2nd line support and 3rd line support, as far as the knowledge and information available about the application allow the PST Supplier to do so. For issues not within their capabilities, the PST Supplier relies on EuroBank-teams or 3rd parties responsible for development of System Software.</w:t>
      </w:r>
    </w:p>
    <w:p>
      <w:pPr>
        <w:pStyle w:val="Normal"/>
        <w:spacing w:before="0" w:after="0"/>
        <w:jc w:val="both"/>
        <w:rPr>
          <w:lang w:val="en-GB"/>
        </w:rPr>
      </w:pPr>
      <w:r>
        <w:rPr>
          <w:lang w:val="en-GB"/>
        </w:rPr>
        <w:t xml:space="preserve"> </w:t>
      </w:r>
    </w:p>
    <w:p>
      <w:pPr>
        <w:pStyle w:val="Normal"/>
        <w:spacing w:before="0" w:after="0"/>
        <w:jc w:val="both"/>
        <w:rPr/>
      </w:pPr>
      <w:r>
        <w:rPr>
          <w:lang w:val="en-GB"/>
        </w:rPr>
        <w:t>The PST Supplier offers 3rd line support and development support for all System Software developed by PST Supplier staff, part of the EuroBank units in scope. Specific development assignments can result from this level of support. These assignments are normally not part of this level of support, but part of normal application Release Management procedures, unless otherwise agreed.</w:t>
      </w:r>
    </w:p>
    <w:p>
      <w:pPr>
        <w:pStyle w:val="Normal"/>
        <w:spacing w:before="0" w:after="0"/>
        <w:jc w:val="both"/>
        <w:rPr>
          <w:lang w:val="en-GB"/>
        </w:rPr>
      </w:pPr>
      <w:r>
        <w:rPr>
          <w:lang w:val="en-GB"/>
        </w:rPr>
      </w:r>
    </w:p>
    <w:p>
      <w:pPr>
        <w:pStyle w:val="Normal"/>
        <w:spacing w:before="0" w:after="0"/>
        <w:jc w:val="both"/>
        <w:rPr/>
      </w:pPr>
      <w:r>
        <w:rPr>
          <w:lang w:val="en-GB"/>
        </w:rPr>
        <w:t>EuroBank and the PST Supplier will discuss and decide, at regular intervals eg per quarter, or more often if required by EuroBank, about the development of the System Software portfolio required to fulfil EuroBank business requirements. The PST Supplier supports System Software at these prescribed release levels, according to an agreed calendar.</w:t>
      </w:r>
    </w:p>
    <w:p>
      <w:pPr>
        <w:pStyle w:val="Normal"/>
        <w:spacing w:before="0" w:after="0"/>
        <w:jc w:val="both"/>
        <w:rPr>
          <w:lang w:val="en-GB"/>
        </w:rPr>
      </w:pPr>
      <w:r>
        <w:rPr>
          <w:lang w:val="en-GB"/>
        </w:rPr>
      </w:r>
    </w:p>
    <w:p>
      <w:pPr>
        <w:pStyle w:val="Normal"/>
        <w:spacing w:before="0" w:after="0"/>
        <w:jc w:val="both"/>
        <w:rPr/>
      </w:pPr>
      <w:r>
        <w:rPr>
          <w:lang w:val="en-GB"/>
        </w:rPr>
        <w:t>System Software changes are subject to the Change Management process. Depending on the change impact, inventoried together with EuroBank, the selected higher change category implies a stronger controlled change process with more decision moments and stronger risk assessment and management. With higher change categories, EuroBank is involved at one or more points in the change process.</w:t>
      </w:r>
    </w:p>
    <w:p>
      <w:pPr>
        <w:pStyle w:val="Normal"/>
        <w:spacing w:before="0" w:after="0"/>
        <w:jc w:val="both"/>
        <w:rPr>
          <w:lang w:val="en-GB"/>
        </w:rPr>
      </w:pPr>
      <w:r>
        <w:rPr>
          <w:lang w:val="en-GB"/>
        </w:rPr>
      </w:r>
    </w:p>
    <w:p>
      <w:pPr>
        <w:pStyle w:val="Normal"/>
        <w:spacing w:before="0" w:after="0"/>
        <w:jc w:val="both"/>
        <w:rPr/>
      </w:pPr>
      <w:r>
        <w:rPr>
          <w:lang w:val="en-GB"/>
        </w:rPr>
        <w:t>The PST Service Desk provides support, advice and assistance in the 1st line. The Service Desk can use a knowledge base, taking advantage of earlier incidents and questions about System Software used by Authorised Users. Already within the 1st line, the Service Desk representative is able to take over the Authorised User’s PC to look together with the end user for a solution of the issue,. More complex issues, not resolvable on 1st call will be handled in a call from the 2nd line. The Authorised User may be advised to follow additional training. The PST Supplier will undertake reasonable endeavours to offer training in the form of self-service training. Very specific calls for support, advice or assistance may need to be followed-up by a PST Supplier consultant, specialised in the specific area. For issues related to System Software developed by EuroBank herself, the PST Supplier may require assistance of the EuroBank development team to fulfil the desired support. For System Software developed by a 3rd party, the PST Supplier requires the appropriate support contracts to be in place.</w:t>
      </w:r>
    </w:p>
    <w:p>
      <w:pPr>
        <w:pStyle w:val="Normal"/>
        <w:spacing w:before="0" w:after="0"/>
        <w:jc w:val="both"/>
        <w:rPr>
          <w:lang w:val="en-GB"/>
        </w:rPr>
      </w:pPr>
      <w:r>
        <w:rPr>
          <w:lang w:val="en-GB"/>
        </w:rPr>
      </w:r>
    </w:p>
    <w:p>
      <w:pPr>
        <w:pStyle w:val="Normal"/>
        <w:spacing w:before="0" w:after="0"/>
        <w:jc w:val="both"/>
        <w:rPr/>
      </w:pPr>
      <w:r>
        <w:rPr>
          <w:lang w:val="en-GB"/>
        </w:rPr>
        <w:t>Design blueprints, based on Microsoft WSSRA, and subsequent customer designs describe the EuroBank environment. These documents also describe EuroBank choices for Active Directory Group Policies and Security Groups for workstations and servers, possibly influencing System Software compliancy and hence System Software support. This documentation is available for PST Supplier authorised staff, involved in System Software support and application scripting.</w:t>
      </w:r>
    </w:p>
    <w:p>
      <w:pPr>
        <w:pStyle w:val="Normal"/>
        <w:spacing w:before="0" w:after="0"/>
        <w:jc w:val="both"/>
        <w:rPr>
          <w:lang w:val="en-GB"/>
        </w:rPr>
      </w:pPr>
      <w:r>
        <w:rPr>
          <w:lang w:val="en-GB"/>
        </w:rPr>
      </w:r>
    </w:p>
    <w:p>
      <w:pPr>
        <w:pStyle w:val="Normal"/>
        <w:spacing w:before="0" w:after="0"/>
        <w:jc w:val="both"/>
        <w:rPr/>
      </w:pPr>
      <w:r>
        <w:rPr>
          <w:lang w:val="en-GB"/>
        </w:rPr>
        <w:t>The PST Supplier assumes that all System Software is packaged for use on workstations. Complete Package documentation is developed and maintained in a library by the PST Supplier, describing the installation and implementation of packaged workstation System Software, supplied by the PST Supplier. In case the PST Supplier also develops the System Software, the PST Supplier will create and maintain a library with appropriate development documentation.</w:t>
      </w:r>
    </w:p>
    <w:p>
      <w:pPr>
        <w:pStyle w:val="Normal"/>
        <w:spacing w:before="0" w:after="0"/>
        <w:jc w:val="both"/>
        <w:rPr>
          <w:lang w:val="en-GB"/>
        </w:rPr>
      </w:pPr>
      <w:r>
        <w:rPr>
          <w:lang w:val="en-GB"/>
        </w:rPr>
      </w:r>
    </w:p>
    <w:p>
      <w:pPr>
        <w:pStyle w:val="Normal"/>
        <w:spacing w:before="0" w:after="0"/>
        <w:jc w:val="both"/>
        <w:rPr/>
      </w:pPr>
      <w:r>
        <w:rPr>
          <w:lang w:val="en-GB"/>
        </w:rPr>
        <w:t xml:space="preserve">The master copies of EuroBank standard System Software installation materials (optical media, license keys) are registered and kept in a secure vault at a PST Supplier location within a 24x7 operational department. These master copies are, if required, available for the packaging process of an application, or can be obtained in case of an emergency. </w:t>
      </w:r>
    </w:p>
    <w:p>
      <w:pPr>
        <w:pStyle w:val="Normal"/>
        <w:spacing w:before="0" w:after="0"/>
        <w:jc w:val="both"/>
        <w:rPr>
          <w:lang w:val="en-GB"/>
        </w:rPr>
      </w:pPr>
      <w:r>
        <w:rPr>
          <w:lang w:val="en-GB"/>
        </w:rPr>
      </w:r>
    </w:p>
    <w:p>
      <w:pPr>
        <w:pStyle w:val="Normal"/>
        <w:spacing w:before="0" w:after="0"/>
        <w:jc w:val="both"/>
        <w:rPr>
          <w:lang w:val="en-GB"/>
        </w:rPr>
      </w:pPr>
      <w:r>
        <w:rPr>
          <w:lang w:val="en-GB"/>
        </w:rPr>
        <w:t>The PST supplier’s responsibilities include:</w:t>
      </w:r>
    </w:p>
    <w:p>
      <w:pPr>
        <w:pStyle w:val="Normal"/>
        <w:spacing w:before="0" w:after="0"/>
        <w:jc w:val="both"/>
        <w:rPr>
          <w:lang w:val="en-GB"/>
        </w:rPr>
      </w:pPr>
      <w:r>
        <w:rPr>
          <w:lang w:val="en-GB"/>
        </w:rPr>
      </w:r>
    </w:p>
    <w:p>
      <w:pPr>
        <w:pStyle w:val="Normal"/>
        <w:spacing w:before="0" w:after="0"/>
        <w:ind w:hanging="720" w:start="720" w:end="0"/>
        <w:jc w:val="both"/>
        <w:rPr/>
      </w:pPr>
      <w:r>
        <w:rPr>
          <w:lang w:val="en-GB"/>
        </w:rPr>
        <w:t>a)</w:t>
        <w:tab/>
        <w:t>Supporting all System Software, excluding Applications supported by EuroBank retained staff or other Third Parties, as required and in accordance with EuroBank technical architecture standards.</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b)</w:t>
        <w:tab/>
        <w:t xml:space="preserve">Supporting System Software at prescribed Release levels or as directed by EuroBank. </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c)</w:t>
        <w:tab/>
        <w:t>Supporting System Software used by a specific Authorised User, as requested by EuroBank.</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d)</w:t>
        <w:tab/>
        <w:t>Supporting System Software developed and used by EuroBank.</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e)</w:t>
        <w:tab/>
        <w:t>Correcting System Software as required after consultation and approval of EuroBank with respect to the approved change management process.</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f)</w:t>
        <w:tab/>
        <w:t>For all standard components software, providing Level 2 and Level 3 Support.</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g)</w:t>
        <w:tab/>
        <w:t>Providing support, advice and assistance to Authorised Users for System Software and IT services.</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h)</w:t>
        <w:tab/>
        <w:t>Maintaining a list of documentation that reflects the complexity and diversity of the environment and enhances the System Software support process.</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i)</w:t>
        <w:tab/>
        <w:t>Maintaining a library of PST Supplier-supplied and PST Supplier-developed documentation that identifies the System Software supported by the PST Supplier and the operational support procedures associated with the System Software.</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j)</w:t>
        <w:tab/>
        <w:t>Maintaining master copies of the EuroBank standard System Software in a secure location and guarantee that these master copies can be obtained at any time.</w:t>
      </w:r>
    </w:p>
    <w:p>
      <w:pPr>
        <w:pStyle w:val="Heading2Numbered"/>
        <w:numPr>
          <w:ilvl w:val="1"/>
          <w:numId w:val="2"/>
        </w:numPr>
        <w:ind w:hanging="0" w:start="0"/>
        <w:jc w:val="both"/>
        <w:rPr>
          <w:sz w:val="22"/>
          <w:szCs w:val="22"/>
          <w:lang w:val="en-GB"/>
        </w:rPr>
      </w:pPr>
      <w:bookmarkStart w:id="17" w:name="__RefHeading___Toc150051204"/>
      <w:bookmarkEnd w:id="17"/>
      <w:r>
        <w:rPr>
          <w:sz w:val="22"/>
          <w:szCs w:val="22"/>
          <w:lang w:val="en-GB"/>
        </w:rPr>
        <w:t>Security Services (including Virus, Spam, Spy ware Protection)</w:t>
      </w:r>
    </w:p>
    <w:p>
      <w:pPr>
        <w:pStyle w:val="Normal"/>
        <w:spacing w:before="0" w:after="0"/>
        <w:jc w:val="both"/>
        <w:rPr/>
      </w:pPr>
      <w:r>
        <w:rPr>
          <w:lang w:val="en-GB"/>
        </w:rPr>
        <w:t xml:space="preserve">The PST Supplier will use McAfee VirusScan Enterprise on clients and McAfee ePolicy Orchestrator (ePO) or equivalents to keep all clients (Microsoft client and servers) updated with the latest virus definition files and scan engine. </w:t>
      </w:r>
    </w:p>
    <w:p>
      <w:pPr>
        <w:pStyle w:val="Normal"/>
        <w:spacing w:before="0" w:after="0"/>
        <w:jc w:val="both"/>
        <w:rPr>
          <w:lang w:val="en-GB"/>
        </w:rPr>
      </w:pPr>
      <w:r>
        <w:rPr>
          <w:lang w:val="en-GB"/>
        </w:rPr>
      </w:r>
    </w:p>
    <w:p>
      <w:pPr>
        <w:pStyle w:val="Normal"/>
        <w:spacing w:before="0" w:after="0"/>
        <w:jc w:val="both"/>
        <w:rPr>
          <w:lang w:val="en-GB"/>
        </w:rPr>
      </w:pPr>
      <w:r>
        <w:rPr>
          <w:lang w:val="en-GB"/>
        </w:rPr>
        <w:t>The PST Supplier’s responsibilities include:</w:t>
      </w:r>
    </w:p>
    <w:p>
      <w:pPr>
        <w:pStyle w:val="Normal"/>
        <w:spacing w:before="0" w:after="0"/>
        <w:jc w:val="both"/>
        <w:rPr>
          <w:lang w:val="en-GB"/>
        </w:rPr>
      </w:pPr>
      <w:r>
        <w:rPr>
          <w:lang w:val="en-GB"/>
        </w:rPr>
      </w:r>
    </w:p>
    <w:p>
      <w:pPr>
        <w:pStyle w:val="Normal"/>
        <w:spacing w:before="0" w:after="0"/>
        <w:ind w:hanging="720" w:start="720" w:end="0"/>
        <w:jc w:val="both"/>
        <w:rPr/>
      </w:pPr>
      <w:r>
        <w:rPr>
          <w:lang w:val="en-GB"/>
        </w:rPr>
        <w:t>a)</w:t>
        <w:tab/>
        <w:t>Installing, updating, operating and maintaining necessary System Software to prevent all unauthorised access or usage of computer resources on all Equipment used to deliver or support the Services.</w:t>
      </w:r>
    </w:p>
    <w:p>
      <w:pPr>
        <w:pStyle w:val="Heading2Numbered"/>
        <w:numPr>
          <w:ilvl w:val="1"/>
          <w:numId w:val="2"/>
        </w:numPr>
        <w:ind w:hanging="0" w:start="0"/>
        <w:jc w:val="both"/>
        <w:rPr>
          <w:sz w:val="22"/>
          <w:szCs w:val="22"/>
          <w:lang w:val="en-GB"/>
        </w:rPr>
      </w:pPr>
      <w:bookmarkStart w:id="18" w:name="__RefHeading___Toc150051205"/>
      <w:bookmarkEnd w:id="18"/>
      <w:r>
        <w:rPr>
          <w:sz w:val="22"/>
          <w:szCs w:val="22"/>
          <w:lang w:val="en-GB"/>
        </w:rPr>
        <w:t>Training and Education</w:t>
      </w:r>
    </w:p>
    <w:p>
      <w:pPr>
        <w:pStyle w:val="Normal"/>
        <w:spacing w:before="0" w:after="0"/>
        <w:jc w:val="both"/>
        <w:rPr/>
      </w:pPr>
      <w:r>
        <w:rPr>
          <w:lang w:val="en-GB"/>
        </w:rPr>
        <w:t>Further details on the requirements for training and education of the PST Supplier staff and transitioned personnel are included in Exhibit 5 (</w:t>
      </w:r>
      <w:r>
        <w:rPr>
          <w:i/>
          <w:lang w:val="en-GB"/>
        </w:rPr>
        <w:t>Human Resources Provisions</w:t>
      </w:r>
      <w:r>
        <w:rPr>
          <w:lang w:val="en-GB"/>
        </w:rPr>
        <w:t>).</w:t>
      </w:r>
    </w:p>
    <w:p>
      <w:pPr>
        <w:pStyle w:val="Normal"/>
        <w:spacing w:before="0" w:after="0"/>
        <w:jc w:val="both"/>
        <w:rPr>
          <w:lang w:val="en-GB"/>
        </w:rPr>
      </w:pPr>
      <w:r>
        <w:rPr>
          <w:lang w:val="en-GB"/>
        </w:rPr>
      </w:r>
    </w:p>
    <w:p>
      <w:pPr>
        <w:pStyle w:val="Normal"/>
        <w:spacing w:before="0" w:after="0"/>
        <w:jc w:val="both"/>
        <w:rPr/>
      </w:pPr>
      <w:r>
        <w:rPr>
          <w:lang w:val="en-GB"/>
        </w:rPr>
        <w:t xml:space="preserve">Training and education of Authorised Users will be integrated into the EuroBank HRM approach towards employee development. With this collaborative approach, the PST Supplier creates an embedded learning environment, called the PST Supplier “Training &amp; Education Portal” that enables all Authorised Users to understand the skills, abilities and levels of performance that are required to do their job. They will be encouraged to meet their individual learning needs, and to develop their existing competencies, expand their knowledge and experience and learn new skills, whenever and wherever they need to. Employees will be empowered to take responsibility for, and to manage, their own learning, to achieve a balance between the pressures of long-term effectiveness and short-term efficiency. </w:t>
      </w:r>
      <w:r>
        <w:rPr>
          <w:b/>
          <w:i/>
          <w:lang w:val="en-GB"/>
        </w:rPr>
      </w:r>
      <w:r>
        <w:rPr>
          <w:lang w:val="en-GB"/>
        </w:rPr>
      </w:r>
    </w:p>
    <w:p>
      <w:pPr>
        <w:pStyle w:val="Normal"/>
        <w:spacing w:before="0" w:after="0"/>
        <w:jc w:val="both"/>
        <w:rPr>
          <w:lang w:val="en-GB"/>
        </w:rPr>
      </w:pPr>
      <w:r>
        <w:rPr>
          <w:lang w:val="en-GB"/>
        </w:rPr>
      </w:r>
    </w:p>
    <w:p>
      <w:pPr>
        <w:pStyle w:val="Normal"/>
        <w:spacing w:before="0" w:after="0"/>
        <w:jc w:val="both"/>
        <w:rPr>
          <w:lang w:val="en-GB"/>
        </w:rPr>
      </w:pPr>
      <w:r>
        <w:rPr>
          <w:lang w:val="en-GB"/>
        </w:rPr>
        <w:t>The PST Supplier Training &amp; Education Portal is a virtual learning environment. It is a catalogue of integrated development programs to support Authorised Users in assessing their current skills and in providing practical training. From this Training &amp; Education Portal, they will get access to courses and programs, to tools and advice on interactive computer-based training and to papers, articles and other information.</w:t>
      </w:r>
    </w:p>
    <w:p>
      <w:pPr>
        <w:pStyle w:val="Normal"/>
        <w:spacing w:before="0" w:after="0"/>
        <w:jc w:val="both"/>
        <w:rPr>
          <w:lang w:val="en-GB"/>
        </w:rPr>
      </w:pPr>
      <w:r>
        <w:rPr>
          <w:lang w:val="en-GB"/>
        </w:rPr>
      </w:r>
    </w:p>
    <w:p>
      <w:pPr>
        <w:pStyle w:val="Normal"/>
        <w:spacing w:before="0" w:after="0"/>
        <w:jc w:val="both"/>
        <w:rPr>
          <w:lang w:val="en-GB"/>
        </w:rPr>
      </w:pPr>
      <w:r>
        <w:rPr>
          <w:lang w:val="en-GB"/>
        </w:rPr>
        <w:t>The PST Supplier continually investigates and analyses Authorised User training needs and pro-actively schedule and provide adequate training for Authorised Users, based on the needs of EuroBank. In this way the EuroBank organisation can effectively adapt to change.</w:t>
      </w:r>
    </w:p>
    <w:p>
      <w:pPr>
        <w:pStyle w:val="Normal"/>
        <w:spacing w:before="0" w:after="0"/>
        <w:jc w:val="both"/>
        <w:rPr>
          <w:lang w:val="en-GB"/>
        </w:rPr>
      </w:pPr>
      <w:r>
        <w:rPr>
          <w:lang w:val="en-GB"/>
        </w:rPr>
      </w:r>
    </w:p>
    <w:p>
      <w:pPr>
        <w:pStyle w:val="Normal"/>
        <w:spacing w:before="0" w:after="0"/>
        <w:jc w:val="both"/>
        <w:rPr>
          <w:b/>
          <w:lang w:val="en-GB"/>
        </w:rPr>
      </w:pPr>
      <w:r>
        <w:rPr>
          <w:b/>
          <w:lang w:val="en-GB"/>
        </w:rPr>
        <w:t>Multiple Solutions for ‘Develop Yourself’ Programs</w:t>
      </w:r>
    </w:p>
    <w:p>
      <w:pPr>
        <w:pStyle w:val="Normal"/>
        <w:spacing w:before="0" w:after="0"/>
        <w:jc w:val="both"/>
        <w:rPr>
          <w:b/>
          <w:lang w:val="en-GB"/>
        </w:rPr>
      </w:pPr>
      <w:r>
        <w:rPr>
          <w:b/>
          <w:lang w:val="en-GB"/>
        </w:rPr>
      </w:r>
    </w:p>
    <w:p>
      <w:pPr>
        <w:pStyle w:val="Normal"/>
        <w:spacing w:before="0" w:after="0"/>
        <w:jc w:val="both"/>
        <w:rPr/>
      </w:pPr>
      <w:r>
        <w:rPr>
          <w:lang w:val="en-GB"/>
        </w:rPr>
        <w:t xml:space="preserve">Through ‘Develop Yourself’ programs, Authorised Users are able to address their identified development needs with a range of flexible training &amp; education solutions, customised so that a solution is specific to the Authorised Users for the Services within EuroBank’s environment. </w:t>
      </w:r>
    </w:p>
    <w:p>
      <w:pPr>
        <w:pStyle w:val="Normal"/>
        <w:spacing w:before="0" w:after="0"/>
        <w:jc w:val="both"/>
        <w:rPr>
          <w:lang w:val="en-GB"/>
        </w:rPr>
      </w:pPr>
      <w:r>
        <w:rPr>
          <w:lang w:val="en-GB"/>
        </w:rPr>
      </w:r>
    </w:p>
    <w:p>
      <w:pPr>
        <w:pStyle w:val="Normal"/>
        <w:spacing w:before="0" w:after="0"/>
        <w:jc w:val="both"/>
        <w:rPr>
          <w:lang w:val="en-GB"/>
        </w:rPr>
      </w:pPr>
      <w:r>
        <w:rPr>
          <w:lang w:val="en-GB"/>
        </w:rPr>
        <w:t>The PST Supplier will use a selection of specialised external bureaus to develop and hold tailor made training solutions, and work together with EuroBank to provide the facilities and materials for the training. There are three main solution categories:</w:t>
      </w:r>
    </w:p>
    <w:p>
      <w:pPr>
        <w:pStyle w:val="Normal"/>
        <w:spacing w:before="0" w:after="0"/>
        <w:jc w:val="both"/>
        <w:rPr>
          <w:lang w:val="en-GB"/>
        </w:rPr>
      </w:pPr>
      <w:r>
        <w:rPr>
          <w:lang w:val="en-GB"/>
        </w:rPr>
      </w:r>
    </w:p>
    <w:p>
      <w:pPr>
        <w:pStyle w:val="Normal"/>
        <w:spacing w:before="0" w:after="0"/>
        <w:ind w:start="720" w:end="0"/>
        <w:jc w:val="both"/>
        <w:rPr/>
      </w:pPr>
      <w:r>
        <w:rPr>
          <w:i/>
          <w:lang w:val="en-GB"/>
        </w:rPr>
        <w:t>Workplace Solutions</w:t>
      </w:r>
      <w:r>
        <w:rPr>
          <w:lang w:val="en-GB"/>
        </w:rPr>
        <w:t xml:space="preserve">. Authorised Users select from a range of solutions, which are there to help them learn about their role whilst doing their job. These solutions consist of informal work-integrated activities such as coaching and mentoring. </w:t>
      </w:r>
    </w:p>
    <w:p>
      <w:pPr>
        <w:pStyle w:val="Normal"/>
        <w:spacing w:before="0" w:after="0"/>
        <w:ind w:start="720" w:end="0"/>
        <w:jc w:val="both"/>
        <w:rPr>
          <w:lang w:val="en-GB"/>
        </w:rPr>
      </w:pPr>
      <w:r>
        <w:rPr>
          <w:lang w:val="en-GB"/>
        </w:rPr>
      </w:r>
    </w:p>
    <w:p>
      <w:pPr>
        <w:pStyle w:val="Normal"/>
        <w:spacing w:before="0" w:after="0"/>
        <w:ind w:start="720" w:end="0"/>
        <w:jc w:val="both"/>
        <w:rPr/>
      </w:pPr>
      <w:r>
        <w:rPr>
          <w:i/>
          <w:lang w:val="en-GB"/>
        </w:rPr>
        <w:t>Online Solutions. Authorised Users gain access to eLearning courses that are currently available from our external suppliers, specialised in this form of training &amp; education. eLearning is a fundamental training solution based on the Internet. The eLearning program provides a cost effective means of providing effective, personalised learning in a rapidly changing business environment. To ensure that the correct HRM processes are followed, an EuroBank eLearning co-ordinator is responsible for acting as the linking pin between EuroBank HRM and the PST Supplier.</w:t>
      </w:r>
      <w:r>
        <w:rPr>
          <w:lang w:val="en-GB"/>
        </w:rPr>
      </w:r>
    </w:p>
    <w:p>
      <w:pPr>
        <w:pStyle w:val="Normal"/>
        <w:spacing w:before="0" w:after="0"/>
        <w:ind w:start="720" w:end="0"/>
        <w:jc w:val="both"/>
        <w:rPr>
          <w:lang w:val="en-GB"/>
        </w:rPr>
      </w:pPr>
      <w:r>
        <w:rPr>
          <w:lang w:val="en-GB"/>
        </w:rPr>
      </w:r>
    </w:p>
    <w:p>
      <w:pPr>
        <w:pStyle w:val="Normal"/>
        <w:spacing w:before="0" w:after="0"/>
        <w:ind w:start="720" w:end="0"/>
        <w:jc w:val="both"/>
        <w:rPr/>
      </w:pPr>
      <w:r>
        <w:rPr>
          <w:i/>
          <w:lang w:val="en-GB"/>
        </w:rPr>
        <w:t>Classroom Solutions</w:t>
      </w:r>
      <w:r>
        <w:rPr>
          <w:lang w:val="en-GB"/>
        </w:rPr>
        <w:t>. PST Supplier personnel or PST Supplier preferred suppliers offer a range of instructor led courses on a requested basis.</w:t>
      </w:r>
    </w:p>
    <w:p>
      <w:pPr>
        <w:pStyle w:val="Normal"/>
        <w:spacing w:before="0" w:after="0"/>
        <w:jc w:val="both"/>
        <w:rPr>
          <w:lang w:val="en-GB"/>
        </w:rPr>
      </w:pPr>
      <w:r>
        <w:rPr>
          <w:lang w:val="en-GB"/>
        </w:rPr>
        <w:t xml:space="preserve"> </w:t>
      </w:r>
    </w:p>
    <w:p>
      <w:pPr>
        <w:pStyle w:val="Normal"/>
        <w:spacing w:before="0" w:after="0"/>
        <w:jc w:val="both"/>
        <w:rPr>
          <w:lang w:val="en-GB"/>
        </w:rPr>
      </w:pPr>
      <w:r>
        <w:rPr>
          <w:lang w:val="en-GB"/>
        </w:rPr>
        <w:t>All these solutions will be provided with multiple levels of training for specific Applications. Integrated with the EuroBank HRM environment, job descriptions are derived outlining exactly the job level and tasks involved and the qualifications, experience, technical knowledge and behavioural skills required for a specific role.</w:t>
      </w:r>
    </w:p>
    <w:p>
      <w:pPr>
        <w:pStyle w:val="Normal"/>
        <w:spacing w:before="0" w:after="0"/>
        <w:jc w:val="both"/>
        <w:rPr>
          <w:lang w:val="en-GB"/>
        </w:rPr>
      </w:pPr>
      <w:r>
        <w:rPr>
          <w:lang w:val="en-GB"/>
        </w:rPr>
      </w:r>
    </w:p>
    <w:p>
      <w:pPr>
        <w:pStyle w:val="Normal"/>
        <w:spacing w:before="0" w:after="0"/>
        <w:jc w:val="both"/>
        <w:rPr>
          <w:b/>
          <w:lang w:val="en-GB"/>
        </w:rPr>
      </w:pPr>
      <w:r>
        <w:rPr>
          <w:b/>
          <w:lang w:val="en-GB"/>
        </w:rPr>
        <w:t>EuroBank Training &amp; Education Programs</w:t>
      </w:r>
    </w:p>
    <w:p>
      <w:pPr>
        <w:pStyle w:val="Normal"/>
        <w:spacing w:before="0" w:after="0"/>
        <w:jc w:val="both"/>
        <w:rPr>
          <w:b/>
          <w:lang w:val="en-GB"/>
        </w:rPr>
      </w:pPr>
      <w:r>
        <w:rPr>
          <w:b/>
          <w:lang w:val="en-GB"/>
        </w:rPr>
      </w:r>
    </w:p>
    <w:p>
      <w:pPr>
        <w:pStyle w:val="Normal"/>
        <w:spacing w:before="0" w:after="0"/>
        <w:jc w:val="both"/>
        <w:rPr/>
      </w:pPr>
      <w:r>
        <w:rPr>
          <w:lang w:val="en-GB"/>
        </w:rPr>
        <w:t>The following categories of training &amp; education will be highlighted in the next paragraphs:</w:t>
      </w:r>
    </w:p>
    <w:p>
      <w:pPr>
        <w:pStyle w:val="Normal"/>
        <w:spacing w:before="0" w:after="0"/>
        <w:jc w:val="both"/>
        <w:rPr>
          <w:lang w:val="en-GB"/>
        </w:rPr>
      </w:pPr>
      <w:r>
        <w:rPr>
          <w:lang w:val="en-GB"/>
        </w:rPr>
      </w:r>
    </w:p>
    <w:p>
      <w:pPr>
        <w:pStyle w:val="Normal"/>
        <w:spacing w:before="0" w:after="0"/>
        <w:ind w:hanging="720" w:start="720" w:end="0"/>
        <w:jc w:val="both"/>
        <w:rPr/>
      </w:pPr>
      <w:r>
        <w:rPr>
          <w:lang w:val="en-GB"/>
        </w:rPr>
        <w:t>•</w:t>
        <w:tab/>
        <w:t>EuroBank Employee Introduction Programs, for new employees, or Authorised Users who change jobs.</w:t>
      </w:r>
      <w:r>
        <w:rPr>
          <w:lang w:val="en-GB"/>
        </w:rPr>
      </w:r>
      <w:r>
        <w:rPr>
          <w:i/>
          <w:lang w:val="en-GB"/>
        </w:rPr>
      </w:r>
      <w:r>
        <w:rPr>
          <w:lang w:val="en-GB"/>
        </w:rPr>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w:t>
        <w:tab/>
        <w:t>EuroBank Continuous Development Programs, for all applications and individual products and the PST Supplier Services.</w:t>
      </w:r>
      <w:r>
        <w:rPr>
          <w:lang w:val="en-GB"/>
        </w:rPr>
      </w:r>
      <w:r>
        <w:rPr>
          <w:i/>
          <w:lang w:val="en-GB"/>
        </w:rPr>
      </w:r>
      <w:r>
        <w:rPr>
          <w:lang w:val="en-GB"/>
        </w:rPr>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w:t>
        <w:tab/>
        <w:t>EuroBank Product Innovation Programs, as a proactive step as part of an implementation project of a new technology /product.</w:t>
      </w:r>
      <w:r>
        <w:rPr>
          <w:lang w:val="en-GB"/>
        </w:rPr>
      </w:r>
      <w:r>
        <w:rPr>
          <w:i/>
          <w:lang w:val="en-GB"/>
        </w:rPr>
      </w:r>
      <w:r>
        <w:rPr>
          <w:lang w:val="en-GB"/>
        </w:rPr>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w:t>
        <w:tab/>
        <w:t xml:space="preserve">EuroBank Service Improvement Programs. Special training with the objective of improving the cost-efficiency and quality of the PST Supplier Services, e.g. reducing the frequency of Calls to the Service Desk. </w:t>
      </w:r>
      <w:r>
        <w:rPr>
          <w:lang w:val="en-GB"/>
        </w:rPr>
      </w:r>
      <w:r>
        <w:rPr>
          <w:i/>
          <w:lang w:val="en-GB"/>
        </w:rPr>
      </w:r>
      <w:r>
        <w:rPr>
          <w:lang w:val="en-GB"/>
        </w:rPr>
      </w:r>
    </w:p>
    <w:p>
      <w:pPr>
        <w:pStyle w:val="Normal"/>
        <w:spacing w:before="0" w:after="0"/>
        <w:ind w:start="1440" w:end="0"/>
        <w:jc w:val="both"/>
        <w:rPr>
          <w:lang w:val="en-GB"/>
        </w:rPr>
      </w:pPr>
      <w:r>
        <w:rPr>
          <w:lang w:val="en-GB"/>
        </w:rPr>
      </w:r>
    </w:p>
    <w:p>
      <w:pPr>
        <w:pStyle w:val="Normal"/>
        <w:spacing w:before="0" w:after="0"/>
        <w:ind w:start="1440" w:end="0"/>
        <w:jc w:val="both"/>
        <w:rPr>
          <w:i/>
          <w:i/>
          <w:lang w:val="en-GB"/>
        </w:rPr>
      </w:pPr>
      <w:r>
        <w:rPr>
          <w:i/>
          <w:lang w:val="en-GB"/>
        </w:rPr>
        <w:t xml:space="preserve">EuroBank Employee Introduction Programs </w:t>
      </w:r>
    </w:p>
    <w:p>
      <w:pPr>
        <w:pStyle w:val="Normal"/>
        <w:spacing w:before="0" w:after="0"/>
        <w:ind w:start="1440" w:end="0"/>
        <w:jc w:val="both"/>
        <w:rPr>
          <w:i/>
          <w:i/>
          <w:lang w:val="en-GB"/>
        </w:rPr>
      </w:pPr>
      <w:r>
        <w:rPr>
          <w:i/>
          <w:lang w:val="en-GB"/>
        </w:rPr>
      </w:r>
    </w:p>
    <w:p>
      <w:pPr>
        <w:pStyle w:val="Normal"/>
        <w:spacing w:before="0" w:after="0"/>
        <w:ind w:start="1440" w:end="0"/>
        <w:jc w:val="both"/>
        <w:rPr>
          <w:lang w:val="en-GB"/>
        </w:rPr>
      </w:pPr>
      <w:r>
        <w:rPr>
          <w:lang w:val="en-GB"/>
        </w:rPr>
        <w:t>Whenever new employees join the company, or Authorised Users take up a new role within EuroBank, they are given an EuroBank HRM introduction program. The PST Supplier Employee Introduction Programs are integrated in this programme. These are defined in consultation with the new line manager and are tailored according to their needs. The Programs cover information about the PST Supplier Group, relevant policies, services and procedures, an overall technology up fresh, as well as a comprehensive specialised training on individual applications and products.</w:t>
      </w:r>
    </w:p>
    <w:p>
      <w:pPr>
        <w:pStyle w:val="Normal"/>
        <w:spacing w:before="0" w:after="0"/>
        <w:ind w:start="1440" w:end="0"/>
        <w:jc w:val="both"/>
        <w:rPr>
          <w:lang w:val="en-GB"/>
        </w:rPr>
      </w:pPr>
      <w:r>
        <w:rPr>
          <w:lang w:val="en-GB"/>
        </w:rPr>
      </w:r>
    </w:p>
    <w:p>
      <w:pPr>
        <w:pStyle w:val="Normal"/>
        <w:spacing w:before="0" w:after="0"/>
        <w:ind w:start="1440" w:end="0"/>
        <w:jc w:val="both"/>
        <w:rPr>
          <w:lang w:val="en-GB"/>
        </w:rPr>
      </w:pPr>
      <w:r>
        <w:rPr>
          <w:lang w:val="en-GB"/>
        </w:rPr>
        <w:t>At the end of the introduction program, the immediate impact of the development should be formally reviewed including a self-assessment and an assessment by the line manager.</w:t>
      </w:r>
    </w:p>
    <w:p>
      <w:pPr>
        <w:pStyle w:val="Normal"/>
        <w:spacing w:before="0" w:after="0"/>
        <w:ind w:start="1440" w:end="0"/>
        <w:jc w:val="both"/>
        <w:rPr>
          <w:lang w:val="en-GB"/>
        </w:rPr>
      </w:pPr>
      <w:r>
        <w:rPr>
          <w:lang w:val="en-GB"/>
        </w:rPr>
      </w:r>
    </w:p>
    <w:p>
      <w:pPr>
        <w:pStyle w:val="Normal"/>
        <w:spacing w:before="0" w:after="0"/>
        <w:ind w:start="1440" w:end="0"/>
        <w:jc w:val="both"/>
        <w:rPr>
          <w:i/>
          <w:i/>
          <w:lang w:val="en-GB"/>
        </w:rPr>
      </w:pPr>
      <w:r>
        <w:rPr>
          <w:i/>
          <w:lang w:val="en-GB"/>
        </w:rPr>
        <w:t>EuroBank Continuous Development Programs</w:t>
      </w:r>
    </w:p>
    <w:p>
      <w:pPr>
        <w:pStyle w:val="Normal"/>
        <w:spacing w:before="0" w:after="0"/>
        <w:ind w:start="1440" w:end="0"/>
        <w:jc w:val="both"/>
        <w:rPr>
          <w:i/>
          <w:i/>
          <w:lang w:val="en-GB"/>
        </w:rPr>
      </w:pPr>
      <w:r>
        <w:rPr>
          <w:i/>
          <w:lang w:val="en-GB"/>
        </w:rPr>
      </w:r>
    </w:p>
    <w:p>
      <w:pPr>
        <w:pStyle w:val="Normal"/>
        <w:spacing w:before="0" w:after="0"/>
        <w:ind w:start="1440" w:end="0"/>
        <w:jc w:val="both"/>
        <w:rPr/>
      </w:pPr>
      <w:r>
        <w:rPr>
          <w:lang w:val="en-GB"/>
        </w:rPr>
        <w:t>The PST Supplier provides continuous training and associated ‘user guide’ documentation for all Services, in the use of Equipment and/or System Software that is used by Authorised Users.</w:t>
      </w:r>
    </w:p>
    <w:p>
      <w:pPr>
        <w:pStyle w:val="Normal"/>
        <w:spacing w:before="0" w:after="0"/>
        <w:ind w:start="1440" w:end="0"/>
        <w:jc w:val="both"/>
        <w:rPr>
          <w:lang w:val="en-GB"/>
        </w:rPr>
      </w:pPr>
      <w:r>
        <w:rPr>
          <w:lang w:val="en-GB"/>
        </w:rPr>
      </w:r>
    </w:p>
    <w:p>
      <w:pPr>
        <w:pStyle w:val="Normal"/>
        <w:spacing w:before="0" w:after="0"/>
        <w:ind w:start="1440" w:end="0"/>
        <w:jc w:val="both"/>
        <w:rPr>
          <w:i/>
          <w:i/>
          <w:lang w:val="en-GB"/>
        </w:rPr>
      </w:pPr>
      <w:r>
        <w:rPr>
          <w:i/>
          <w:lang w:val="en-GB"/>
        </w:rPr>
        <w:t>EuroBank Product Innovation Programs</w:t>
      </w:r>
    </w:p>
    <w:p>
      <w:pPr>
        <w:pStyle w:val="Normal"/>
        <w:spacing w:before="0" w:after="0"/>
        <w:ind w:start="1440" w:end="0"/>
        <w:jc w:val="both"/>
        <w:rPr>
          <w:i/>
          <w:i/>
          <w:lang w:val="en-GB"/>
        </w:rPr>
      </w:pPr>
      <w:r>
        <w:rPr>
          <w:i/>
          <w:lang w:val="en-GB"/>
        </w:rPr>
      </w:r>
    </w:p>
    <w:p>
      <w:pPr>
        <w:pStyle w:val="Normal"/>
        <w:spacing w:before="0" w:after="0"/>
        <w:ind w:start="1440" w:end="0"/>
        <w:jc w:val="both"/>
        <w:rPr/>
      </w:pPr>
      <w:r>
        <w:rPr>
          <w:lang w:val="en-GB"/>
        </w:rPr>
        <w:t>The PST Supplier provides specific training programs as part new technology rollouts, with the objective of preparing Authorised Users for the introduction of new technology and/or procedures. As the EuroBank environment constantly innovates in terms of technology and strategy, the PST Supplier will ensure that it will provide the best skills, and knowledge to the Authorised Users.</w:t>
      </w:r>
    </w:p>
    <w:p>
      <w:pPr>
        <w:pStyle w:val="Normal"/>
        <w:spacing w:before="0" w:after="0"/>
        <w:ind w:start="1440" w:end="0"/>
        <w:jc w:val="both"/>
        <w:rPr>
          <w:lang w:val="en-GB"/>
        </w:rPr>
      </w:pPr>
      <w:r>
        <w:rPr>
          <w:lang w:val="en-GB"/>
        </w:rPr>
      </w:r>
    </w:p>
    <w:p>
      <w:pPr>
        <w:pStyle w:val="Normal"/>
        <w:spacing w:before="0" w:after="0"/>
        <w:ind w:start="1440" w:end="0"/>
        <w:jc w:val="both"/>
        <w:rPr/>
      </w:pPr>
      <w:r>
        <w:rPr>
          <w:lang w:val="en-GB"/>
        </w:rPr>
        <w:t xml:space="preserve">These training programs are an integrated part of all Projects. </w:t>
      </w:r>
    </w:p>
    <w:p>
      <w:pPr>
        <w:pStyle w:val="Normal"/>
        <w:spacing w:before="0" w:after="0"/>
        <w:ind w:start="1440" w:end="0"/>
        <w:jc w:val="both"/>
        <w:rPr>
          <w:lang w:val="en-GB"/>
        </w:rPr>
      </w:pPr>
      <w:r>
        <w:rPr>
          <w:lang w:val="en-GB"/>
        </w:rPr>
      </w:r>
    </w:p>
    <w:p>
      <w:pPr>
        <w:pStyle w:val="Normal"/>
        <w:spacing w:before="0" w:after="0"/>
        <w:ind w:start="1440" w:end="0"/>
        <w:jc w:val="both"/>
        <w:rPr>
          <w:i/>
          <w:i/>
          <w:lang w:val="en-GB"/>
        </w:rPr>
      </w:pPr>
      <w:r>
        <w:rPr>
          <w:i/>
          <w:lang w:val="en-GB"/>
        </w:rPr>
        <w:t>EuroBank Service Improvement Programs</w:t>
      </w:r>
    </w:p>
    <w:p>
      <w:pPr>
        <w:pStyle w:val="Normal"/>
        <w:spacing w:before="0" w:after="0"/>
        <w:ind w:start="1440" w:end="0"/>
        <w:jc w:val="both"/>
        <w:rPr>
          <w:i/>
          <w:i/>
          <w:lang w:val="en-GB"/>
        </w:rPr>
      </w:pPr>
      <w:r>
        <w:rPr>
          <w:i/>
          <w:lang w:val="en-GB"/>
        </w:rPr>
      </w:r>
    </w:p>
    <w:p>
      <w:pPr>
        <w:pStyle w:val="Normal"/>
        <w:spacing w:before="0" w:after="0"/>
        <w:ind w:start="1440" w:end="0"/>
        <w:jc w:val="both"/>
        <w:rPr/>
      </w:pPr>
      <w:r>
        <w:rPr>
          <w:lang w:val="en-GB"/>
        </w:rPr>
        <w:t xml:space="preserve">The PST Supplier continuously monitors their delivered services, and pro-actively trains Authorised Users to improve the quality and decrease the quantity of these services, if applicable. For instance, analysis of calls to the Service Desk leads to training &amp; education programs to reduce the amount of calls to the Service Desk. </w:t>
      </w:r>
    </w:p>
    <w:p>
      <w:pPr>
        <w:pStyle w:val="Normal"/>
        <w:spacing w:before="0" w:after="0"/>
        <w:ind w:start="1440" w:end="0"/>
        <w:jc w:val="both"/>
        <w:rPr>
          <w:lang w:val="en-GB"/>
        </w:rPr>
      </w:pPr>
      <w:r>
        <w:rPr>
          <w:lang w:val="en-GB"/>
        </w:rPr>
      </w:r>
    </w:p>
    <w:p>
      <w:pPr>
        <w:pStyle w:val="Normal"/>
        <w:spacing w:before="0" w:after="0"/>
        <w:ind w:start="1440" w:end="0"/>
        <w:jc w:val="both"/>
        <w:rPr>
          <w:lang w:val="en-GB"/>
        </w:rPr>
      </w:pPr>
      <w:r>
        <w:rPr>
          <w:lang w:val="en-GB"/>
        </w:rPr>
        <w:t>Part of these programs is the ongoing effort in the normal processes to inform users on the status of their calls, to ‘educate’ users on the correct use of applications and hardware, and to automate answers to known questions in a knowledge database, which can be accessed through the PST Service Portal.</w:t>
      </w:r>
    </w:p>
    <w:p>
      <w:pPr>
        <w:pStyle w:val="Normal"/>
        <w:spacing w:before="0" w:after="0"/>
        <w:jc w:val="both"/>
        <w:rPr>
          <w:lang w:val="en-GB"/>
        </w:rPr>
      </w:pPr>
      <w:r>
        <w:rPr>
          <w:lang w:val="en-GB"/>
        </w:rPr>
      </w:r>
    </w:p>
    <w:p>
      <w:pPr>
        <w:pStyle w:val="Normal"/>
        <w:spacing w:before="0" w:after="0"/>
        <w:jc w:val="both"/>
        <w:rPr>
          <w:u w:val="single"/>
          <w:lang w:val="en-GB"/>
        </w:rPr>
      </w:pPr>
      <w:r>
        <w:rPr>
          <w:u w:val="single"/>
          <w:lang w:val="en-GB"/>
        </w:rPr>
        <w:t>Training for New Authorised Users</w:t>
      </w:r>
    </w:p>
    <w:p>
      <w:pPr>
        <w:pStyle w:val="Normal"/>
        <w:spacing w:before="0" w:after="0"/>
        <w:jc w:val="both"/>
        <w:rPr>
          <w:u w:val="single"/>
          <w:lang w:val="en-GB"/>
        </w:rPr>
      </w:pPr>
      <w:r>
        <w:rPr>
          <w:u w:val="single"/>
          <w:lang w:val="en-GB"/>
        </w:rPr>
      </w:r>
    </w:p>
    <w:p>
      <w:pPr>
        <w:pStyle w:val="Normal"/>
        <w:spacing w:before="0" w:after="0"/>
        <w:jc w:val="both"/>
        <w:rPr>
          <w:lang w:val="en-GB"/>
        </w:rPr>
      </w:pPr>
      <w:r>
        <w:rPr>
          <w:lang w:val="en-GB"/>
        </w:rPr>
        <w:t>At no additional cost, the PST Supplier will provide the following training and education for new Authorised Users:</w:t>
      </w:r>
    </w:p>
    <w:p>
      <w:pPr>
        <w:pStyle w:val="Normal"/>
        <w:spacing w:before="0" w:after="0"/>
        <w:ind w:hanging="720" w:start="720" w:end="0"/>
        <w:jc w:val="both"/>
        <w:rPr>
          <w:lang w:val="en-GB"/>
        </w:rPr>
      </w:pPr>
      <w:r>
        <w:rPr>
          <w:lang w:val="en-GB"/>
        </w:rPr>
      </w:r>
    </w:p>
    <w:p>
      <w:pPr>
        <w:pStyle w:val="Normal"/>
        <w:spacing w:before="0" w:after="0"/>
        <w:ind w:hanging="720" w:start="1440" w:end="0"/>
        <w:jc w:val="both"/>
        <w:rPr>
          <w:lang w:val="en-GB"/>
        </w:rPr>
      </w:pPr>
      <w:r>
        <w:rPr>
          <w:lang w:val="en-GB"/>
        </w:rPr>
        <w:t>i)</w:t>
        <w:tab/>
        <w:t>Pro-actively scheduling and providing adequate training for new Authorised Users, based on the needs of EuroBank.</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ii)</w:t>
        <w:tab/>
        <w:t>The PST Supplier and EuroBank work together to provide the facilities and materials for the training.</w:t>
      </w:r>
    </w:p>
    <w:p>
      <w:pPr>
        <w:pStyle w:val="Normal"/>
        <w:spacing w:before="0" w:after="0"/>
        <w:ind w:hanging="720" w:start="720" w:end="0"/>
        <w:jc w:val="both"/>
        <w:rPr>
          <w:lang w:val="en-GB"/>
        </w:rPr>
      </w:pPr>
      <w:r>
        <w:rPr>
          <w:lang w:val="en-GB"/>
        </w:rPr>
      </w:r>
    </w:p>
    <w:p>
      <w:pPr>
        <w:pStyle w:val="Normal"/>
        <w:spacing w:before="0" w:after="0"/>
        <w:ind w:hanging="720" w:start="720" w:end="0"/>
        <w:jc w:val="both"/>
        <w:rPr>
          <w:u w:val="single"/>
          <w:lang w:val="en-GB"/>
        </w:rPr>
      </w:pPr>
      <w:r>
        <w:rPr>
          <w:u w:val="single"/>
          <w:lang w:val="en-GB"/>
        </w:rPr>
        <w:t>Ongoing Training for Authorised Users</w:t>
      </w:r>
    </w:p>
    <w:p>
      <w:pPr>
        <w:pStyle w:val="Normal"/>
        <w:spacing w:before="0" w:after="0"/>
        <w:ind w:hanging="720" w:start="720" w:end="0"/>
        <w:jc w:val="both"/>
        <w:rPr>
          <w:u w:val="single"/>
          <w:lang w:val="en-GB"/>
        </w:rPr>
      </w:pPr>
      <w:r>
        <w:rPr>
          <w:u w:val="single"/>
          <w:lang w:val="en-GB"/>
        </w:rPr>
      </w:r>
    </w:p>
    <w:p>
      <w:pPr>
        <w:pStyle w:val="Normal"/>
        <w:spacing w:before="0" w:after="0"/>
        <w:ind w:hanging="720" w:start="720" w:end="0"/>
        <w:jc w:val="both"/>
        <w:rPr/>
      </w:pPr>
      <w:r>
        <w:rPr>
          <w:lang w:val="en-GB"/>
        </w:rPr>
        <w:t>a)</w:t>
        <w:tab/>
        <w:t>At no additional cost, the PST Supplier will provide the following training and education for Authorised Users:</w:t>
      </w:r>
    </w:p>
    <w:p>
      <w:pPr>
        <w:pStyle w:val="Normal"/>
        <w:spacing w:before="0" w:after="0"/>
        <w:ind w:hanging="720" w:start="720" w:end="0"/>
        <w:jc w:val="both"/>
        <w:rPr>
          <w:lang w:val="en-GB"/>
        </w:rPr>
      </w:pPr>
      <w:r>
        <w:rPr>
          <w:lang w:val="en-GB"/>
        </w:rPr>
      </w:r>
    </w:p>
    <w:p>
      <w:pPr>
        <w:pStyle w:val="Normal"/>
        <w:spacing w:before="0" w:after="0"/>
        <w:ind w:hanging="720" w:start="1440" w:end="0"/>
        <w:jc w:val="both"/>
        <w:rPr>
          <w:lang w:val="en-GB"/>
        </w:rPr>
      </w:pPr>
      <w:r>
        <w:rPr>
          <w:lang w:val="en-GB"/>
        </w:rPr>
        <w:t>i)</w:t>
        <w:tab/>
        <w:t>Continually investigating and analysing Authorised User training needs. Such analysis will be performed with the objectives of reducing the frequency of Calls to the Service Desk and preparing Authorised Users for the introduction of new technology and/or procedures.</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ii)</w:t>
        <w:tab/>
        <w:t>Providing Authorised User training and associated “user guide” documentation for all Services. This will be provided for a step change in Services– however, it will not be provided for a very large rollout – for example the large scale rollout of a new Operating System or application in the SWS scope. Brief instruction for such scenarios will be provided.</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iii)</w:t>
        <w:tab/>
        <w:t>Scheduling and providing sufficient instructor-led group training per month for individual products either on a requested basis or as a proactive step as part of an implementation project of a new technology /product.</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iv)</w:t>
        <w:tab/>
        <w:t>The PST Supplier and EuroBank will provide the facilities and materials for the training in mutual agreement.</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v)</w:t>
        <w:tab/>
        <w:t xml:space="preserve">Customising such training so that it is specific to the Authorised Users for the Services within EuroBank’s environment. (eg adapting language of training)  </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vi)</w:t>
        <w:tab/>
        <w:t>Providing multiple levels of training for specific Applications (for example beginner, intermediate, and advanced training in standard Applications used in Authorised User computing etc.)</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b)</w:t>
        <w:tab/>
        <w:t>Providing training in the use of Equipment and/or System Software that are used by Authorised Users (or will be used as part of a new technology roll-out).</w:t>
      </w:r>
    </w:p>
    <w:p>
      <w:pPr>
        <w:pStyle w:val="Heading1Numbered"/>
        <w:numPr>
          <w:ilvl w:val="0"/>
          <w:numId w:val="2"/>
        </w:numPr>
        <w:ind w:hanging="0" w:start="0"/>
        <w:jc w:val="both"/>
        <w:rPr>
          <w:sz w:val="22"/>
          <w:szCs w:val="22"/>
          <w:lang w:val="en-GB"/>
        </w:rPr>
      </w:pPr>
      <w:bookmarkStart w:id="19" w:name="__RefHeading___Toc150051206"/>
      <w:bookmarkEnd w:id="19"/>
      <w:r>
        <w:rPr>
          <w:sz w:val="22"/>
          <w:szCs w:val="22"/>
          <w:lang w:val="en-GB"/>
        </w:rPr>
        <w:t>USER ACCESS SERVICES (LOGICAL SECURITY ADMINISTRATION)</w:t>
      </w:r>
    </w:p>
    <w:p>
      <w:pPr>
        <w:pStyle w:val="Heading2Numbered"/>
        <w:numPr>
          <w:ilvl w:val="1"/>
          <w:numId w:val="2"/>
        </w:numPr>
        <w:ind w:hanging="0" w:start="0"/>
        <w:jc w:val="both"/>
        <w:rPr>
          <w:sz w:val="22"/>
          <w:szCs w:val="22"/>
          <w:lang w:val="en-GB"/>
        </w:rPr>
      </w:pPr>
      <w:bookmarkStart w:id="20" w:name="__RefHeading___Toc150051207"/>
      <w:bookmarkEnd w:id="20"/>
      <w:r>
        <w:rPr>
          <w:sz w:val="22"/>
          <w:szCs w:val="22"/>
          <w:lang w:val="en-GB"/>
        </w:rPr>
        <w:t>Introduction</w:t>
      </w:r>
    </w:p>
    <w:p>
      <w:pPr>
        <w:pStyle w:val="Normal"/>
        <w:spacing w:before="0" w:after="0"/>
        <w:jc w:val="both"/>
        <w:rPr/>
      </w:pPr>
      <w:r>
        <w:rPr>
          <w:lang w:val="en-GB"/>
        </w:rPr>
        <w:t>This Section sets forth the Logical Security Administration Services that the PST Supplier will provide to support EuroBank’s end user computing environment as of the Commencement Date.</w:t>
      </w:r>
    </w:p>
    <w:p>
      <w:pPr>
        <w:pStyle w:val="Normal"/>
        <w:spacing w:before="0" w:after="0"/>
        <w:jc w:val="both"/>
        <w:rPr>
          <w:lang w:val="en-GB"/>
        </w:rPr>
      </w:pPr>
      <w:r>
        <w:rPr>
          <w:lang w:val="en-GB"/>
        </w:rPr>
      </w:r>
    </w:p>
    <w:p>
      <w:pPr>
        <w:pStyle w:val="Normal"/>
        <w:spacing w:before="0" w:after="0"/>
        <w:jc w:val="both"/>
        <w:rPr>
          <w:b/>
          <w:lang w:val="en-GB"/>
        </w:rPr>
      </w:pPr>
      <w:r>
        <w:rPr>
          <w:b/>
          <w:lang w:val="en-GB"/>
        </w:rPr>
        <w:t xml:space="preserve">Meeting the logical security administration requirements </w:t>
      </w:r>
    </w:p>
    <w:p>
      <w:pPr>
        <w:pStyle w:val="Normal"/>
        <w:spacing w:before="0" w:after="0"/>
        <w:jc w:val="both"/>
        <w:rPr>
          <w:b/>
          <w:lang w:val="en-GB"/>
        </w:rPr>
      </w:pPr>
      <w:r>
        <w:rPr>
          <w:b/>
          <w:lang w:val="en-GB"/>
        </w:rPr>
      </w:r>
    </w:p>
    <w:p>
      <w:pPr>
        <w:pStyle w:val="Normal"/>
        <w:spacing w:before="0" w:after="0"/>
        <w:jc w:val="both"/>
        <w:rPr/>
      </w:pPr>
      <w:r>
        <w:rPr>
          <w:lang w:val="en-GB"/>
        </w:rPr>
        <w:t xml:space="preserve">The PST Supplier will meet the logical security administration requirements of EuroBank by the execution of the PST Supplier Defence-in-Depth security architecture. The PST Supplier is certified for BS7799 or equivalent with respect to Services. This certification confirms the ability of the PST Supplier to ensure the availability, integrity, confidentiality and controllability of EuroBank information assets. </w:t>
      </w:r>
    </w:p>
    <w:p>
      <w:pPr>
        <w:pStyle w:val="Normal"/>
        <w:spacing w:before="0" w:after="0"/>
        <w:jc w:val="both"/>
        <w:rPr>
          <w:lang w:val="en-GB"/>
        </w:rPr>
      </w:pPr>
      <w:r>
        <w:rPr>
          <w:lang w:val="en-GB"/>
        </w:rPr>
      </w:r>
    </w:p>
    <w:p>
      <w:pPr>
        <w:pStyle w:val="Normal"/>
        <w:spacing w:before="0" w:after="0"/>
        <w:jc w:val="both"/>
        <w:rPr>
          <w:lang w:val="en-GB"/>
        </w:rPr>
      </w:pPr>
      <w:r>
        <w:rPr>
          <w:lang w:val="en-GB"/>
        </w:rPr>
        <w:t>The Logical security Administration will be based on:</w:t>
      </w:r>
    </w:p>
    <w:p>
      <w:pPr>
        <w:pStyle w:val="Normal"/>
        <w:spacing w:before="0" w:after="0"/>
        <w:jc w:val="both"/>
        <w:rPr>
          <w:lang w:val="en-GB"/>
        </w:rPr>
      </w:pPr>
      <w:r>
        <w:rPr>
          <w:lang w:val="en-GB"/>
        </w:rPr>
      </w:r>
    </w:p>
    <w:p>
      <w:pPr>
        <w:pStyle w:val="Normal"/>
        <w:spacing w:before="0" w:after="0"/>
        <w:jc w:val="both"/>
        <w:rPr/>
      </w:pPr>
      <w:r>
        <w:rPr>
          <w:lang w:val="en-GB"/>
        </w:rPr>
        <w:t>•</w:t>
      </w:r>
      <w:r>
        <w:rPr>
          <w:lang w:val="en-GB"/>
        </w:rPr>
        <w:tab/>
        <w:t>An implemented security policy based on BS7799 or equivalent.</w:t>
      </w:r>
    </w:p>
    <w:p>
      <w:pPr>
        <w:pStyle w:val="Normal"/>
        <w:spacing w:before="0" w:after="0"/>
        <w:jc w:val="both"/>
        <w:rPr>
          <w:lang w:val="en-GB"/>
        </w:rPr>
      </w:pPr>
      <w:r>
        <w:rPr>
          <w:lang w:val="en-GB"/>
        </w:rPr>
        <w:t>•</w:t>
      </w:r>
      <w:r>
        <w:rPr>
          <w:lang w:val="en-GB"/>
        </w:rPr>
        <w:tab/>
        <w:t>Implemented technical and functional security measures.</w:t>
      </w:r>
    </w:p>
    <w:p>
      <w:pPr>
        <w:pStyle w:val="Normal"/>
        <w:spacing w:before="0" w:after="0"/>
        <w:jc w:val="both"/>
        <w:rPr>
          <w:lang w:val="en-GB"/>
        </w:rPr>
      </w:pPr>
      <w:r>
        <w:rPr>
          <w:lang w:val="en-GB"/>
        </w:rPr>
        <w:t>•</w:t>
      </w:r>
      <w:r>
        <w:rPr>
          <w:lang w:val="en-GB"/>
        </w:rPr>
        <w:tab/>
        <w:t>Implemented administrative security support processes and procedures.</w:t>
      </w:r>
    </w:p>
    <w:p>
      <w:pPr>
        <w:pStyle w:val="Normal"/>
        <w:spacing w:before="0" w:after="0"/>
        <w:jc w:val="both"/>
        <w:rPr>
          <w:lang w:val="en-GB"/>
        </w:rPr>
      </w:pPr>
      <w:r>
        <w:rPr>
          <w:lang w:val="en-GB"/>
        </w:rPr>
        <w:t>•</w:t>
      </w:r>
      <w:r>
        <w:rPr>
          <w:lang w:val="en-GB"/>
        </w:rPr>
        <w:tab/>
        <w:t>Implemented secure Service Portal.</w:t>
      </w:r>
    </w:p>
    <w:p>
      <w:pPr>
        <w:pStyle w:val="Normal"/>
        <w:spacing w:before="0" w:after="0"/>
        <w:jc w:val="both"/>
        <w:rPr>
          <w:lang w:val="en-GB"/>
        </w:rPr>
      </w:pPr>
      <w:r>
        <w:rPr>
          <w:lang w:val="en-GB"/>
        </w:rPr>
      </w:r>
    </w:p>
    <w:p>
      <w:pPr>
        <w:pStyle w:val="Normal"/>
        <w:spacing w:before="0" w:after="0"/>
        <w:jc w:val="both"/>
        <w:rPr>
          <w:b/>
          <w:lang w:val="en-GB"/>
        </w:rPr>
      </w:pPr>
      <w:r>
        <w:rPr>
          <w:b/>
          <w:lang w:val="en-GB"/>
        </w:rPr>
        <w:t>An implemented security policy based on BS7799</w:t>
      </w:r>
      <w:r>
        <w:rPr>
          <w:lang w:val="en-GB"/>
        </w:rPr>
        <w:t xml:space="preserve"> or equivalent</w:t>
      </w:r>
    </w:p>
    <w:p>
      <w:pPr>
        <w:pStyle w:val="Normal"/>
        <w:spacing w:before="0" w:after="0"/>
        <w:jc w:val="both"/>
        <w:rPr>
          <w:b/>
          <w:lang w:val="en-GB"/>
        </w:rPr>
      </w:pPr>
      <w:r>
        <w:rPr>
          <w:b/>
          <w:lang w:val="en-GB"/>
        </w:rPr>
      </w:r>
    </w:p>
    <w:p>
      <w:pPr>
        <w:pStyle w:val="Normal"/>
        <w:spacing w:before="0" w:after="0"/>
        <w:jc w:val="both"/>
        <w:rPr/>
      </w:pPr>
      <w:r>
        <w:rPr>
          <w:lang w:val="en-GB"/>
        </w:rPr>
        <w:t>The PST Supplier will review and maintain documents and matrices with regard to establishing and maintaining a secure computing environment in conjunction with EuroBank security personnel and application owners and in accordance with processes owned by the 2IM. The PST Supplier has implemented a management system (the Plan-Do-Check-Act cycle) for implementing a security policy based on BS7799 or equivalent, to ensure that:</w:t>
      </w:r>
    </w:p>
    <w:p>
      <w:pPr>
        <w:pStyle w:val="Normal"/>
        <w:spacing w:before="0" w:after="0"/>
        <w:jc w:val="both"/>
        <w:rPr>
          <w:lang w:val="en-GB"/>
        </w:rPr>
      </w:pPr>
      <w:r>
        <w:rPr>
          <w:lang w:val="en-GB"/>
        </w:rPr>
      </w:r>
    </w:p>
    <w:p>
      <w:pPr>
        <w:pStyle w:val="Normal"/>
        <w:spacing w:before="0" w:after="0"/>
        <w:jc w:val="both"/>
        <w:rPr>
          <w:lang w:val="en-GB"/>
        </w:rPr>
      </w:pPr>
      <w:r>
        <w:rPr>
          <w:lang w:val="en-GB"/>
        </w:rPr>
        <w:t>•</w:t>
      </w:r>
      <w:r>
        <w:rPr>
          <w:lang w:val="en-GB"/>
        </w:rPr>
        <w:tab/>
        <w:t>Information will be protected against unauthorised access.</w:t>
      </w:r>
    </w:p>
    <w:p>
      <w:pPr>
        <w:pStyle w:val="Normal"/>
        <w:spacing w:before="0" w:after="0"/>
        <w:jc w:val="both"/>
        <w:rPr>
          <w:lang w:val="en-GB"/>
        </w:rPr>
      </w:pPr>
      <w:r>
        <w:rPr>
          <w:lang w:val="en-GB"/>
        </w:rPr>
        <w:t>•</w:t>
      </w:r>
      <w:r>
        <w:rPr>
          <w:lang w:val="en-GB"/>
        </w:rPr>
        <w:tab/>
        <w:t>Confidentiality of information will be assured.</w:t>
      </w:r>
    </w:p>
    <w:p>
      <w:pPr>
        <w:pStyle w:val="Normal"/>
        <w:spacing w:before="0" w:after="0"/>
        <w:jc w:val="both"/>
        <w:rPr>
          <w:lang w:val="en-GB"/>
        </w:rPr>
      </w:pPr>
      <w:r>
        <w:rPr>
          <w:lang w:val="en-GB"/>
        </w:rPr>
        <w:t>•</w:t>
      </w:r>
      <w:r>
        <w:rPr>
          <w:lang w:val="en-GB"/>
        </w:rPr>
        <w:tab/>
        <w:t>Integrity of information will be maintained.</w:t>
      </w:r>
    </w:p>
    <w:p>
      <w:pPr>
        <w:pStyle w:val="Normal"/>
        <w:spacing w:before="0" w:after="0"/>
        <w:jc w:val="both"/>
        <w:rPr>
          <w:lang w:val="en-GB"/>
        </w:rPr>
      </w:pPr>
      <w:r>
        <w:rPr>
          <w:lang w:val="en-GB"/>
        </w:rPr>
        <w:t>•</w:t>
      </w:r>
      <w:r>
        <w:rPr>
          <w:lang w:val="en-GB"/>
        </w:rPr>
        <w:tab/>
        <w:t>Business requirements for availability will be met.</w:t>
      </w:r>
    </w:p>
    <w:p>
      <w:pPr>
        <w:pStyle w:val="Normal"/>
        <w:spacing w:before="0" w:after="0"/>
        <w:jc w:val="both"/>
        <w:rPr>
          <w:lang w:val="en-GB"/>
        </w:rPr>
      </w:pPr>
      <w:r>
        <w:rPr>
          <w:lang w:val="en-GB"/>
        </w:rPr>
        <w:t>•</w:t>
      </w:r>
      <w:r>
        <w:rPr>
          <w:lang w:val="en-GB"/>
        </w:rPr>
        <w:tab/>
        <w:t>Risk management will be performed to identify and evaluate security risks.</w:t>
      </w:r>
    </w:p>
    <w:p>
      <w:pPr>
        <w:pStyle w:val="Normal"/>
        <w:spacing w:before="0" w:after="0"/>
        <w:jc w:val="both"/>
        <w:rPr>
          <w:lang w:val="en-GB"/>
        </w:rPr>
      </w:pPr>
      <w:r>
        <w:rPr>
          <w:lang w:val="en-GB"/>
        </w:rPr>
        <w:t>•</w:t>
      </w:r>
      <w:r>
        <w:rPr>
          <w:lang w:val="en-GB"/>
        </w:rPr>
        <w:tab/>
        <w:t>Classification of information assets will be applied.</w:t>
      </w:r>
    </w:p>
    <w:p>
      <w:pPr>
        <w:pStyle w:val="Normal"/>
        <w:spacing w:before="0" w:after="0"/>
        <w:jc w:val="both"/>
        <w:rPr>
          <w:lang w:val="en-GB"/>
        </w:rPr>
      </w:pPr>
      <w:r>
        <w:rPr>
          <w:lang w:val="en-GB"/>
        </w:rPr>
        <w:t>•</w:t>
      </w:r>
      <w:r>
        <w:rPr>
          <w:lang w:val="en-GB"/>
        </w:rPr>
        <w:tab/>
        <w:t>Country and customer regulatory and legislative requirements will be met.</w:t>
      </w:r>
    </w:p>
    <w:p>
      <w:pPr>
        <w:pStyle w:val="Normal"/>
        <w:spacing w:before="0" w:after="0"/>
        <w:jc w:val="both"/>
        <w:rPr>
          <w:lang w:val="en-GB"/>
        </w:rPr>
      </w:pPr>
      <w:r>
        <w:rPr>
          <w:lang w:val="en-GB"/>
        </w:rPr>
      </w:r>
    </w:p>
    <w:p>
      <w:pPr>
        <w:pStyle w:val="Normal"/>
        <w:spacing w:before="0" w:after="0"/>
        <w:jc w:val="both"/>
        <w:rPr>
          <w:b/>
          <w:lang w:val="en-GB"/>
        </w:rPr>
      </w:pPr>
      <w:r>
        <w:rPr>
          <w:b/>
          <w:lang w:val="en-GB"/>
        </w:rPr>
        <w:t xml:space="preserve">Implemented technical and functional security measures </w:t>
      </w:r>
    </w:p>
    <w:p>
      <w:pPr>
        <w:pStyle w:val="Normal"/>
        <w:spacing w:before="0" w:after="0"/>
        <w:jc w:val="both"/>
        <w:rPr>
          <w:b/>
          <w:lang w:val="en-GB"/>
        </w:rPr>
      </w:pPr>
      <w:r>
        <w:rPr>
          <w:b/>
          <w:lang w:val="en-GB"/>
        </w:rPr>
      </w:r>
    </w:p>
    <w:p>
      <w:pPr>
        <w:pStyle w:val="Normal"/>
        <w:spacing w:before="0" w:after="0"/>
        <w:jc w:val="both"/>
        <w:rPr/>
      </w:pPr>
      <w:r>
        <w:rPr>
          <w:lang w:val="en-GB"/>
        </w:rPr>
        <w:t>To provide and maintain security access tools for data, System Software and networks, the PST Supplier implements security measures (concerning user access services (‘UAS”) in the front and back end components for the EuroBank application data environment (CSL and COSL). The PST Supplier establishes and maintains safeguards against the unauthorised access, destruction, loss or modification of EuroBank data, eg:</w:t>
      </w:r>
    </w:p>
    <w:p>
      <w:pPr>
        <w:pStyle w:val="Normal"/>
        <w:spacing w:before="0" w:after="0"/>
        <w:jc w:val="both"/>
        <w:rPr>
          <w:lang w:val="en-GB"/>
        </w:rPr>
      </w:pPr>
      <w:r>
        <w:rPr>
          <w:lang w:val="en-GB"/>
        </w:rPr>
      </w:r>
    </w:p>
    <w:p>
      <w:pPr>
        <w:pStyle w:val="Normal"/>
        <w:spacing w:before="0" w:after="0"/>
        <w:ind w:hanging="720" w:start="720" w:end="0"/>
        <w:jc w:val="both"/>
        <w:rPr/>
      </w:pPr>
      <w:r>
        <w:rPr>
          <w:lang w:val="en-GB"/>
        </w:rPr>
        <w:t>•</w:t>
      </w:r>
      <w:r>
        <w:rPr>
          <w:lang w:val="en-GB"/>
        </w:rPr>
        <w:tab/>
        <w:t>Policies for Secure User access to resources based on role and group policies (default, baseline and incremental) for delegated Access rights:</w:t>
      </w:r>
    </w:p>
    <w:p>
      <w:pPr>
        <w:pStyle w:val="Normal"/>
        <w:spacing w:before="0" w:after="0"/>
        <w:ind w:hanging="720" w:start="720" w:end="0"/>
        <w:jc w:val="both"/>
        <w:rPr>
          <w:lang w:val="en-GB"/>
        </w:rPr>
      </w:pPr>
      <w:r>
        <w:rPr>
          <w:lang w:val="en-GB"/>
        </w:rPr>
      </w:r>
    </w:p>
    <w:p>
      <w:pPr>
        <w:pStyle w:val="Normal"/>
        <w:spacing w:before="0" w:after="0"/>
        <w:ind w:hanging="720" w:start="1440" w:end="0"/>
        <w:jc w:val="both"/>
        <w:rPr>
          <w:lang w:val="en-GB"/>
        </w:rPr>
      </w:pPr>
      <w:r>
        <w:rPr>
          <w:lang w:val="en-GB"/>
        </w:rPr>
        <w:t>a)</w:t>
        <w:tab/>
        <w:t>Domain policies.</w:t>
      </w:r>
    </w:p>
    <w:p>
      <w:pPr>
        <w:pStyle w:val="Normal"/>
        <w:spacing w:before="0" w:after="0"/>
        <w:ind w:hanging="720" w:start="1440" w:end="0"/>
        <w:jc w:val="both"/>
        <w:rPr>
          <w:lang w:val="en-GB"/>
        </w:rPr>
      </w:pPr>
      <w:r>
        <w:rPr>
          <w:lang w:val="en-GB"/>
        </w:rPr>
        <w:t>b)</w:t>
        <w:tab/>
        <w:t>Server policies:</w:t>
      </w:r>
    </w:p>
    <w:p>
      <w:pPr>
        <w:pStyle w:val="Normal"/>
        <w:spacing w:before="0" w:after="0"/>
        <w:ind w:hanging="720" w:start="1440" w:end="0"/>
        <w:jc w:val="both"/>
        <w:rPr>
          <w:lang w:val="en-GB"/>
        </w:rPr>
      </w:pPr>
      <w:r>
        <w:rPr>
          <w:lang w:val="en-GB"/>
        </w:rPr>
        <w:t>c)</w:t>
        <w:tab/>
        <w:t>Client Device Policies:</w:t>
      </w:r>
    </w:p>
    <w:p>
      <w:pPr>
        <w:pStyle w:val="Normal"/>
        <w:spacing w:before="0" w:after="0"/>
        <w:ind w:hanging="720" w:start="1440" w:end="0"/>
        <w:jc w:val="both"/>
        <w:rPr>
          <w:lang w:val="en-GB"/>
        </w:rPr>
      </w:pPr>
      <w:r>
        <w:rPr>
          <w:lang w:val="en-GB"/>
        </w:rPr>
        <w:t>d)</w:t>
        <w:tab/>
        <w:t>User Policies:</w:t>
      </w:r>
    </w:p>
    <w:p>
      <w:pPr>
        <w:pStyle w:val="Normal"/>
        <w:spacing w:before="0" w:after="0"/>
        <w:ind w:hanging="720" w:start="1440" w:end="0"/>
        <w:jc w:val="both"/>
        <w:rPr>
          <w:lang w:val="en-GB"/>
        </w:rPr>
      </w:pPr>
      <w:r>
        <w:rPr>
          <w:lang w:val="en-GB"/>
        </w:rPr>
      </w:r>
    </w:p>
    <w:p>
      <w:pPr>
        <w:pStyle w:val="Normal"/>
        <w:numPr>
          <w:ilvl w:val="0"/>
          <w:numId w:val="5"/>
        </w:numPr>
        <w:spacing w:before="0" w:after="0"/>
        <w:jc w:val="both"/>
        <w:rPr>
          <w:lang w:val="en-GB"/>
        </w:rPr>
      </w:pPr>
      <w:r>
        <w:rPr>
          <w:lang w:val="en-GB"/>
        </w:rPr>
        <w:t>Strong identification, authentication and authorisation policies and protocols (Local policies an Active Directory policies) for User, Functional and System accounts.</w:t>
      </w:r>
    </w:p>
    <w:p>
      <w:pPr>
        <w:pStyle w:val="Normal"/>
        <w:spacing w:before="0" w:after="0"/>
        <w:ind w:hanging="720" w:start="2160" w:end="0"/>
        <w:jc w:val="both"/>
        <w:rPr>
          <w:lang w:val="en-GB"/>
        </w:rPr>
      </w:pPr>
      <w:r>
        <w:rPr>
          <w:lang w:val="en-GB"/>
        </w:rPr>
      </w:r>
    </w:p>
    <w:p>
      <w:pPr>
        <w:pStyle w:val="Normal"/>
        <w:numPr>
          <w:ilvl w:val="0"/>
          <w:numId w:val="5"/>
        </w:numPr>
        <w:spacing w:before="0" w:after="0"/>
        <w:jc w:val="both"/>
        <w:rPr>
          <w:lang w:val="en-GB"/>
        </w:rPr>
      </w:pPr>
      <w:r>
        <w:rPr>
          <w:lang w:val="en-GB"/>
        </w:rPr>
        <w:t>Password and Lock Out policies. The PST Supplier will enforce password policies that comply with EuroBank Group and 2IM defined policies.</w:t>
      </w:r>
    </w:p>
    <w:p>
      <w:pPr>
        <w:pStyle w:val="Normal"/>
        <w:spacing w:before="0" w:after="0"/>
        <w:ind w:hanging="720" w:start="2160" w:end="0"/>
        <w:jc w:val="both"/>
        <w:rPr>
          <w:lang w:val="en-GB"/>
        </w:rPr>
      </w:pPr>
      <w:r>
        <w:rPr>
          <w:lang w:val="en-GB"/>
        </w:rPr>
      </w:r>
    </w:p>
    <w:p>
      <w:pPr>
        <w:pStyle w:val="Normal"/>
        <w:numPr>
          <w:ilvl w:val="0"/>
          <w:numId w:val="5"/>
        </w:numPr>
        <w:spacing w:before="0" w:after="0"/>
        <w:jc w:val="both"/>
        <w:rPr>
          <w:lang w:val="en-GB"/>
        </w:rPr>
      </w:pPr>
      <w:r>
        <w:rPr>
          <w:lang w:val="en-GB"/>
        </w:rPr>
        <w:t>Event logging for all platforms in scope of UAS, based on EuroBank policies for logging, monitoring and auditing.</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w:t>
      </w:r>
      <w:r>
        <w:rPr>
          <w:lang w:val="en-GB"/>
        </w:rPr>
        <w:tab/>
        <w:t>Policies for Non-repudiation (to prove communication took place).</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w:t>
      </w:r>
      <w:r>
        <w:rPr>
          <w:lang w:val="en-GB"/>
        </w:rPr>
        <w:tab/>
        <w:t>Policies for Data Storage, Archiving, Lifecycle Management, Backup &amp; Recovery. The PST Supplier will store user and group data in a way that allows for security, flexibility and performance.</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w:t>
      </w:r>
      <w:r>
        <w:rPr>
          <w:lang w:val="en-GB"/>
        </w:rPr>
        <w:tab/>
        <w:t>Policies for ‘Chinese walls’.</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w:t>
      </w:r>
      <w:r>
        <w:rPr>
          <w:lang w:val="en-GB"/>
        </w:rPr>
        <w:tab/>
        <w:t>Policies for data protection during transport.</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w:t>
      </w:r>
      <w:r>
        <w:rPr>
          <w:lang w:val="en-GB"/>
        </w:rPr>
        <w:tab/>
        <w:t>Policies for data encryption.</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w:t>
      </w:r>
      <w:r>
        <w:rPr>
          <w:lang w:val="en-GB"/>
        </w:rPr>
        <w:tab/>
        <w:t>Policies for remote management.</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w:t>
      </w:r>
      <w:r>
        <w:rPr>
          <w:lang w:val="en-GB"/>
        </w:rPr>
        <w:tab/>
        <w:t>Policies for performing management activities. The PST Supplier will establish and maintain policies and procedures for managing administrator accounts on different levels (e.g. Authorised User, administrator, security administrator).</w:t>
      </w:r>
    </w:p>
    <w:p>
      <w:pPr>
        <w:pStyle w:val="Normal"/>
        <w:spacing w:before="0" w:after="0"/>
        <w:jc w:val="both"/>
        <w:rPr>
          <w:lang w:val="en-GB"/>
        </w:rPr>
      </w:pPr>
      <w:r>
        <w:rPr>
          <w:lang w:val="en-GB"/>
        </w:rPr>
      </w:r>
    </w:p>
    <w:p>
      <w:pPr>
        <w:pStyle w:val="Normal"/>
        <w:spacing w:before="0" w:after="0"/>
        <w:jc w:val="both"/>
        <w:rPr>
          <w:b/>
          <w:lang w:val="en-GB"/>
        </w:rPr>
      </w:pPr>
      <w:r>
        <w:rPr>
          <w:b/>
          <w:lang w:val="en-GB"/>
        </w:rPr>
        <w:t>Implemented security support processes and procedures</w:t>
      </w:r>
    </w:p>
    <w:p>
      <w:pPr>
        <w:pStyle w:val="Normal"/>
        <w:spacing w:before="0" w:after="0"/>
        <w:jc w:val="both"/>
        <w:rPr>
          <w:b/>
          <w:lang w:val="en-GB"/>
        </w:rPr>
      </w:pPr>
      <w:r>
        <w:rPr>
          <w:b/>
          <w:lang w:val="en-GB"/>
        </w:rPr>
      </w:r>
    </w:p>
    <w:p>
      <w:pPr>
        <w:pStyle w:val="Normal"/>
        <w:spacing w:before="0" w:after="0"/>
        <w:jc w:val="both"/>
        <w:rPr>
          <w:lang w:val="en-GB"/>
        </w:rPr>
      </w:pPr>
      <w:r>
        <w:rPr>
          <w:lang w:val="en-GB"/>
        </w:rPr>
        <w:t>The PST Supplier safeguards compliance with all applicable security policies, standards and procedures. The PST Supplier will allow EuroBank and 2IM verify compliance, e.g.:</w:t>
      </w:r>
    </w:p>
    <w:p>
      <w:pPr>
        <w:pStyle w:val="Normal"/>
        <w:spacing w:before="0" w:after="0"/>
        <w:jc w:val="both"/>
        <w:rPr>
          <w:lang w:val="en-GB"/>
        </w:rPr>
      </w:pPr>
      <w:r>
        <w:rPr>
          <w:lang w:val="en-GB"/>
        </w:rPr>
      </w:r>
    </w:p>
    <w:p>
      <w:pPr>
        <w:pStyle w:val="Normal"/>
        <w:spacing w:before="0" w:after="0"/>
        <w:ind w:hanging="720" w:start="720" w:end="0"/>
        <w:jc w:val="both"/>
        <w:rPr>
          <w:lang w:val="en-GB"/>
        </w:rPr>
      </w:pPr>
      <w:r>
        <w:rPr>
          <w:lang w:val="en-GB"/>
        </w:rPr>
        <w:t>•</w:t>
        <w:tab/>
        <w:t xml:space="preserve">All PST Supplier managers are directly responsible for implementing the security policy within their business areas, and for adherence by their staff. The PST Supplier will ensure that all relevant staff will be selected and will act in accordance with EuroBank policies, following 2IM procedures. All staff is trained according to processes and procedures. It is the responsibility of each employee to adhere to the policy and related standards and procedures. </w:t>
      </w:r>
      <w:r>
        <w:rPr>
          <w:lang w:val="en-GB"/>
        </w:rPr>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w:t>
      </w:r>
      <w:r>
        <w:rPr>
          <w:lang w:val="en-GB"/>
        </w:rPr>
        <w:tab/>
        <w:t>All breaches of information security, actual or suspected, are reported. In case of a security incident, immediate action is taken to reduce the PST Supplier’s and customer’s exposure.</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w:t>
      </w:r>
      <w:r>
        <w:rPr>
          <w:lang w:val="en-GB"/>
        </w:rPr>
        <w:tab/>
        <w:t>The PST Supplier implements and maintains segregation of duties and will establish and implement procedures for maintaining the ‘four eyes’ principle.</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w:t>
      </w:r>
      <w:r>
        <w:rPr>
          <w:lang w:val="en-GB"/>
        </w:rPr>
        <w:tab/>
        <w:t>The PST Supplier performs adequate backup and recovery procedures, based on the service descriptions and Service Levels as agreed on in Exhibit 3 and Attachments 3A and 3B.</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w:t>
      </w:r>
      <w:r>
        <w:rPr>
          <w:lang w:val="en-GB"/>
        </w:rPr>
        <w:tab/>
        <w:t>The PST Supplier maintains documentation of all systems, platforms, applications, and databases as well as a comprehensive list of application ownership, i.e. in scope of user access services.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w:t>
        <w:tab/>
        <w:t>The PST Supplier performs periodic internal audits and is yearly external audited on its security administration. Findings from these audits are maintained in a database, and reported on. Based on this an action plan will be made, and appropriate actions executed in agreement with EuroBank.</w:t>
      </w:r>
      <w:r>
        <w:rPr>
          <w:lang w:val="en-GB"/>
        </w:rPr>
      </w:r>
    </w:p>
    <w:p>
      <w:pPr>
        <w:pStyle w:val="Normal"/>
        <w:spacing w:before="0" w:after="0"/>
        <w:jc w:val="both"/>
        <w:rPr>
          <w:lang w:val="en-GB"/>
        </w:rPr>
      </w:pPr>
      <w:r>
        <w:rPr>
          <w:lang w:val="en-GB"/>
        </w:rPr>
      </w:r>
    </w:p>
    <w:p>
      <w:pPr>
        <w:pStyle w:val="Normal"/>
        <w:spacing w:before="0" w:after="0"/>
        <w:jc w:val="both"/>
        <w:rPr>
          <w:b/>
          <w:lang w:val="en-GB"/>
        </w:rPr>
      </w:pPr>
      <w:r>
        <w:rPr>
          <w:b/>
          <w:lang w:val="en-GB"/>
        </w:rPr>
        <w:t>Implemented secure Service Portal</w:t>
      </w:r>
    </w:p>
    <w:p>
      <w:pPr>
        <w:pStyle w:val="Normal"/>
        <w:spacing w:before="0" w:after="0"/>
        <w:jc w:val="both"/>
        <w:rPr>
          <w:b/>
          <w:lang w:val="en-GB"/>
        </w:rPr>
      </w:pPr>
      <w:r>
        <w:rPr>
          <w:b/>
          <w:lang w:val="en-GB"/>
        </w:rPr>
      </w:r>
    </w:p>
    <w:p>
      <w:pPr>
        <w:pStyle w:val="Normal"/>
        <w:spacing w:before="0" w:after="0"/>
        <w:jc w:val="both"/>
        <w:rPr>
          <w:lang w:val="en-GB"/>
        </w:rPr>
      </w:pPr>
      <w:r>
        <w:rPr>
          <w:lang w:val="en-GB"/>
        </w:rPr>
        <w:t xml:space="preserve">The PST Supplier safeguards a maximum throughput time for handling authorisation requests, according to agreed Service Level Agreements, by implementing a Self Service Portal that is used to manage Authorised User access. The Portal is an easy to use browser based application that provides one interface to all ICT services and information. </w:t>
      </w:r>
    </w:p>
    <w:p>
      <w:pPr>
        <w:pStyle w:val="Normal"/>
        <w:spacing w:before="0" w:after="0"/>
        <w:jc w:val="both"/>
        <w:rPr>
          <w:lang w:val="en-GB"/>
        </w:rPr>
      </w:pPr>
      <w:r>
        <w:rPr>
          <w:lang w:val="en-GB"/>
        </w:rPr>
      </w:r>
    </w:p>
    <w:p>
      <w:pPr>
        <w:pStyle w:val="Normal"/>
        <w:spacing w:before="0" w:after="0"/>
        <w:jc w:val="both"/>
        <w:rPr>
          <w:lang w:val="en-GB"/>
        </w:rPr>
      </w:pPr>
      <w:r>
        <w:rPr>
          <w:lang w:val="en-GB"/>
        </w:rPr>
        <w:t xml:space="preserve">All actions in the this will be carried out as Transactions, which makes detailed logging possible, as well as a complete rollback of actions. </w:t>
      </w:r>
    </w:p>
    <w:p>
      <w:pPr>
        <w:pStyle w:val="Normal"/>
        <w:spacing w:before="0" w:after="0"/>
        <w:jc w:val="both"/>
        <w:rPr>
          <w:lang w:val="en-GB"/>
        </w:rPr>
      </w:pPr>
      <w:r>
        <w:rPr>
          <w:lang w:val="en-GB"/>
        </w:rPr>
      </w:r>
    </w:p>
    <w:p>
      <w:pPr>
        <w:pStyle w:val="Normal"/>
        <w:spacing w:before="0" w:after="0"/>
        <w:jc w:val="both"/>
        <w:rPr>
          <w:lang w:val="en-GB"/>
        </w:rPr>
      </w:pPr>
      <w:r>
        <w:rPr>
          <w:lang w:val="en-GB"/>
        </w:rPr>
        <w:t xml:space="preserve">A delegation model in the Self Service Portal will make sure that only staff explicitly authorised by EuroBank can request for transactions. </w:t>
      </w:r>
    </w:p>
    <w:p>
      <w:pPr>
        <w:pStyle w:val="Normal"/>
        <w:spacing w:before="0" w:after="0"/>
        <w:jc w:val="both"/>
        <w:rPr>
          <w:lang w:val="en-GB"/>
        </w:rPr>
      </w:pPr>
      <w:r>
        <w:rPr>
          <w:lang w:val="en-GB"/>
        </w:rPr>
      </w:r>
    </w:p>
    <w:p>
      <w:pPr>
        <w:pStyle w:val="Normal"/>
        <w:spacing w:before="0" w:after="0"/>
        <w:jc w:val="both"/>
        <w:rPr>
          <w:lang w:val="en-GB"/>
        </w:rPr>
      </w:pPr>
      <w:r>
        <w:rPr>
          <w:lang w:val="en-GB"/>
        </w:rPr>
        <w:t>The key secure Self Service Portal functionality consists of but is not limited to (depending on the availability of role-based access control and automated provisioning within EuroBank; where this functionality is not available, current processes will be used):</w:t>
      </w:r>
    </w:p>
    <w:p>
      <w:pPr>
        <w:pStyle w:val="Normal"/>
        <w:spacing w:before="0" w:after="0"/>
        <w:jc w:val="both"/>
        <w:rPr>
          <w:lang w:val="en-GB"/>
        </w:rPr>
      </w:pPr>
      <w:r>
        <w:rPr>
          <w:lang w:val="en-GB"/>
        </w:rPr>
      </w:r>
    </w:p>
    <w:p>
      <w:pPr>
        <w:pStyle w:val="Normal"/>
        <w:spacing w:before="0" w:after="0"/>
        <w:ind w:hanging="720" w:start="720" w:end="0"/>
        <w:jc w:val="both"/>
        <w:rPr>
          <w:lang w:val="en-GB"/>
        </w:rPr>
      </w:pPr>
      <w:r>
        <w:rPr>
          <w:lang w:val="en-GB"/>
        </w:rPr>
        <w:t>•</w:t>
      </w:r>
      <w:r>
        <w:rPr>
          <w:lang w:val="en-GB"/>
        </w:rPr>
        <w:tab/>
        <w:t xml:space="preserve">Role-based access control. In this portal a database is maintained with roles and access rights. </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w:t>
      </w:r>
      <w:r>
        <w:rPr>
          <w:lang w:val="en-GB"/>
        </w:rPr>
        <w:tab/>
        <w:t>Password reset. This way, the PST Supplier has established procedures, forms and approval levels for assigning, resetting and disabling user IDs and passwords. The secure Self Service Portal will also keep an administration of assigning, resetting and disabling userids and passwords.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w:t>
      </w:r>
      <w:r>
        <w:rPr>
          <w:lang w:val="en-GB"/>
        </w:rPr>
        <w:tab/>
        <w:t>Security resource management (management of resources of which security is dependent; e.g. technical security groups)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w:t>
      </w:r>
      <w:r>
        <w:rPr>
          <w:lang w:val="en-GB"/>
        </w:rPr>
        <w:tab/>
        <w:t>User management (add, change, disable).</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w:t>
      </w:r>
      <w:r>
        <w:rPr>
          <w:lang w:val="en-GB"/>
        </w:rPr>
        <w:tab/>
        <w:t>Role-based application assignment (SMS 2003 or equivalent).</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w:t>
      </w:r>
      <w:r>
        <w:rPr>
          <w:lang w:val="en-GB"/>
        </w:rPr>
        <w:tab/>
        <w:t>Mailbox creation (Exchange 2003 or equivalent).</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w:t>
      </w:r>
      <w:r>
        <w:rPr>
          <w:lang w:val="en-GB"/>
        </w:rPr>
        <w:tab/>
        <w:t>File share creation (Windows 2003 Server or equivalent).</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w:t>
      </w:r>
      <w:r>
        <w:rPr>
          <w:lang w:val="en-GB"/>
        </w:rPr>
        <w:tab/>
        <w:t>Interface to the PST Supplier data warehouse and reporting services.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w:t>
        <w:tab/>
        <w:t>Interface to the PST Supplier service management tooling (ticket entry / status), in which an administration of all authorisation requests is maintained. This way the Portal is a secure online database of all authorisation requests in order to provide EuroBank clients with accurate and swift information on the status of their requests.</w:t>
      </w:r>
      <w:r>
        <w:rPr>
          <w:lang w:val="en-GB"/>
        </w:rPr>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w:t>
        <w:tab/>
        <w:t>Interface to EuroBank CMDB.</w:t>
      </w:r>
      <w:r>
        <w:rPr>
          <w:lang w:val="en-GB"/>
        </w:rPr>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w:t>
      </w:r>
      <w:r>
        <w:rPr>
          <w:lang w:val="en-GB"/>
        </w:rPr>
        <w:tab/>
        <w:t>Service Catalogue ordering + workflow.</w:t>
      </w:r>
    </w:p>
    <w:p>
      <w:pPr>
        <w:pStyle w:val="Normal"/>
        <w:spacing w:before="0" w:after="0"/>
        <w:jc w:val="both"/>
        <w:rPr>
          <w:lang w:val="en-GB"/>
        </w:rPr>
      </w:pPr>
      <w:r>
        <w:rPr>
          <w:lang w:val="en-GB"/>
        </w:rPr>
      </w:r>
    </w:p>
    <w:p>
      <w:pPr>
        <w:pStyle w:val="Normal"/>
        <w:spacing w:before="0" w:after="0"/>
        <w:jc w:val="both"/>
        <w:rPr>
          <w:lang w:val="en-GB"/>
        </w:rPr>
      </w:pPr>
      <w:r>
        <w:rPr>
          <w:lang w:val="en-GB"/>
        </w:rPr>
        <w:t>Password reset is secured in the following way:</w:t>
      </w:r>
    </w:p>
    <w:p>
      <w:pPr>
        <w:pStyle w:val="Normal"/>
        <w:spacing w:before="0" w:after="0"/>
        <w:jc w:val="both"/>
        <w:rPr>
          <w:lang w:val="en-GB"/>
        </w:rPr>
      </w:pPr>
      <w:r>
        <w:rPr>
          <w:lang w:val="en-GB"/>
        </w:rPr>
      </w:r>
    </w:p>
    <w:p>
      <w:pPr>
        <w:pStyle w:val="Normal"/>
        <w:spacing w:before="0" w:after="0"/>
        <w:ind w:hanging="720" w:start="720" w:end="0"/>
        <w:jc w:val="both"/>
        <w:rPr>
          <w:lang w:val="en-GB"/>
        </w:rPr>
      </w:pPr>
      <w:r>
        <w:rPr>
          <w:lang w:val="en-GB"/>
        </w:rPr>
        <w:t>•</w:t>
        <w:tab/>
        <w:t>When the Self Service Portal is set-up for EuroBank, a configurable number of questions (e.g .10) are loaded in the Service Portal Database. These are questions to which only the user himself typically knows the answer. Sample questions, used in the field, are available but EuroBank can request other and unique questions.</w:t>
      </w:r>
      <w:r>
        <w:rPr>
          <w:lang w:val="en-GB"/>
        </w:rPr>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w:t>
        <w:tab/>
        <w:t>Each individual Authorised User answers these 10 questions with personal questions at a moment in time when he is logged on and authenticated to the EuroBank system, allowing the user access to this part of the Portal. The answers are stored in the Service Portal database.</w:t>
      </w:r>
      <w:r>
        <w:rPr>
          <w:lang w:val="en-GB"/>
        </w:rPr>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w:t>
      </w:r>
      <w:r>
        <w:rPr>
          <w:lang w:val="en-GB"/>
        </w:rPr>
        <w:tab/>
        <w:t>At the moment the Authorised User needs to reset his password, the Service Portal asks a configurable number of questions (eg 3). These are chosen at random from the earlier answered questions.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w:t>
      </w:r>
      <w:r>
        <w:rPr>
          <w:lang w:val="en-GB"/>
        </w:rPr>
        <w:tab/>
        <w:t>If the Authorised User replies too many wrong answers to these questions, the userid will be revoked. The userid can be un-revoked by a Authorised User, again via the Service Portal. The number of wrong answers before revoking takes place is configurable.</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w:t>
      </w:r>
      <w:r>
        <w:rPr>
          <w:lang w:val="en-GB"/>
        </w:rPr>
        <w:tab/>
        <w:t>With the correct answers, the Authorised User receives a temporary password. With the next logon to the infrastructure, the Authorised User is required, after supplying the temporary password, to specify a new password, following password policies, keeping the password history.</w:t>
      </w:r>
    </w:p>
    <w:p>
      <w:pPr>
        <w:pStyle w:val="Normal"/>
        <w:spacing w:before="0" w:after="0"/>
        <w:jc w:val="both"/>
        <w:rPr>
          <w:lang w:val="en-GB"/>
        </w:rPr>
      </w:pPr>
      <w:r>
        <w:rPr>
          <w:lang w:val="en-GB"/>
        </w:rPr>
      </w:r>
    </w:p>
    <w:p>
      <w:pPr>
        <w:pStyle w:val="Normal"/>
        <w:spacing w:before="0" w:after="0"/>
        <w:jc w:val="both"/>
        <w:rPr>
          <w:lang w:val="en-GB"/>
        </w:rPr>
      </w:pPr>
      <w:r>
        <w:rPr>
          <w:lang w:val="en-GB"/>
        </w:rPr>
        <w:t xml:space="preserve">The PST Supplier will utilise EuroBank’s sophisticated domain authentication methods, which is based on a Public Key Infrastructure.(’PKI’) </w:t>
      </w:r>
    </w:p>
    <w:p>
      <w:pPr>
        <w:pStyle w:val="Heading2Numbered"/>
        <w:numPr>
          <w:ilvl w:val="1"/>
          <w:numId w:val="2"/>
        </w:numPr>
        <w:ind w:hanging="0" w:start="0"/>
        <w:jc w:val="both"/>
        <w:rPr>
          <w:sz w:val="22"/>
          <w:szCs w:val="22"/>
          <w:lang w:val="en-GB"/>
        </w:rPr>
      </w:pPr>
      <w:bookmarkStart w:id="21" w:name="__RefHeading___Toc150051208"/>
      <w:r>
        <w:rPr>
          <w:sz w:val="22"/>
          <w:szCs w:val="22"/>
          <w:lang w:val="en-GB"/>
        </w:rPr>
        <w:t xml:space="preserve">EuroBank Corporate IT Policies </w:t>
      </w:r>
      <w:bookmarkEnd w:id="21"/>
      <w:r>
        <w:rPr>
          <w:sz w:val="22"/>
          <w:szCs w:val="22"/>
          <w:lang w:val="en-GB"/>
        </w:rPr>
      </w:r>
    </w:p>
    <w:p>
      <w:pPr>
        <w:pStyle w:val="Normal"/>
        <w:spacing w:before="0" w:after="0"/>
        <w:jc w:val="both"/>
        <w:rPr>
          <w:lang w:val="en-GB"/>
        </w:rPr>
      </w:pPr>
      <w:r>
        <w:rPr>
          <w:lang w:val="en-GB"/>
        </w:rPr>
        <w:t xml:space="preserve">To meet the requirements of EuroBank Corporate IT policies as defined in Exhibit 17 the PST Suppliers and 2IM will set up a Joint Security Steering Committee (JSSC). The JSSC addresses all compliance, safety and security requirements, and ensures the requirements are met by the individual PST Suppliers and 2IM. </w:t>
      </w:r>
    </w:p>
    <w:p>
      <w:pPr>
        <w:pStyle w:val="Normal"/>
        <w:spacing w:before="0" w:after="0"/>
        <w:jc w:val="both"/>
        <w:rPr>
          <w:lang w:val="en-GB"/>
        </w:rPr>
      </w:pPr>
      <w:r>
        <w:rPr>
          <w:lang w:val="en-GB"/>
        </w:rPr>
      </w:r>
    </w:p>
    <w:p>
      <w:pPr>
        <w:pStyle w:val="Normal"/>
        <w:spacing w:before="0" w:after="0"/>
        <w:jc w:val="both"/>
        <w:rPr>
          <w:lang w:val="en-GB"/>
        </w:rPr>
      </w:pPr>
      <w:r>
        <w:rPr>
          <w:lang w:val="en-GB"/>
        </w:rPr>
        <w:t xml:space="preserve">Each PST Suppliers and 2IM is represented in this committee by a Security Manager. Ultimate responsibility for the outsourced environment on a strategic level should remain with EuroBank. Security responsibilities on a tactical level will be shared by EuroBank and the PST Supplier and addressed in the Joint Security Steering Committee, chaired by EuroBank. Operational security is the responsibility of the individual PST Suppliers and 2IM. The EuroBank Security Officer chairing the JSSC is the primary interface to the Executive Steering Committee for any compliance, security and safety issue. Read security coordinator for security administrator in the picture below. </w:t>
      </w:r>
    </w:p>
    <w:p>
      <w:pPr>
        <w:pStyle w:val="Normal"/>
        <w:spacing w:before="0" w:after="0"/>
        <w:jc w:val="both"/>
        <w:rPr>
          <w:lang w:val="en-GB"/>
        </w:rPr>
      </w:pPr>
      <w:r>
        <w:rPr>
          <w:lang w:val="en-GB"/>
        </w:rPr>
      </w:r>
    </w:p>
    <w:p>
      <w:pPr>
        <w:pStyle w:val="Normal"/>
        <w:spacing w:before="0" w:after="0"/>
        <w:jc w:val="both"/>
        <w:rPr>
          <w:lang w:val="en-GB"/>
        </w:rPr>
      </w:pPr>
      <w:r>
        <w:rPr/>
        <w:object w:dxaOrig="8524" w:dyaOrig="3198">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422.4pt;height:158.5pt" filled="f" o:ole="">
            <v:imagedata r:id="rId11" o:title=""/>
          </v:shape>
          <o:OLEObject Type="Embed" ProgID="" ShapeID="ole_rId10" DrawAspect="Content" ObjectID="_59376402" r:id="rId10"/>
        </w:object>
      </w:r>
    </w:p>
    <w:p>
      <w:pPr>
        <w:pStyle w:val="Normal"/>
        <w:spacing w:before="0" w:after="0"/>
        <w:jc w:val="both"/>
        <w:rPr>
          <w:lang w:val="en-GB"/>
        </w:rPr>
      </w:pPr>
      <w:r>
        <w:rPr>
          <w:lang w:val="en-GB"/>
        </w:rPr>
      </w:r>
    </w:p>
    <w:p>
      <w:pPr>
        <w:pStyle w:val="Normal"/>
        <w:spacing w:before="0" w:after="0"/>
        <w:jc w:val="both"/>
        <w:rPr/>
      </w:pPr>
      <w:r>
        <w:rPr>
          <w:lang w:val="en-GB"/>
        </w:rPr>
        <w:t>All PST Suppliers and 2IM have a broad experience in sourcing IT infrastructures from highly secured environments such as banking, insurance, police and central government. The Policies mentioned in Exhibit 17 (</w:t>
      </w:r>
      <w:r>
        <w:rPr>
          <w:i/>
          <w:lang w:val="en-GB"/>
        </w:rPr>
        <w:t>Policies</w:t>
      </w:r>
      <w:r>
        <w:rPr>
          <w:lang w:val="en-GB"/>
        </w:rPr>
        <w:t>) and its Attachments contain similar requirements with the requirements known from the above mentioned organisations.</w:t>
      </w:r>
    </w:p>
    <w:p>
      <w:pPr>
        <w:pStyle w:val="Normal"/>
        <w:spacing w:before="0" w:after="0"/>
        <w:jc w:val="both"/>
        <w:rPr>
          <w:lang w:val="en-GB"/>
        </w:rPr>
      </w:pPr>
      <w:r>
        <w:rPr>
          <w:lang w:val="en-GB"/>
        </w:rPr>
      </w:r>
    </w:p>
    <w:p>
      <w:pPr>
        <w:pStyle w:val="Normal"/>
        <w:spacing w:before="0" w:after="0"/>
        <w:jc w:val="both"/>
        <w:rPr>
          <w:lang w:val="en-GB"/>
        </w:rPr>
      </w:pPr>
      <w:r>
        <w:rPr>
          <w:lang w:val="en-GB"/>
        </w:rPr>
        <w:t>Both EuroBank and the PST Suppliers and 2IM security views are based on ISO17799. The PST Suppliers and 2IM ensure compliancy with the EuroBank’s requirements listed in Exhibit 17 by translating the strategic/tactical requirements into operational implementation, management &amp; control, monitoring and reporting using the PST Suppliers and 2IM best practices.</w:t>
      </w:r>
    </w:p>
    <w:p>
      <w:pPr>
        <w:pStyle w:val="Normal"/>
        <w:spacing w:before="0" w:after="0"/>
        <w:jc w:val="both"/>
        <w:rPr>
          <w:lang w:val="en-GB"/>
        </w:rPr>
      </w:pPr>
      <w:r>
        <w:rPr>
          <w:lang w:val="en-GB"/>
        </w:rPr>
      </w:r>
    </w:p>
    <w:p>
      <w:pPr>
        <w:pStyle w:val="Normal"/>
        <w:spacing w:before="0" w:after="0"/>
        <w:jc w:val="both"/>
        <w:rPr>
          <w:lang w:val="en-GB"/>
        </w:rPr>
      </w:pPr>
      <w:r>
        <w:rPr>
          <w:lang w:val="en-GB"/>
        </w:rPr>
        <w:t>Having experience with the implementation of ISO 17799, SOX, ROB and BASEL the PST Suppliers and 2IM will comply with relevant requirements.  All PST Suppliers and 2IM have ISO17799 certifications. PST Suppliers, 2IM excluded, are subject to regular external audits</w:t>
      </w:r>
    </w:p>
    <w:p>
      <w:pPr>
        <w:pStyle w:val="Normal"/>
        <w:spacing w:before="0" w:after="0"/>
        <w:jc w:val="both"/>
        <w:rPr>
          <w:lang w:val="en-GB"/>
        </w:rPr>
      </w:pPr>
      <w:r>
        <w:rPr>
          <w:lang w:val="en-GB"/>
        </w:rPr>
      </w:r>
    </w:p>
    <w:p>
      <w:pPr>
        <w:pStyle w:val="Normal"/>
        <w:spacing w:before="0" w:after="0"/>
        <w:jc w:val="both"/>
        <w:rPr>
          <w:lang w:val="en-GB"/>
        </w:rPr>
      </w:pPr>
      <w:r>
        <w:rPr>
          <w:lang w:val="en-GB"/>
        </w:rPr>
        <w:t>The PST Supplier’s responsibilities include:</w:t>
      </w:r>
    </w:p>
    <w:p>
      <w:pPr>
        <w:pStyle w:val="Normal"/>
        <w:spacing w:before="0" w:after="0"/>
        <w:jc w:val="both"/>
        <w:rPr>
          <w:lang w:val="en-GB"/>
        </w:rPr>
      </w:pPr>
      <w:r>
        <w:rPr>
          <w:lang w:val="en-GB"/>
        </w:rPr>
      </w:r>
    </w:p>
    <w:p>
      <w:pPr>
        <w:pStyle w:val="Normal"/>
        <w:spacing w:before="0" w:after="0"/>
        <w:ind w:hanging="720" w:start="720" w:end="0"/>
        <w:jc w:val="both"/>
        <w:rPr>
          <w:lang w:val="en-GB"/>
        </w:rPr>
      </w:pPr>
      <w:r>
        <w:rPr>
          <w:lang w:val="en-GB"/>
        </w:rPr>
        <w:t>a)</w:t>
        <w:tab/>
        <w:t xml:space="preserve">The PST Supplier will safeguard compliance with all applicable security policies, standards and procedures. PST Supplier will allow EuroBank and 2IM verify compliance. </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b)</w:t>
        <w:tab/>
        <w:t>The PST Supplier will comply with the following security policies and requirements:</w:t>
      </w:r>
    </w:p>
    <w:p>
      <w:pPr>
        <w:pStyle w:val="Normal"/>
        <w:spacing w:before="0" w:after="0"/>
        <w:ind w:hanging="720" w:start="720" w:end="0"/>
        <w:jc w:val="both"/>
        <w:rPr>
          <w:lang w:val="en-GB"/>
        </w:rPr>
      </w:pPr>
      <w:r>
        <w:rPr>
          <w:lang w:val="en-GB"/>
        </w:rPr>
      </w:r>
    </w:p>
    <w:p>
      <w:pPr>
        <w:pStyle w:val="Normal"/>
        <w:spacing w:before="0" w:after="0"/>
        <w:ind w:hanging="720" w:start="1440" w:end="0"/>
        <w:jc w:val="both"/>
        <w:rPr>
          <w:lang w:val="en-GB"/>
        </w:rPr>
      </w:pPr>
      <w:r>
        <w:rPr>
          <w:lang w:val="en-GB"/>
        </w:rPr>
        <w:t>i)</w:t>
        <w:tab/>
        <w:t>Policies and requirements formulated by external regulatory bodies such as DNB (Dutch Central Bank).</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ii)</w:t>
        <w:tab/>
        <w:t xml:space="preserve">Policies and requirements resulting from the Sarbanes-Oxley Act (SOX). </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iii)</w:t>
        <w:tab/>
        <w:t>General EuroBank security policies on Information Technology, in particular those documented by Corporate IT.</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iv)</w:t>
        <w:tab/>
        <w:t>OPS&amp;IT security policies, particularly Operational Security Guidelines (OSG’s).</w:t>
      </w:r>
    </w:p>
    <w:p>
      <w:pPr>
        <w:pStyle w:val="Normal"/>
        <w:spacing w:before="0" w:after="0"/>
        <w:ind w:hanging="720" w:start="1440" w:end="0"/>
        <w:jc w:val="both"/>
        <w:rPr>
          <w:lang w:val="en-GB"/>
        </w:rPr>
      </w:pPr>
      <w:r>
        <w:rPr>
          <w:lang w:val="en-GB"/>
        </w:rPr>
      </w:r>
    </w:p>
    <w:p>
      <w:pPr>
        <w:pStyle w:val="Normal"/>
        <w:spacing w:before="0" w:after="0"/>
        <w:ind w:hanging="720" w:start="1440" w:end="0"/>
        <w:jc w:val="both"/>
        <w:rPr/>
      </w:pPr>
      <w:r>
        <w:rPr>
          <w:lang w:val="en-GB"/>
        </w:rPr>
        <w:t>v)</w:t>
        <w:tab/>
        <w:t>EuroBank policies and procedures with regard to external connections. All external connections are to be reviewed by EuroBank’s Review Committee on External Connections.</w:t>
      </w:r>
    </w:p>
    <w:p>
      <w:pPr>
        <w:pStyle w:val="Normal"/>
        <w:spacing w:before="0" w:after="0"/>
        <w:ind w:hanging="720" w:start="1440" w:end="0"/>
        <w:jc w:val="both"/>
        <w:rPr>
          <w:lang w:val="en-GB"/>
        </w:rPr>
      </w:pPr>
      <w:r>
        <w:rPr>
          <w:lang w:val="en-GB"/>
        </w:rPr>
      </w:r>
    </w:p>
    <w:p>
      <w:pPr>
        <w:pStyle w:val="Normal"/>
        <w:spacing w:before="0" w:after="0"/>
        <w:ind w:hanging="720" w:start="1440" w:end="0"/>
        <w:jc w:val="both"/>
        <w:rPr/>
      </w:pPr>
      <w:r>
        <w:rPr>
          <w:lang w:val="en-GB"/>
        </w:rPr>
        <w:t>vi)</w:t>
        <w:tab/>
        <w:t>Requirements and decisions formulated by EuroBank’s Information Risk Management (IRM) departments.</w:t>
      </w:r>
    </w:p>
    <w:p>
      <w:pPr>
        <w:pStyle w:val="Normal"/>
        <w:spacing w:before="0" w:after="0"/>
        <w:ind w:hanging="720" w:start="1440" w:end="0"/>
        <w:jc w:val="both"/>
        <w:rPr>
          <w:lang w:val="en-GB"/>
        </w:rPr>
      </w:pPr>
      <w:r>
        <w:rPr>
          <w:lang w:val="en-GB"/>
        </w:rPr>
      </w:r>
    </w:p>
    <w:p>
      <w:pPr>
        <w:pStyle w:val="Normal"/>
        <w:spacing w:before="0" w:after="0"/>
        <w:ind w:hanging="720" w:start="1440" w:end="0"/>
        <w:jc w:val="both"/>
        <w:rPr/>
      </w:pPr>
      <w:r>
        <w:rPr>
          <w:lang w:val="en-GB"/>
        </w:rPr>
        <w:t>vii)</w:t>
        <w:tab/>
        <w:t>Requirements and decisions formulated by EuroBank’s Operational Risk Management (ORM) departments.</w:t>
      </w:r>
    </w:p>
    <w:p>
      <w:pPr>
        <w:pStyle w:val="Normal"/>
        <w:spacing w:before="0" w:after="0"/>
        <w:ind w:hanging="720" w:start="720" w:end="0"/>
        <w:jc w:val="both"/>
        <w:rPr>
          <w:lang w:val="en-GB"/>
        </w:rPr>
      </w:pPr>
      <w:r>
        <w:rPr>
          <w:lang w:val="en-GB"/>
        </w:rPr>
      </w:r>
    </w:p>
    <w:p>
      <w:pPr>
        <w:pStyle w:val="Normal"/>
        <w:spacing w:before="0" w:after="0"/>
        <w:ind w:start="1440" w:end="0"/>
        <w:jc w:val="both"/>
        <w:rPr/>
      </w:pPr>
      <w:r>
        <w:rPr>
          <w:lang w:val="en-GB"/>
        </w:rPr>
        <w:t>Ordinary maintenance of operational guidelines to existing levels, etc due to modified regulatory controls (e.g. SOX) will be included within normal activities where in scope of the UAS. However major changes e.g. SOX2, BASELIII are regulated through the Change Control Process. The PST Suppliers security officers will be engaged for these activities, managed by 2IM. (Assessment, planning and communication is part of baseline).</w:t>
      </w:r>
    </w:p>
    <w:p>
      <w:pPr>
        <w:pStyle w:val="Normal"/>
        <w:spacing w:before="0" w:after="0"/>
        <w:ind w:hanging="720" w:start="1440" w:end="0"/>
        <w:jc w:val="both"/>
        <w:rPr>
          <w:lang w:val="en-GB"/>
        </w:rPr>
      </w:pPr>
      <w:r>
        <w:rPr>
          <w:lang w:val="en-GB"/>
        </w:rPr>
      </w:r>
    </w:p>
    <w:p>
      <w:pPr>
        <w:pStyle w:val="Normal"/>
        <w:spacing w:before="0" w:after="0"/>
        <w:ind w:hanging="720" w:start="1440" w:end="0"/>
        <w:jc w:val="both"/>
        <w:rPr/>
      </w:pPr>
      <w:r>
        <w:rPr>
          <w:lang w:val="en-GB"/>
        </w:rPr>
        <w:t>viii)</w:t>
        <w:tab/>
        <w:t>Specific requirements for high risk environments, set forth by risk analyses, as formulated and/or approved by EuroBank’s Operational Risk Departments. Privileged users / system administrators / root accounts are audited / checked with automated tools. An example is that users will never be allowed to log on as ‘root’ or ‘administrator’, they will have to use their own account with the same rights. Also high privileged accounts are never given application rights.</w:t>
      </w:r>
    </w:p>
    <w:p>
      <w:pPr>
        <w:pStyle w:val="Normal"/>
        <w:spacing w:before="0" w:after="0"/>
        <w:ind w:hanging="720" w:start="1440" w:end="0"/>
        <w:jc w:val="both"/>
        <w:rPr>
          <w:lang w:val="en-GB"/>
        </w:rPr>
      </w:pPr>
      <w:r>
        <w:rPr>
          <w:lang w:val="en-GB"/>
        </w:rPr>
      </w:r>
    </w:p>
    <w:p>
      <w:pPr>
        <w:pStyle w:val="Normal"/>
        <w:spacing w:before="0" w:after="0"/>
        <w:ind w:hanging="720" w:start="1440" w:end="0"/>
        <w:jc w:val="both"/>
        <w:rPr/>
      </w:pPr>
      <w:r>
        <w:rPr>
          <w:lang w:val="en-GB"/>
        </w:rPr>
        <w:t>ix)</w:t>
        <w:tab/>
        <w:t>Requirements and guidelines formulated by EuroBank’s Corporate Legal Compliance &amp; Security Department.</w:t>
      </w:r>
    </w:p>
    <w:p>
      <w:pPr>
        <w:pStyle w:val="Normal"/>
        <w:spacing w:before="0" w:after="0"/>
        <w:ind w:hanging="720" w:start="1440" w:end="0"/>
        <w:jc w:val="both"/>
        <w:rPr>
          <w:lang w:val="en-GB"/>
        </w:rPr>
      </w:pPr>
      <w:r>
        <w:rPr>
          <w:lang w:val="en-GB"/>
        </w:rPr>
      </w:r>
    </w:p>
    <w:p>
      <w:pPr>
        <w:pStyle w:val="Normal"/>
        <w:spacing w:before="0" w:after="0"/>
        <w:ind w:hanging="720" w:start="1440" w:end="0"/>
        <w:jc w:val="both"/>
        <w:rPr/>
      </w:pPr>
      <w:r>
        <w:rPr>
          <w:lang w:val="en-GB"/>
        </w:rPr>
        <w:t>x)</w:t>
        <w:tab/>
        <w:t xml:space="preserve">Requirements and policies set forth by EuroBank’ Computer Security Incident Response Team. </w:t>
      </w:r>
    </w:p>
    <w:p>
      <w:pPr>
        <w:pStyle w:val="Normal"/>
        <w:spacing w:before="0" w:after="0"/>
        <w:ind w:hanging="720" w:start="1440" w:end="0"/>
        <w:jc w:val="both"/>
        <w:rPr>
          <w:lang w:val="en-GB"/>
        </w:rPr>
      </w:pPr>
      <w:r>
        <w:rPr>
          <w:lang w:val="en-GB"/>
        </w:rPr>
      </w:r>
    </w:p>
    <w:p>
      <w:pPr>
        <w:pStyle w:val="Normal"/>
        <w:spacing w:before="0" w:after="0"/>
        <w:ind w:hanging="720" w:start="720" w:end="0"/>
        <w:jc w:val="both"/>
        <w:rPr/>
      </w:pPr>
      <w:r>
        <w:rPr>
          <w:lang w:val="en-GB"/>
        </w:rPr>
        <w:t>c)</w:t>
        <w:tab/>
        <w:t>The PST Supplier will comply with Applicable Law.</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d)</w:t>
        <w:tab/>
        <w:t xml:space="preserve">Intentionally left blank </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e)</w:t>
        <w:tab/>
        <w:t>In case of subcontracting, subcontractors will comply with EuroBank policies, standards and procedures and are subject to full auditing as demanded by EuroBank.</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f)</w:t>
        <w:tab/>
        <w:t>The PST Supplier will demand and safeguard that subcontractors comply with EuroBank security policies, standards and procedures.</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g)</w:t>
        <w:tab/>
        <w:t>The PST Supplier will safeguard that subcontractors will allow EuroBank auditors, external auditors hired by EuroBank, and external regulatory bodies to verify compliance with applicable security policies, standards and procedures.</w:t>
      </w:r>
    </w:p>
    <w:p>
      <w:pPr>
        <w:pStyle w:val="Heading2Numbered"/>
        <w:numPr>
          <w:ilvl w:val="1"/>
          <w:numId w:val="2"/>
        </w:numPr>
        <w:ind w:hanging="0" w:start="0"/>
        <w:jc w:val="both"/>
        <w:rPr>
          <w:sz w:val="22"/>
          <w:szCs w:val="22"/>
          <w:lang w:val="en-GB"/>
        </w:rPr>
      </w:pPr>
      <w:bookmarkStart w:id="22" w:name="__RefHeading___Toc150051209"/>
      <w:bookmarkEnd w:id="22"/>
      <w:r>
        <w:rPr>
          <w:sz w:val="22"/>
          <w:szCs w:val="22"/>
          <w:lang w:val="en-GB"/>
        </w:rPr>
        <w:t>Personnel Security</w:t>
      </w:r>
    </w:p>
    <w:p>
      <w:pPr>
        <w:pStyle w:val="Normal"/>
        <w:spacing w:before="0" w:after="0"/>
        <w:ind w:hanging="720" w:start="720" w:end="0"/>
        <w:jc w:val="both"/>
        <w:rPr>
          <w:lang w:val="en-GB"/>
        </w:rPr>
      </w:pPr>
      <w:r>
        <w:rPr>
          <w:lang w:val="en-GB"/>
        </w:rPr>
        <w:t>a)</w:t>
        <w:tab/>
        <w:t>The PST Supplier will ensure that all relevant staff will be selected and will act in accordance with EuroBank policies, following 2IM procedures.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b)</w:t>
        <w:tab/>
        <w:t>The PST Supplier will perform security background checks for:</w:t>
      </w:r>
    </w:p>
    <w:p>
      <w:pPr>
        <w:pStyle w:val="Normal"/>
        <w:spacing w:before="0" w:after="0"/>
        <w:ind w:hanging="720" w:start="720" w:end="0"/>
        <w:jc w:val="both"/>
        <w:rPr>
          <w:lang w:val="en-GB"/>
        </w:rPr>
      </w:pPr>
      <w:r>
        <w:rPr>
          <w:lang w:val="en-GB"/>
        </w:rPr>
      </w:r>
    </w:p>
    <w:p>
      <w:pPr>
        <w:pStyle w:val="Normal"/>
        <w:spacing w:before="0" w:after="0"/>
        <w:ind w:hanging="720" w:start="1440" w:end="0"/>
        <w:jc w:val="both"/>
        <w:rPr>
          <w:lang w:val="en-GB"/>
        </w:rPr>
      </w:pPr>
      <w:r>
        <w:rPr>
          <w:lang w:val="en-GB"/>
        </w:rPr>
        <w:t>i)</w:t>
        <w:tab/>
        <w:t>All staff involved in security administration on behalf of EuroBank.</w:t>
      </w:r>
    </w:p>
    <w:p>
      <w:pPr>
        <w:pStyle w:val="Normal"/>
        <w:spacing w:before="0" w:after="0"/>
        <w:ind w:hanging="720" w:start="1440" w:end="0"/>
        <w:jc w:val="both"/>
        <w:rPr>
          <w:lang w:val="en-GB"/>
        </w:rPr>
      </w:pPr>
      <w:r>
        <w:rPr>
          <w:lang w:val="en-GB"/>
        </w:rPr>
      </w:r>
    </w:p>
    <w:p>
      <w:pPr>
        <w:pStyle w:val="Normal"/>
        <w:spacing w:before="0" w:after="0"/>
        <w:ind w:hanging="720" w:start="1440" w:end="0"/>
        <w:jc w:val="both"/>
        <w:rPr/>
      </w:pPr>
      <w:r>
        <w:rPr>
          <w:lang w:val="en-GB"/>
        </w:rPr>
        <w:t>ii)</w:t>
        <w:tab/>
        <w:t>All staff with access to EuroBank data, networks, System Software, and the like.</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iii)</w:t>
        <w:tab/>
        <w:t>All staff with access to financial data of EuroBank and/or its customers must follow applicable EuroBank, 2IM and regulatory requirements. This implies restricted trading in stocks and/or options of EuroBank and its customers.</w:t>
      </w:r>
    </w:p>
    <w:p>
      <w:pPr>
        <w:pStyle w:val="Heading2Numbered"/>
        <w:numPr>
          <w:ilvl w:val="1"/>
          <w:numId w:val="2"/>
        </w:numPr>
        <w:ind w:hanging="0" w:start="0"/>
        <w:jc w:val="both"/>
        <w:rPr>
          <w:sz w:val="22"/>
          <w:szCs w:val="22"/>
          <w:lang w:val="en-GB"/>
        </w:rPr>
      </w:pPr>
      <w:bookmarkStart w:id="23" w:name="__RefHeading___Toc150051210"/>
      <w:bookmarkEnd w:id="23"/>
      <w:r>
        <w:rPr>
          <w:sz w:val="22"/>
          <w:szCs w:val="22"/>
          <w:lang w:val="en-GB"/>
        </w:rPr>
        <w:t>Data protection</w:t>
      </w:r>
    </w:p>
    <w:p>
      <w:pPr>
        <w:pStyle w:val="Normal"/>
        <w:spacing w:before="0" w:after="0"/>
        <w:ind w:hanging="720" w:start="720" w:end="0"/>
        <w:jc w:val="both"/>
        <w:rPr>
          <w:lang w:val="en-GB"/>
        </w:rPr>
      </w:pPr>
      <w:r>
        <w:rPr>
          <w:lang w:val="en-GB"/>
        </w:rPr>
        <w:t>a)</w:t>
        <w:tab/>
        <w:t>The PST Supplier, being a data processor as defined in Applicable Law, will establish and maintain safeguards against the unauthorised access, destruction, loss or modification of EuroBank data.</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b)</w:t>
        <w:tab/>
        <w:t>The PST Supplier will perform adequate backup and recovery procedures.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c)</w:t>
        <w:tab/>
        <w:t>The PST Supplier will establish procedures and physical arrangements designed for managing confidential information.</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d)</w:t>
        <w:tab/>
        <w:t>If required by 2IM or EuroBank data classification, the PST Supplier will prevent the inadvertent spread and misuse of information between different EuroBank entities, e.g.: PST Supplier will maintain “Chinese walls”.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e)</w:t>
        <w:tab/>
        <w:t>The PST Supplier will prevent the inadvertent spread and misuse of all information outside EuroBank.</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f)</w:t>
        <w:tab/>
        <w:t>The PST Supplier will establish and maintain safeguards against the unauthorised access, destruction, loss or modification of EuroBank data during transport between EuroBank infrastructure and Supplier’s infrastructure.</w:t>
      </w:r>
    </w:p>
    <w:p>
      <w:pPr>
        <w:pStyle w:val="Heading2Numbered"/>
        <w:numPr>
          <w:ilvl w:val="1"/>
          <w:numId w:val="2"/>
        </w:numPr>
        <w:ind w:hanging="0" w:start="0"/>
        <w:jc w:val="both"/>
        <w:rPr>
          <w:sz w:val="22"/>
          <w:szCs w:val="22"/>
          <w:lang w:val="en-GB"/>
        </w:rPr>
      </w:pPr>
      <w:bookmarkStart w:id="24" w:name="__RefHeading___Toc150051211"/>
      <w:bookmarkEnd w:id="24"/>
      <w:r>
        <w:rPr>
          <w:sz w:val="22"/>
          <w:szCs w:val="22"/>
          <w:lang w:val="en-GB"/>
        </w:rPr>
        <w:t>Operational Security Management</w:t>
      </w:r>
    </w:p>
    <w:p>
      <w:pPr>
        <w:pStyle w:val="Normal"/>
        <w:spacing w:before="0" w:after="0"/>
        <w:ind w:hanging="720" w:start="720" w:end="0"/>
        <w:jc w:val="both"/>
        <w:rPr/>
      </w:pPr>
      <w:r>
        <w:rPr>
          <w:lang w:val="en-GB"/>
        </w:rPr>
        <w:t>a)</w:t>
        <w:tab/>
        <w:t>The PST Supplier will manage and keep accounts of relevant authorizations granted to environments (operating systems, networks, System Software and EuroBank data) for users as well as ‘virtual users’ (e.g. applications needing access.). This includes the following conditions and activities:</w:t>
      </w:r>
    </w:p>
    <w:p>
      <w:pPr>
        <w:pStyle w:val="Normal"/>
        <w:spacing w:before="0" w:after="0"/>
        <w:ind w:hanging="720" w:start="720" w:end="0"/>
        <w:jc w:val="both"/>
        <w:rPr>
          <w:lang w:val="en-GB"/>
        </w:rPr>
      </w:pPr>
      <w:r>
        <w:rPr>
          <w:lang w:val="en-GB"/>
        </w:rPr>
      </w:r>
    </w:p>
    <w:p>
      <w:pPr>
        <w:pStyle w:val="Normal"/>
        <w:spacing w:before="0" w:after="0"/>
        <w:ind w:hanging="720" w:start="1440" w:end="0"/>
        <w:jc w:val="both"/>
        <w:rPr>
          <w:lang w:val="en-GB"/>
        </w:rPr>
      </w:pPr>
      <w:r>
        <w:rPr>
          <w:lang w:val="en-GB"/>
        </w:rPr>
        <w:t>i)</w:t>
        <w:tab/>
        <w:t>EuroBank will retain the authority to specify all requirements and procedures for data and system access.</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ii)</w:t>
        <w:tab/>
        <w:t>The PST Supplier will only grant access if explicitly requested by staff authorised by EuroBank and following procedures defined by 2IM.</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iii)</w:t>
        <w:tab/>
        <w:t xml:space="preserve">The PST Supplier will only grant and deny access according to procedures and policies set forth by 2IM, or agreed upon with EuroBank. </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b)</w:t>
        <w:tab/>
        <w:t>The PST Supplier will keep accounts of all authorization requests, ie, PST Supplier will maintain an administration of all authorization requests.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c)</w:t>
        <w:tab/>
        <w:t xml:space="preserve">The PST Supplier will maintain a secure online database of all authorization requests in order to provide clients with accurate and swift information on the status of their requests. </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d)</w:t>
        <w:tab/>
        <w:t>The PST Supplier will maintain a database with access rights and with EuroBank staff authorised to request such access.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e)</w:t>
        <w:tab/>
        <w:t>The PST Supplier will communicate with EuroBank staff on the status of their authorization requests following processes defined by 2IM.</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f)</w:t>
        <w:tab/>
        <w:t>The PST Supplier will implement and maintain segregation of duties, when required by EuroBank policies or 2IM processes.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g)</w:t>
        <w:tab/>
        <w:t xml:space="preserve">The PST Supplier will establish and implement procedures for maintaining the segregations of duties ( “four eyes” principle) , obeying EuroBank regulations, as required by 2IM. </w:t>
      </w:r>
    </w:p>
    <w:p>
      <w:pPr>
        <w:pStyle w:val="Normal"/>
        <w:spacing w:before="0" w:after="0"/>
        <w:ind w:hanging="720" w:start="720" w:end="0"/>
        <w:jc w:val="both"/>
        <w:rPr>
          <w:lang w:val="en-GB"/>
        </w:rPr>
      </w:pPr>
      <w:r>
        <w:rPr>
          <w:lang w:val="en-GB"/>
        </w:rPr>
      </w:r>
    </w:p>
    <w:p>
      <w:pPr>
        <w:pStyle w:val="Normal"/>
        <w:spacing w:before="0" w:after="0"/>
        <w:ind w:start="720" w:end="0"/>
        <w:jc w:val="both"/>
        <w:rPr/>
      </w:pPr>
      <w:r>
        <w:rPr>
          <w:lang w:val="en-GB"/>
        </w:rPr>
        <w:t>The segregation of duties within user access services will be achieved by having two separate departments within user access services performing the required activities.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h)</w:t>
        <w:tab/>
        <w:t>The PST Supplier will establish and maintain procedures for managing administrator accounts on different levels (eg: end user, administrator, security administrator), when required by 2IM and following EuroBank defined policies.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i)</w:t>
        <w:tab/>
        <w:t>The PST Supplier will store user and group data in a way that allows for security, flexibility and performance. The PST Supplier will adapt user and group data to the security needs of EuroBank.</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j)</w:t>
        <w:tab/>
        <w:t>The PST Supplier will enforce password policies that comply with EuroBank Group and 2IM defined policies. Enforcing new security procedures and policies is subject to approval by 2IM and through 2IM subject to approval by EuroBank.</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k)</w:t>
        <w:tab/>
        <w:t xml:space="preserve">The PST Supplier will safeguard a maximum throughput time for handling authorization requests, according to agreed Service Level Agreements. </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l)</w:t>
        <w:tab/>
        <w:t>The PST Supplier will coordinate system password changes (as opposed to user passwords) and test these system passwords, both in consultation with 2IM.</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m)</w:t>
        <w:tab/>
        <w:t>The PST Supplier will provide and maintain security access tools for data, System Software and networks.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n)</w:t>
        <w:tab/>
        <w:t>The PST Supplier will implement and maintain a set of 2IM approved processes (manual or automated) for enforcing EuroBank’s security policies.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o)</w:t>
        <w:tab/>
        <w:t>In cooperation with 2IM and EuroBank, The PST Supplier will establish procedures, forms and approval levels for assigning, resetting and disabling e.g. userid’s and passwords.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p)</w:t>
        <w:tab/>
        <w:t>The PST Supplier will administrate assigning, resetting and disabling e.g. userid’s and passwords.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q)</w:t>
        <w:tab/>
        <w:t>For users who leave EuroBank, The PST Supplier will make a snapshot of the users’ data, configurations and access rights, and create a backup of these items, for future auditing and for a restore in case of the users’ return to EuroBank.</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r)</w:t>
        <w:tab/>
        <w:t>The PST Supplier will comply with Service Level Agreements as agreed upon with 2IM and EuroBank.</w:t>
      </w:r>
    </w:p>
    <w:p>
      <w:pPr>
        <w:pStyle w:val="Heading2Numbered"/>
        <w:numPr>
          <w:ilvl w:val="1"/>
          <w:numId w:val="2"/>
        </w:numPr>
        <w:ind w:hanging="0" w:start="0"/>
        <w:jc w:val="both"/>
        <w:rPr>
          <w:sz w:val="22"/>
          <w:szCs w:val="22"/>
          <w:lang w:val="en-GB"/>
        </w:rPr>
      </w:pPr>
      <w:bookmarkStart w:id="25" w:name="__RefHeading___Toc150051212"/>
      <w:bookmarkEnd w:id="25"/>
      <w:r>
        <w:rPr>
          <w:sz w:val="22"/>
          <w:szCs w:val="22"/>
          <w:lang w:val="en-GB"/>
        </w:rPr>
        <w:t>Reviews and Matrices</w:t>
      </w:r>
    </w:p>
    <w:p>
      <w:pPr>
        <w:pStyle w:val="Normal"/>
        <w:spacing w:before="0" w:after="0"/>
        <w:ind w:hanging="720" w:start="720" w:end="0"/>
        <w:jc w:val="both"/>
        <w:rPr>
          <w:lang w:val="en-GB"/>
        </w:rPr>
      </w:pPr>
      <w:r>
        <w:rPr>
          <w:lang w:val="en-GB"/>
        </w:rPr>
        <w:t>a)</w:t>
        <w:tab/>
        <w:t>The PST Supplier will review and maintain documents and matrices with regard to establishing and maintaining a secure computing environment in conjunction with EuroBank security personnel and application owners and in accordance with processes owned by the 2IM. This includes:</w:t>
      </w:r>
    </w:p>
    <w:p>
      <w:pPr>
        <w:pStyle w:val="Normal"/>
        <w:spacing w:before="0" w:after="0"/>
        <w:ind w:hanging="720" w:start="720" w:end="0"/>
        <w:jc w:val="both"/>
        <w:rPr>
          <w:lang w:val="en-GB"/>
        </w:rPr>
      </w:pPr>
      <w:r>
        <w:rPr>
          <w:lang w:val="en-GB"/>
        </w:rPr>
      </w:r>
    </w:p>
    <w:p>
      <w:pPr>
        <w:pStyle w:val="Normal"/>
        <w:spacing w:before="0" w:after="0"/>
        <w:ind w:hanging="720" w:start="1440" w:end="0"/>
        <w:jc w:val="both"/>
        <w:rPr>
          <w:lang w:val="en-GB"/>
        </w:rPr>
      </w:pPr>
      <w:r>
        <w:rPr>
          <w:lang w:val="en-GB"/>
        </w:rPr>
        <w:t>i.</w:t>
        <w:tab/>
        <w:t>Reviewing all formal 2IM, EuroBank information security procedures, as far as environments are involved that are managed by the PST Supplier.</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ii.</w:t>
        <w:tab/>
        <w:t>Developing, maintaining and implementing security procedures, including procedures for physical access. These procedures must comply with procedures and guidelines set forth by 2IM, EuroBank and external regulatory bodies such as DNB.</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iii.</w:t>
        <w:tab/>
        <w:t>Maintaining and periodically reviewing a comprehensive list of application ownerships, ie an overview of applications and the people/departments responsible for them.</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iv.</w:t>
        <w:tab/>
        <w:t>Documenting all systems, platforms, applications, databases and the like.</w:t>
      </w:r>
    </w:p>
    <w:p>
      <w:pPr>
        <w:pStyle w:val="Heading2Numbered"/>
        <w:numPr>
          <w:ilvl w:val="1"/>
          <w:numId w:val="2"/>
        </w:numPr>
        <w:ind w:hanging="0" w:start="0"/>
        <w:jc w:val="both"/>
        <w:rPr>
          <w:sz w:val="22"/>
          <w:szCs w:val="22"/>
          <w:lang w:val="en-GB"/>
        </w:rPr>
      </w:pPr>
      <w:bookmarkStart w:id="26" w:name="__RefHeading___Toc150051213"/>
      <w:bookmarkEnd w:id="26"/>
      <w:r>
        <w:rPr>
          <w:sz w:val="22"/>
          <w:szCs w:val="22"/>
          <w:lang w:val="en-GB"/>
        </w:rPr>
        <w:t>Auditing and Reporting</w:t>
      </w:r>
    </w:p>
    <w:p>
      <w:pPr>
        <w:pStyle w:val="Normal"/>
        <w:spacing w:before="0" w:after="0"/>
        <w:jc w:val="both"/>
        <w:rPr/>
      </w:pPr>
      <w:r>
        <w:rPr>
          <w:lang w:val="en-GB"/>
        </w:rPr>
        <w:t xml:space="preserve">Conducting audits is in baseline. Auditing on business processes or IT Infrastructure out-of-scope are treated as external audits by the PST Supplier. </w:t>
      </w:r>
    </w:p>
    <w:p>
      <w:pPr>
        <w:pStyle w:val="Normal"/>
        <w:spacing w:before="0" w:after="0"/>
        <w:jc w:val="both"/>
        <w:rPr>
          <w:lang w:val="en-GB"/>
        </w:rPr>
      </w:pPr>
      <w:r>
        <w:rPr>
          <w:lang w:val="en-GB"/>
        </w:rPr>
      </w:r>
    </w:p>
    <w:p>
      <w:pPr>
        <w:pStyle w:val="Normal"/>
        <w:spacing w:before="0" w:after="0"/>
        <w:jc w:val="both"/>
        <w:rPr/>
      </w:pPr>
      <w:r>
        <w:rPr>
          <w:u w:val="single"/>
          <w:lang w:val="en-GB"/>
        </w:rPr>
        <w:t>External</w:t>
      </w:r>
      <w:r>
        <w:rPr>
          <w:lang w:val="en-GB"/>
        </w:rPr>
        <w:t xml:space="preserve"> - regulatory requirements will dictate the cycle of auditing and the PST Supplier will assist with such audits, providing the necessary information to external auditors.</w:t>
      </w:r>
    </w:p>
    <w:p>
      <w:pPr>
        <w:pStyle w:val="Normal"/>
        <w:spacing w:before="0" w:after="0"/>
        <w:jc w:val="both"/>
        <w:rPr>
          <w:lang w:val="en-GB"/>
        </w:rPr>
      </w:pPr>
      <w:r>
        <w:rPr>
          <w:lang w:val="en-GB"/>
        </w:rPr>
      </w:r>
    </w:p>
    <w:p>
      <w:pPr>
        <w:pStyle w:val="Normal"/>
        <w:spacing w:before="0" w:after="0"/>
        <w:jc w:val="both"/>
        <w:rPr/>
      </w:pPr>
      <w:r>
        <w:rPr>
          <w:u w:val="single"/>
          <w:lang w:val="en-GB"/>
        </w:rPr>
        <w:t>Internal: the PST Supplier will monitor compliance with agreed internal guidelines to ensure audits are compliant: this will be Coordinated by the 2IM (responsible) and documented in conjunction with EuroBank. Information will be delivered by the PST Suppliers. 2IM will report to EuroBank and will undertake actions to solve any issues.</w:t>
      </w:r>
      <w:r>
        <w:rPr>
          <w:lang w:val="en-GB"/>
        </w:rPr>
      </w:r>
    </w:p>
    <w:p>
      <w:pPr>
        <w:pStyle w:val="Normal"/>
        <w:spacing w:before="0" w:after="0"/>
        <w:jc w:val="both"/>
        <w:rPr>
          <w:lang w:val="en-GB"/>
        </w:rPr>
      </w:pPr>
      <w:r>
        <w:rPr>
          <w:lang w:val="en-GB"/>
        </w:rPr>
      </w:r>
    </w:p>
    <w:p>
      <w:pPr>
        <w:pStyle w:val="Normal"/>
        <w:spacing w:before="0" w:after="0"/>
        <w:jc w:val="both"/>
        <w:rPr/>
      </w:pPr>
      <w:r>
        <w:rPr>
          <w:lang w:val="en-GB"/>
        </w:rPr>
        <w:t>Note that the 2IM relies on the PST Supplier to conduct audits. So 2IM will perform spot audits to check the PST Suppliers. Conducting of audits will be undertaken as agreed elsewhere.</w:t>
      </w:r>
    </w:p>
    <w:p>
      <w:pPr>
        <w:pStyle w:val="Normal"/>
        <w:spacing w:before="0" w:after="0"/>
        <w:jc w:val="both"/>
        <w:rPr>
          <w:lang w:val="en-GB"/>
        </w:rPr>
      </w:pPr>
      <w:r>
        <w:rPr>
          <w:lang w:val="en-GB"/>
        </w:rPr>
      </w:r>
    </w:p>
    <w:p>
      <w:pPr>
        <w:pStyle w:val="Normal"/>
        <w:spacing w:before="0" w:after="0"/>
        <w:jc w:val="both"/>
        <w:rPr>
          <w:lang w:val="en-GB"/>
        </w:rPr>
      </w:pPr>
      <w:r>
        <w:rPr>
          <w:lang w:val="en-GB"/>
        </w:rPr>
        <w:t xml:space="preserve">Auditing on business processes or IT Infrastructure are out-of-scope and treated as external audits by the PST Supplier. </w:t>
      </w:r>
    </w:p>
    <w:p>
      <w:pPr>
        <w:pStyle w:val="Normal"/>
        <w:spacing w:before="0" w:after="0"/>
        <w:jc w:val="both"/>
        <w:rPr>
          <w:lang w:val="en-GB"/>
        </w:rPr>
      </w:pPr>
      <w:r>
        <w:rPr>
          <w:lang w:val="en-GB"/>
        </w:rPr>
      </w:r>
    </w:p>
    <w:p>
      <w:pPr>
        <w:pStyle w:val="Normal"/>
        <w:spacing w:before="0" w:after="0"/>
        <w:ind w:hanging="720" w:start="720" w:end="0"/>
        <w:jc w:val="both"/>
        <w:rPr/>
      </w:pPr>
      <w:r>
        <w:rPr>
          <w:lang w:val="en-GB"/>
        </w:rPr>
        <w:t>a)</w:t>
        <w:tab/>
        <w:t>PST Supplier will perform security audits, provide incident investigation support and take corrective measures in order to minimize and prevent security breaches. Regular session will be executed with EuroBank, at least monthly. This includes the following conditions and activities:</w:t>
      </w:r>
    </w:p>
    <w:p>
      <w:pPr>
        <w:pStyle w:val="Normal"/>
        <w:spacing w:before="0" w:after="0"/>
        <w:ind w:hanging="720" w:start="720" w:end="0"/>
        <w:jc w:val="both"/>
        <w:rPr>
          <w:lang w:val="en-GB"/>
        </w:rPr>
      </w:pPr>
      <w:r>
        <w:rPr>
          <w:lang w:val="en-GB"/>
        </w:rPr>
      </w:r>
    </w:p>
    <w:p>
      <w:pPr>
        <w:pStyle w:val="Normal"/>
        <w:spacing w:before="0" w:after="0"/>
        <w:ind w:hanging="720" w:start="1440" w:end="0"/>
        <w:jc w:val="both"/>
        <w:rPr>
          <w:lang w:val="en-GB"/>
        </w:rPr>
      </w:pPr>
      <w:r>
        <w:rPr>
          <w:lang w:val="en-GB"/>
        </w:rPr>
        <w:t>i)</w:t>
        <w:tab/>
        <w:t>To cooperate with security audits, requested by 2IM, EuroBank and/or regulatory bodies such as DNB – and deliver evidence of compliance to 2IM.</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ii)</w:t>
        <w:tab/>
        <w:t>To conduct periodic reviews in order to validate that individual and group employee access to systems and applications is still appropriate.</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iii)</w:t>
        <w:tab/>
        <w:t>To periodically identify and report accounts that should be removed based on EuroBank’s removal criteria and in agreement with EuroBank.</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iv)</w:t>
        <w:tab/>
        <w:t>To identify and report accounts and groups that use an unusual amount of disk space, if required by the environment involved.</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v)</w:t>
        <w:tab/>
        <w:t>To log the use of user accounts in general and the use of administrator accounts in particular.</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b)</w:t>
        <w:tab/>
        <w:t>With regard to monitoring the PST Supplier will:</w:t>
      </w:r>
    </w:p>
    <w:p>
      <w:pPr>
        <w:pStyle w:val="Normal"/>
        <w:spacing w:before="0" w:after="0"/>
        <w:ind w:hanging="720" w:start="720" w:end="0"/>
        <w:jc w:val="both"/>
        <w:rPr>
          <w:lang w:val="en-GB"/>
        </w:rPr>
      </w:pPr>
      <w:r>
        <w:rPr>
          <w:lang w:val="en-GB"/>
        </w:rPr>
      </w:r>
    </w:p>
    <w:p>
      <w:pPr>
        <w:pStyle w:val="Normal"/>
        <w:spacing w:before="0" w:after="0"/>
        <w:ind w:hanging="720" w:start="1440" w:end="0"/>
        <w:jc w:val="both"/>
        <w:rPr>
          <w:lang w:val="en-GB"/>
        </w:rPr>
      </w:pPr>
      <w:r>
        <w:rPr>
          <w:lang w:val="en-GB"/>
        </w:rPr>
        <w:t>i)</w:t>
        <w:tab/>
        <w:t>Monitor systems and applications for unauthorised access. This involves the following conditions and activities:</w:t>
      </w:r>
    </w:p>
    <w:p>
      <w:pPr>
        <w:pStyle w:val="Normal"/>
        <w:spacing w:before="0" w:after="0"/>
        <w:ind w:hanging="720" w:start="720" w:end="0"/>
        <w:jc w:val="both"/>
        <w:rPr>
          <w:lang w:val="en-GB"/>
        </w:rPr>
      </w:pPr>
      <w:r>
        <w:rPr>
          <w:lang w:val="en-GB"/>
        </w:rPr>
      </w:r>
    </w:p>
    <w:p>
      <w:pPr>
        <w:pStyle w:val="Normal"/>
        <w:spacing w:before="0" w:after="0"/>
        <w:ind w:hanging="720" w:start="2160" w:end="0"/>
        <w:jc w:val="both"/>
        <w:rPr/>
      </w:pPr>
      <w:r>
        <w:rPr>
          <w:lang w:val="en-GB"/>
        </w:rPr>
        <w:t>(1)</w:t>
        <w:tab/>
        <w:t>To install, maintain and deploy System Software for security monitoring, alarming and access tracking.</w:t>
      </w:r>
    </w:p>
    <w:p>
      <w:pPr>
        <w:pStyle w:val="Normal"/>
        <w:spacing w:before="0" w:after="0"/>
        <w:ind w:hanging="720" w:start="2160" w:end="0"/>
        <w:jc w:val="both"/>
        <w:rPr>
          <w:lang w:val="en-GB"/>
        </w:rPr>
      </w:pPr>
      <w:r>
        <w:rPr>
          <w:lang w:val="en-GB"/>
        </w:rPr>
      </w:r>
    </w:p>
    <w:p>
      <w:pPr>
        <w:pStyle w:val="Normal"/>
        <w:spacing w:before="0" w:after="0"/>
        <w:ind w:hanging="720" w:start="2160" w:end="0"/>
        <w:jc w:val="both"/>
        <w:rPr>
          <w:lang w:val="en-GB"/>
        </w:rPr>
      </w:pPr>
      <w:r>
        <w:rPr>
          <w:lang w:val="en-GB"/>
        </w:rPr>
        <w:t>(2)</w:t>
        <w:tab/>
        <w:t>To monitor for unauthorised access.</w:t>
      </w:r>
    </w:p>
    <w:p>
      <w:pPr>
        <w:pStyle w:val="Normal"/>
        <w:spacing w:before="0" w:after="0"/>
        <w:ind w:hanging="720" w:start="2160" w:end="0"/>
        <w:jc w:val="both"/>
        <w:rPr>
          <w:lang w:val="en-GB"/>
        </w:rPr>
      </w:pPr>
      <w:r>
        <w:rPr>
          <w:lang w:val="en-GB"/>
        </w:rPr>
      </w:r>
    </w:p>
    <w:p>
      <w:pPr>
        <w:pStyle w:val="Normal"/>
        <w:spacing w:before="0" w:after="0"/>
        <w:ind w:hanging="720" w:start="2160" w:end="0"/>
        <w:jc w:val="both"/>
        <w:rPr>
          <w:lang w:val="en-GB"/>
        </w:rPr>
      </w:pPr>
      <w:r>
        <w:rPr>
          <w:lang w:val="en-GB"/>
        </w:rPr>
        <w:t>(3)</w:t>
        <w:tab/>
        <w:t>To provide reports, monthly as agreed with EuroBank, on violations and access attempts – or more often as circumstances reasonably demand.</w:t>
      </w:r>
    </w:p>
    <w:p>
      <w:pPr>
        <w:pStyle w:val="Normal"/>
        <w:spacing w:before="0" w:after="0"/>
        <w:ind w:hanging="720" w:start="2160" w:end="0"/>
        <w:jc w:val="both"/>
        <w:rPr>
          <w:lang w:val="en-GB"/>
        </w:rPr>
      </w:pPr>
      <w:r>
        <w:rPr>
          <w:lang w:val="en-GB"/>
        </w:rPr>
      </w:r>
    </w:p>
    <w:p>
      <w:pPr>
        <w:pStyle w:val="Normal"/>
        <w:spacing w:before="0" w:after="0"/>
        <w:ind w:hanging="720" w:start="2160" w:end="0"/>
        <w:jc w:val="both"/>
        <w:rPr>
          <w:lang w:val="en-GB"/>
        </w:rPr>
      </w:pPr>
      <w:r>
        <w:rPr>
          <w:lang w:val="en-GB"/>
        </w:rPr>
        <w:t>(4)</w:t>
        <w:tab/>
        <w:t>To provide reports to 2IM on exceptions to EuroBank’s standards and policies.</w:t>
      </w:r>
    </w:p>
    <w:p>
      <w:pPr>
        <w:pStyle w:val="Normal"/>
        <w:spacing w:before="0" w:after="0"/>
        <w:ind w:hanging="720" w:start="2160" w:end="0"/>
        <w:jc w:val="both"/>
        <w:rPr>
          <w:lang w:val="en-GB"/>
        </w:rPr>
      </w:pPr>
      <w:r>
        <w:rPr>
          <w:lang w:val="en-GB"/>
        </w:rPr>
      </w:r>
    </w:p>
    <w:p>
      <w:pPr>
        <w:pStyle w:val="Normal"/>
        <w:spacing w:before="0" w:after="0"/>
        <w:ind w:hanging="720" w:start="2160" w:end="0"/>
        <w:jc w:val="both"/>
        <w:rPr>
          <w:lang w:val="en-GB"/>
        </w:rPr>
      </w:pPr>
      <w:r>
        <w:rPr>
          <w:lang w:val="en-GB"/>
        </w:rPr>
        <w:t>(5)</w:t>
        <w:tab/>
        <w:t>To collect and retain an access log for audit train purposes, comprising both routine access and unauthorised access attempts, and making such data available upon request by EuroBank.</w:t>
      </w:r>
    </w:p>
    <w:p>
      <w:pPr>
        <w:pStyle w:val="Normal"/>
        <w:spacing w:before="0" w:after="0"/>
        <w:ind w:hanging="720" w:start="2160" w:end="0"/>
        <w:jc w:val="both"/>
        <w:rPr>
          <w:lang w:val="en-GB"/>
        </w:rPr>
      </w:pPr>
      <w:r>
        <w:rPr>
          <w:lang w:val="en-GB"/>
        </w:rPr>
      </w:r>
    </w:p>
    <w:p>
      <w:pPr>
        <w:pStyle w:val="Normal"/>
        <w:spacing w:before="0" w:after="0"/>
        <w:ind w:hanging="720" w:start="2160" w:end="0"/>
        <w:jc w:val="both"/>
        <w:rPr/>
      </w:pPr>
      <w:r>
        <w:rPr>
          <w:lang w:val="en-GB"/>
        </w:rPr>
        <w:t>(6)</w:t>
        <w:tab/>
        <w:t>To monitor and control secure Internet/intranet access to and from EuroBank systems, System Software and data.</w:t>
      </w:r>
    </w:p>
    <w:p>
      <w:pPr>
        <w:pStyle w:val="Heading2Numbered"/>
        <w:numPr>
          <w:ilvl w:val="1"/>
          <w:numId w:val="2"/>
        </w:numPr>
        <w:ind w:hanging="0" w:start="0"/>
        <w:jc w:val="both"/>
        <w:rPr>
          <w:sz w:val="22"/>
          <w:szCs w:val="22"/>
          <w:lang w:val="en-GB"/>
        </w:rPr>
      </w:pPr>
      <w:bookmarkStart w:id="27" w:name="__RefHeading___Toc150051214"/>
      <w:bookmarkEnd w:id="27"/>
      <w:r>
        <w:rPr>
          <w:sz w:val="22"/>
          <w:szCs w:val="22"/>
          <w:lang w:val="en-GB"/>
        </w:rPr>
        <w:t>Security Incident Response</w:t>
      </w:r>
    </w:p>
    <w:p>
      <w:pPr>
        <w:pStyle w:val="Normal"/>
        <w:spacing w:before="0" w:after="0"/>
        <w:ind w:hanging="720" w:start="720" w:end="0"/>
        <w:jc w:val="both"/>
        <w:rPr>
          <w:lang w:val="en-GB"/>
        </w:rPr>
      </w:pPr>
      <w:r>
        <w:rPr>
          <w:lang w:val="en-GB"/>
        </w:rPr>
        <w:t>a)</w:t>
        <w:tab/>
        <w:t>The PST Supplier will cooperate with 2IM and EuroBank in the development and implementation of action plans and escalation procedures, in the event of any security breaches.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b)</w:t>
        <w:tab/>
        <w:t xml:space="preserve">The PST Supplier will establish procedures, subject to approval by 2IM, for notification and escalation in the event of security breaches. </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c)</w:t>
        <w:tab/>
        <w:t>The PST Supplier will provide incident investigation support and initiate corrective actions for minimizing and preventing security breaches.</w:t>
      </w:r>
    </w:p>
    <w:p>
      <w:pPr>
        <w:pStyle w:val="Heading2Numbered"/>
        <w:numPr>
          <w:ilvl w:val="1"/>
          <w:numId w:val="2"/>
        </w:numPr>
        <w:ind w:hanging="0" w:start="0"/>
        <w:jc w:val="both"/>
        <w:rPr>
          <w:sz w:val="22"/>
          <w:szCs w:val="22"/>
          <w:lang w:val="en-GB"/>
        </w:rPr>
      </w:pPr>
      <w:bookmarkStart w:id="28" w:name="__RefHeading___Toc150051215"/>
      <w:bookmarkEnd w:id="28"/>
      <w:r>
        <w:rPr>
          <w:sz w:val="22"/>
          <w:szCs w:val="22"/>
          <w:lang w:val="en-GB"/>
        </w:rPr>
        <w:t>Providing Assistance and Advice</w:t>
      </w:r>
    </w:p>
    <w:p>
      <w:pPr>
        <w:pStyle w:val="Normal"/>
        <w:spacing w:before="0" w:after="0"/>
        <w:ind w:hanging="720" w:start="720" w:end="0"/>
        <w:jc w:val="both"/>
        <w:rPr>
          <w:lang w:val="en-GB"/>
        </w:rPr>
      </w:pPr>
      <w:r>
        <w:rPr>
          <w:lang w:val="en-GB"/>
        </w:rPr>
        <w:t>a)</w:t>
        <w:tab/>
        <w:t>The PST Supplier will provide assistance and advice at the request of EuroBank, including the following conditions and activities:</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b)</w:t>
        <w:tab/>
        <w:t>To assist with testing and implementing new System Software Releases, when requested by EuroBank and following processes approved by 2IM and EuroBank.</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c)</w:t>
        <w:tab/>
        <w:t>To assist and cooperate with security tests, when requested by EuroBank and following processes approved by 2IM and EuroBank.</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d)</w:t>
        <w:tab/>
        <w:t xml:space="preserve">To cooperate with the migration of locally managed personal user accounts to centrally managed user databases. </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e)</w:t>
        <w:tab/>
        <w:t>To participate in both user-oriented and infrastructure-oriented Projects, in order to address operational security issues.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f)</w:t>
        <w:tab/>
        <w:t>To educate 2IM and EuroBank employees with regard to appropriate password usage and other security-related behaviour.</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g)</w:t>
        <w:tab/>
        <w:t>To provide application developers and application managers with security support and advice (eg the establishment and implementation of authorization matrices).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h)</w:t>
        <w:tab/>
        <w:t>Proactively and reactively providing advice and recommendations on security administration, in order to prevent bottle necks, enhance quality and/or reduce costs.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i)</w:t>
        <w:tab/>
        <w:t>Developing, maintaining, updating and implementing security procedures with 2IM and EuroBank’s review and approval, including physical access strategies and standards.</w:t>
      </w:r>
    </w:p>
    <w:p>
      <w:pPr>
        <w:pStyle w:val="Heading1Numbered"/>
        <w:numPr>
          <w:ilvl w:val="0"/>
          <w:numId w:val="2"/>
        </w:numPr>
        <w:ind w:hanging="0" w:start="0"/>
        <w:jc w:val="both"/>
        <w:rPr>
          <w:sz w:val="22"/>
          <w:szCs w:val="22"/>
          <w:lang w:val="en-GB"/>
        </w:rPr>
      </w:pPr>
      <w:bookmarkStart w:id="29" w:name="__RefHeading___Toc150051216"/>
      <w:bookmarkEnd w:id="29"/>
      <w:r>
        <w:rPr>
          <w:sz w:val="22"/>
          <w:szCs w:val="22"/>
          <w:lang w:val="en-GB"/>
        </w:rPr>
        <w:t>USER INFRASTRUCTURE SERVICES</w:t>
      </w:r>
    </w:p>
    <w:p>
      <w:pPr>
        <w:pStyle w:val="Normal"/>
        <w:spacing w:before="0" w:after="0"/>
        <w:jc w:val="both"/>
        <w:rPr>
          <w:b/>
          <w:lang w:val="en-GB"/>
        </w:rPr>
      </w:pPr>
      <w:r>
        <w:rPr>
          <w:b/>
          <w:lang w:val="en-GB"/>
        </w:rPr>
        <w:t>Introduction</w:t>
      </w:r>
    </w:p>
    <w:p>
      <w:pPr>
        <w:pStyle w:val="Normal"/>
        <w:spacing w:before="0" w:after="0"/>
        <w:jc w:val="both"/>
        <w:rPr>
          <w:b/>
          <w:lang w:val="en-GB"/>
        </w:rPr>
      </w:pPr>
      <w:r>
        <w:rPr>
          <w:b/>
          <w:lang w:val="en-GB"/>
        </w:rPr>
      </w:r>
    </w:p>
    <w:p>
      <w:pPr>
        <w:pStyle w:val="Normal"/>
        <w:spacing w:before="0" w:after="0"/>
        <w:jc w:val="both"/>
        <w:rPr>
          <w:lang w:val="en-GB"/>
        </w:rPr>
      </w:pPr>
      <w:r>
        <w:rPr>
          <w:lang w:val="en-GB"/>
        </w:rPr>
        <w:t xml:space="preserve">To meet the EuroBank requirements, the following is a description of the service model, processes, and tools how to assure the quality of the User infrastructure services. </w:t>
      </w:r>
    </w:p>
    <w:p>
      <w:pPr>
        <w:pStyle w:val="Normal"/>
        <w:spacing w:before="0" w:after="0"/>
        <w:jc w:val="both"/>
        <w:rPr>
          <w:lang w:val="en-GB"/>
        </w:rPr>
      </w:pPr>
      <w:r>
        <w:rPr>
          <w:lang w:val="en-GB"/>
        </w:rPr>
      </w:r>
    </w:p>
    <w:p>
      <w:pPr>
        <w:pStyle w:val="Normal"/>
        <w:spacing w:before="0" w:after="0"/>
        <w:jc w:val="both"/>
        <w:rPr>
          <w:b/>
          <w:lang w:val="en-GB"/>
        </w:rPr>
      </w:pPr>
      <w:r>
        <w:rPr>
          <w:b/>
          <w:lang w:val="en-GB"/>
        </w:rPr>
        <w:t>Activities performed</w:t>
      </w:r>
    </w:p>
    <w:p>
      <w:pPr>
        <w:pStyle w:val="Normal"/>
        <w:spacing w:before="0" w:after="0"/>
        <w:jc w:val="both"/>
        <w:rPr>
          <w:b/>
          <w:lang w:val="en-GB"/>
        </w:rPr>
      </w:pPr>
      <w:r>
        <w:rPr>
          <w:b/>
          <w:lang w:val="en-GB"/>
        </w:rPr>
      </w:r>
    </w:p>
    <w:p>
      <w:pPr>
        <w:pStyle w:val="Normal"/>
        <w:spacing w:before="0" w:after="0"/>
        <w:ind w:hanging="720" w:start="720" w:end="0"/>
        <w:jc w:val="both"/>
        <w:rPr/>
      </w:pPr>
      <w:r>
        <w:rPr>
          <w:lang w:val="en-GB"/>
        </w:rPr>
        <w:t>•</w:t>
      </w:r>
      <w:r>
        <w:rPr>
          <w:lang w:val="en-GB"/>
        </w:rPr>
        <w:tab/>
        <w:t>Local support concerning laptops, desktops, printers, peripherals, telephones and physical patching during business hours and 7x24 standby service</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w:t>
      </w:r>
      <w:r>
        <w:rPr>
          <w:lang w:val="en-GB"/>
        </w:rPr>
        <w:tab/>
        <w:t>Coordination of office moves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w:t>
      </w:r>
      <w:r>
        <w:rPr>
          <w:lang w:val="en-GB"/>
        </w:rPr>
        <w:tab/>
        <w:t>Incident and Problem Management of Hardware Incidents</w:t>
      </w:r>
    </w:p>
    <w:p>
      <w:pPr>
        <w:pStyle w:val="Normal"/>
        <w:spacing w:before="0" w:after="0"/>
        <w:jc w:val="both"/>
        <w:rPr>
          <w:lang w:val="en-GB"/>
        </w:rPr>
      </w:pPr>
      <w:r>
        <w:rPr>
          <w:lang w:val="en-GB"/>
        </w:rPr>
      </w:r>
    </w:p>
    <w:p>
      <w:pPr>
        <w:pStyle w:val="Normal"/>
        <w:numPr>
          <w:ilvl w:val="0"/>
          <w:numId w:val="5"/>
        </w:numPr>
        <w:tabs>
          <w:tab w:val="clear" w:pos="720"/>
          <w:tab w:val="left" w:pos="1080" w:leader="none"/>
        </w:tabs>
        <w:spacing w:before="0" w:after="0"/>
        <w:ind w:hanging="360" w:start="1080" w:end="0"/>
        <w:jc w:val="both"/>
        <w:rPr>
          <w:lang w:val="en-GB"/>
        </w:rPr>
      </w:pPr>
      <w:r>
        <w:rPr>
          <w:lang w:val="en-GB"/>
        </w:rPr>
        <w:t>Managing correction of all Hardware Incidents</w:t>
      </w:r>
    </w:p>
    <w:p>
      <w:pPr>
        <w:pStyle w:val="Normal"/>
        <w:spacing w:before="0" w:after="0"/>
        <w:ind w:hanging="720" w:start="360" w:end="0"/>
        <w:jc w:val="both"/>
        <w:rPr>
          <w:lang w:val="en-GB"/>
        </w:rPr>
      </w:pPr>
      <w:r>
        <w:rPr>
          <w:lang w:val="en-GB"/>
        </w:rPr>
      </w:r>
    </w:p>
    <w:p>
      <w:pPr>
        <w:pStyle w:val="Normal"/>
        <w:numPr>
          <w:ilvl w:val="0"/>
          <w:numId w:val="5"/>
        </w:numPr>
        <w:tabs>
          <w:tab w:val="clear" w:pos="720"/>
          <w:tab w:val="left" w:pos="1080" w:leader="none"/>
        </w:tabs>
        <w:spacing w:before="0" w:after="0"/>
        <w:ind w:hanging="360" w:start="1080" w:end="0"/>
        <w:jc w:val="both"/>
        <w:rPr>
          <w:lang w:val="en-GB"/>
        </w:rPr>
      </w:pPr>
      <w:r>
        <w:rPr>
          <w:lang w:val="en-GB"/>
        </w:rPr>
        <w:t xml:space="preserve">Break-fix laptops, desktops, printers, peripherals, telephones </w:t>
      </w:r>
    </w:p>
    <w:p>
      <w:pPr>
        <w:pStyle w:val="Normal"/>
        <w:spacing w:before="0" w:after="0"/>
        <w:ind w:hanging="720" w:start="360" w:end="0"/>
        <w:jc w:val="both"/>
        <w:rPr>
          <w:lang w:val="en-GB"/>
        </w:rPr>
      </w:pPr>
      <w:r>
        <w:rPr>
          <w:lang w:val="en-GB"/>
        </w:rPr>
      </w:r>
    </w:p>
    <w:p>
      <w:pPr>
        <w:pStyle w:val="Normal"/>
        <w:numPr>
          <w:ilvl w:val="0"/>
          <w:numId w:val="5"/>
        </w:numPr>
        <w:tabs>
          <w:tab w:val="clear" w:pos="720"/>
          <w:tab w:val="left" w:pos="1080" w:leader="none"/>
        </w:tabs>
        <w:spacing w:before="0" w:after="0"/>
        <w:ind w:hanging="360" w:start="1080" w:end="0"/>
        <w:jc w:val="both"/>
        <w:rPr>
          <w:lang w:val="en-GB"/>
        </w:rPr>
      </w:pPr>
      <w:r>
        <w:rPr>
          <w:lang w:val="en-GB"/>
        </w:rPr>
        <w:t>Local end user computing Application Services support: separate System Software installations on location where remote support is not possible or did not succeed</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w:t>
      </w:r>
      <w:r>
        <w:rPr>
          <w:lang w:val="en-GB"/>
        </w:rPr>
        <w:tab/>
        <w:t>Support on location</w:t>
      </w:r>
    </w:p>
    <w:p>
      <w:pPr>
        <w:pStyle w:val="Normal"/>
        <w:spacing w:before="0" w:after="0"/>
        <w:ind w:hanging="720" w:start="720" w:end="0"/>
        <w:jc w:val="both"/>
        <w:rPr>
          <w:lang w:val="en-GB"/>
        </w:rPr>
      </w:pPr>
      <w:r>
        <w:rPr>
          <w:lang w:val="en-GB"/>
        </w:rPr>
      </w:r>
    </w:p>
    <w:p>
      <w:pPr>
        <w:pStyle w:val="Normal"/>
        <w:numPr>
          <w:ilvl w:val="0"/>
          <w:numId w:val="5"/>
        </w:numPr>
        <w:tabs>
          <w:tab w:val="clear" w:pos="720"/>
          <w:tab w:val="left" w:pos="1080" w:leader="none"/>
        </w:tabs>
        <w:spacing w:before="0" w:after="0"/>
        <w:ind w:hanging="360" w:start="1080" w:end="0"/>
        <w:jc w:val="both"/>
        <w:rPr>
          <w:lang w:val="en-GB"/>
        </w:rPr>
      </w:pPr>
      <w:r>
        <w:rPr>
          <w:lang w:val="en-GB"/>
        </w:rPr>
        <w:t>Assisting EuroBank data centre (DCO) for local operations (incidents, tapes, changing and restore, access to server location)</w:t>
      </w:r>
    </w:p>
    <w:p>
      <w:pPr>
        <w:pStyle w:val="Normal"/>
        <w:spacing w:before="0" w:after="0"/>
        <w:ind w:hanging="720" w:start="360" w:end="0"/>
        <w:jc w:val="both"/>
        <w:rPr>
          <w:lang w:val="en-GB"/>
        </w:rPr>
      </w:pPr>
      <w:r>
        <w:rPr>
          <w:lang w:val="en-GB"/>
        </w:rPr>
      </w:r>
    </w:p>
    <w:p>
      <w:pPr>
        <w:pStyle w:val="Normal"/>
        <w:numPr>
          <w:ilvl w:val="0"/>
          <w:numId w:val="5"/>
        </w:numPr>
        <w:tabs>
          <w:tab w:val="clear" w:pos="720"/>
          <w:tab w:val="left" w:pos="1080" w:leader="none"/>
        </w:tabs>
        <w:spacing w:before="0" w:after="0"/>
        <w:ind w:hanging="360" w:start="1080" w:end="0"/>
        <w:jc w:val="both"/>
        <w:rPr>
          <w:lang w:val="en-GB"/>
        </w:rPr>
      </w:pPr>
      <w:r>
        <w:rPr>
          <w:lang w:val="en-GB"/>
        </w:rPr>
        <w:t>(Re-)installation and testing Common Software Layer (CSL) on location</w:t>
      </w:r>
    </w:p>
    <w:p>
      <w:pPr>
        <w:pStyle w:val="Normal"/>
        <w:spacing w:before="0" w:after="0"/>
        <w:ind w:hanging="720" w:start="360" w:end="0"/>
        <w:jc w:val="both"/>
        <w:rPr>
          <w:lang w:val="en-GB"/>
        </w:rPr>
      </w:pPr>
      <w:r>
        <w:rPr>
          <w:lang w:val="en-GB"/>
        </w:rPr>
      </w:r>
    </w:p>
    <w:p>
      <w:pPr>
        <w:pStyle w:val="Normal"/>
        <w:numPr>
          <w:ilvl w:val="0"/>
          <w:numId w:val="5"/>
        </w:numPr>
        <w:tabs>
          <w:tab w:val="clear" w:pos="720"/>
          <w:tab w:val="left" w:pos="1080" w:leader="none"/>
        </w:tabs>
        <w:spacing w:before="0" w:after="0"/>
        <w:ind w:hanging="360" w:start="1080" w:end="0"/>
        <w:jc w:val="both"/>
        <w:rPr>
          <w:lang w:val="en-GB"/>
        </w:rPr>
      </w:pPr>
      <w:r>
        <w:rPr>
          <w:lang w:val="en-GB"/>
        </w:rPr>
        <w:t>Managing and installation of print queues (back-up and recovery), managing printers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w:t>
      </w:r>
      <w:r>
        <w:rPr>
          <w:lang w:val="en-GB"/>
        </w:rPr>
        <w:tab/>
        <w:t>Consultative support</w:t>
      </w:r>
    </w:p>
    <w:p>
      <w:pPr>
        <w:pStyle w:val="Normal"/>
        <w:spacing w:before="0" w:after="0"/>
        <w:ind w:hanging="720" w:start="720" w:end="0"/>
        <w:jc w:val="both"/>
        <w:rPr>
          <w:lang w:val="en-GB"/>
        </w:rPr>
      </w:pPr>
      <w:r>
        <w:rPr>
          <w:lang w:val="en-GB"/>
        </w:rPr>
      </w:r>
    </w:p>
    <w:p>
      <w:pPr>
        <w:pStyle w:val="Normal"/>
        <w:numPr>
          <w:ilvl w:val="0"/>
          <w:numId w:val="5"/>
        </w:numPr>
        <w:tabs>
          <w:tab w:val="clear" w:pos="720"/>
          <w:tab w:val="left" w:pos="1080" w:leader="none"/>
        </w:tabs>
        <w:spacing w:before="0" w:after="0"/>
        <w:ind w:hanging="360" w:start="1080" w:end="0"/>
        <w:jc w:val="both"/>
        <w:rPr>
          <w:lang w:val="en-GB"/>
        </w:rPr>
      </w:pPr>
      <w:r>
        <w:rPr>
          <w:lang w:val="en-GB"/>
        </w:rPr>
        <w:t>Workstation configuration, access of data on old platforms</w:t>
      </w:r>
    </w:p>
    <w:p>
      <w:pPr>
        <w:pStyle w:val="Normal"/>
        <w:spacing w:before="0" w:after="0"/>
        <w:ind w:hanging="720" w:start="360" w:end="0"/>
        <w:jc w:val="both"/>
        <w:rPr>
          <w:lang w:val="en-GB"/>
        </w:rPr>
      </w:pPr>
      <w:r>
        <w:rPr>
          <w:lang w:val="en-GB"/>
        </w:rPr>
      </w:r>
    </w:p>
    <w:p>
      <w:pPr>
        <w:pStyle w:val="Normal"/>
        <w:numPr>
          <w:ilvl w:val="0"/>
          <w:numId w:val="5"/>
        </w:numPr>
        <w:tabs>
          <w:tab w:val="clear" w:pos="720"/>
          <w:tab w:val="left" w:pos="1080" w:leader="none"/>
        </w:tabs>
        <w:spacing w:before="0" w:after="0"/>
        <w:ind w:hanging="360" w:start="1080" w:end="0"/>
        <w:jc w:val="both"/>
        <w:rPr>
          <w:lang w:val="en-GB"/>
        </w:rPr>
      </w:pPr>
      <w:r>
        <w:rPr>
          <w:lang w:val="en-GB"/>
        </w:rPr>
        <w:t>Named User support including home workplaces</w:t>
      </w:r>
    </w:p>
    <w:p>
      <w:pPr>
        <w:pStyle w:val="Normal"/>
        <w:spacing w:before="0" w:after="0"/>
        <w:ind w:hanging="720" w:start="360" w:end="0"/>
        <w:jc w:val="both"/>
        <w:rPr>
          <w:lang w:val="en-GB"/>
        </w:rPr>
      </w:pPr>
      <w:r>
        <w:rPr>
          <w:lang w:val="en-GB"/>
        </w:rPr>
      </w:r>
    </w:p>
    <w:p>
      <w:pPr>
        <w:pStyle w:val="Normal"/>
        <w:numPr>
          <w:ilvl w:val="0"/>
          <w:numId w:val="5"/>
        </w:numPr>
        <w:tabs>
          <w:tab w:val="clear" w:pos="720"/>
          <w:tab w:val="left" w:pos="1080" w:leader="none"/>
        </w:tabs>
        <w:spacing w:before="0" w:after="0"/>
        <w:ind w:hanging="360" w:start="1080" w:end="0"/>
        <w:jc w:val="both"/>
        <w:rPr>
          <w:lang w:val="en-GB"/>
        </w:rPr>
      </w:pPr>
      <w:r>
        <w:rPr>
          <w:lang w:val="en-GB"/>
        </w:rPr>
        <w:t>Burning user data on CD-Rom’s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w:t>
      </w:r>
      <w:r>
        <w:rPr>
          <w:lang w:val="en-GB"/>
        </w:rPr>
        <w:tab/>
        <w:t>Coordination of (office) move requests</w:t>
      </w:r>
    </w:p>
    <w:p>
      <w:pPr>
        <w:pStyle w:val="Normal"/>
        <w:spacing w:before="0" w:after="0"/>
        <w:ind w:hanging="720" w:start="720" w:end="0"/>
        <w:jc w:val="both"/>
        <w:rPr>
          <w:lang w:val="en-GB"/>
        </w:rPr>
      </w:pPr>
      <w:r>
        <w:rPr>
          <w:lang w:val="en-GB"/>
        </w:rPr>
      </w:r>
    </w:p>
    <w:p>
      <w:pPr>
        <w:pStyle w:val="Normal"/>
        <w:numPr>
          <w:ilvl w:val="0"/>
          <w:numId w:val="5"/>
        </w:numPr>
        <w:tabs>
          <w:tab w:val="clear" w:pos="720"/>
          <w:tab w:val="left" w:pos="1080" w:leader="none"/>
        </w:tabs>
        <w:spacing w:before="0" w:after="0"/>
        <w:ind w:hanging="360" w:start="1080" w:end="0"/>
        <w:jc w:val="both"/>
        <w:rPr>
          <w:lang w:val="en-GB"/>
        </w:rPr>
      </w:pPr>
      <w:r>
        <w:rPr>
          <w:lang w:val="en-GB"/>
        </w:rPr>
        <w:t>Administration</w:t>
      </w:r>
    </w:p>
    <w:p>
      <w:pPr>
        <w:pStyle w:val="Normal"/>
        <w:spacing w:before="0" w:after="0"/>
        <w:ind w:hanging="720" w:start="360" w:end="0"/>
        <w:jc w:val="both"/>
        <w:rPr>
          <w:lang w:val="en-GB"/>
        </w:rPr>
      </w:pPr>
      <w:r>
        <w:rPr>
          <w:lang w:val="en-GB"/>
        </w:rPr>
      </w:r>
    </w:p>
    <w:p>
      <w:pPr>
        <w:pStyle w:val="Normal"/>
        <w:numPr>
          <w:ilvl w:val="0"/>
          <w:numId w:val="5"/>
        </w:numPr>
        <w:tabs>
          <w:tab w:val="clear" w:pos="720"/>
          <w:tab w:val="left" w:pos="1080" w:leader="none"/>
        </w:tabs>
        <w:spacing w:before="0" w:after="0"/>
        <w:ind w:hanging="360" w:start="1080" w:end="0"/>
        <w:jc w:val="both"/>
        <w:rPr>
          <w:lang w:val="en-GB"/>
        </w:rPr>
      </w:pPr>
      <w:r>
        <w:rPr>
          <w:lang w:val="en-GB"/>
        </w:rPr>
        <w:t>Impact analyses and agreements with Ops&amp;IT</w:t>
      </w:r>
    </w:p>
    <w:p>
      <w:pPr>
        <w:pStyle w:val="Normal"/>
        <w:spacing w:before="0" w:after="0"/>
        <w:ind w:hanging="720" w:start="360" w:end="0"/>
        <w:jc w:val="both"/>
        <w:rPr>
          <w:lang w:val="en-GB"/>
        </w:rPr>
      </w:pPr>
      <w:r>
        <w:rPr>
          <w:lang w:val="en-GB"/>
        </w:rPr>
      </w:r>
    </w:p>
    <w:p>
      <w:pPr>
        <w:pStyle w:val="Normal"/>
        <w:numPr>
          <w:ilvl w:val="0"/>
          <w:numId w:val="5"/>
        </w:numPr>
        <w:tabs>
          <w:tab w:val="clear" w:pos="720"/>
          <w:tab w:val="left" w:pos="1080" w:leader="none"/>
        </w:tabs>
        <w:spacing w:before="0" w:after="0"/>
        <w:ind w:hanging="360" w:start="1080" w:end="0"/>
        <w:jc w:val="both"/>
        <w:rPr>
          <w:lang w:val="en-GB"/>
        </w:rPr>
      </w:pPr>
      <w:r>
        <w:rPr>
          <w:lang w:val="en-GB"/>
        </w:rPr>
        <w:t>Reporting</w:t>
      </w:r>
    </w:p>
    <w:p>
      <w:pPr>
        <w:pStyle w:val="Normal"/>
        <w:spacing w:before="0" w:after="0"/>
        <w:jc w:val="both"/>
        <w:rPr>
          <w:lang w:val="en-GB"/>
        </w:rPr>
      </w:pPr>
      <w:r>
        <w:rPr>
          <w:lang w:val="en-GB"/>
        </w:rPr>
      </w:r>
    </w:p>
    <w:p>
      <w:pPr>
        <w:pStyle w:val="Normal"/>
        <w:spacing w:before="0" w:after="0"/>
        <w:jc w:val="both"/>
        <w:rPr>
          <w:b/>
          <w:lang w:val="en-GB"/>
        </w:rPr>
      </w:pPr>
      <w:r>
        <w:rPr>
          <w:b/>
          <w:lang w:val="en-GB"/>
        </w:rPr>
        <w:t xml:space="preserve">Remote versus desk-site support </w:t>
      </w:r>
    </w:p>
    <w:p>
      <w:pPr>
        <w:pStyle w:val="Normal"/>
        <w:spacing w:before="0" w:after="0"/>
        <w:jc w:val="both"/>
        <w:rPr>
          <w:b/>
          <w:lang w:val="en-GB"/>
        </w:rPr>
      </w:pPr>
      <w:r>
        <w:rPr>
          <w:b/>
          <w:lang w:val="en-GB"/>
        </w:rPr>
      </w:r>
    </w:p>
    <w:p>
      <w:pPr>
        <w:pStyle w:val="Normal"/>
        <w:spacing w:before="0" w:after="0"/>
        <w:jc w:val="both"/>
        <w:rPr>
          <w:lang w:val="en-GB"/>
        </w:rPr>
      </w:pPr>
      <w:r>
        <w:rPr>
          <w:lang w:val="en-GB"/>
        </w:rPr>
        <w:t xml:space="preserve">Before relevant PST Supplier staff goes to the Authorised User’s location all is done to solve the call remotely. All desk-side technicians who deliver services are instructed on the EuroBank environment, understand the service level commitments and are informed on where to obtain spare parts. </w:t>
      </w:r>
    </w:p>
    <w:p>
      <w:pPr>
        <w:pStyle w:val="Normal"/>
        <w:spacing w:before="0" w:after="0"/>
        <w:jc w:val="both"/>
        <w:rPr>
          <w:lang w:val="en-GB"/>
        </w:rPr>
      </w:pPr>
      <w:r>
        <w:rPr>
          <w:lang w:val="en-GB"/>
        </w:rPr>
      </w:r>
    </w:p>
    <w:p>
      <w:pPr>
        <w:pStyle w:val="Normal"/>
        <w:spacing w:before="0" w:after="0"/>
        <w:jc w:val="both"/>
        <w:rPr>
          <w:lang w:val="en-GB"/>
        </w:rPr>
      </w:pPr>
      <w:r>
        <w:rPr>
          <w:lang w:val="en-GB"/>
        </w:rPr>
        <w:t xml:space="preserve">Each Incident and Service Request starts when a ticket is opened in the PST Supplier’s Service Desk management system either via the Service desk or via the Self Service Portal. Should dispatching be required, the Service Desk management system is employed to status the ticket, escalate the incident or change request (when required), and close out the ticket with the initiator of the request. </w:t>
      </w:r>
    </w:p>
    <w:p>
      <w:pPr>
        <w:pStyle w:val="Normal"/>
        <w:spacing w:before="0" w:after="0"/>
        <w:jc w:val="both"/>
        <w:rPr>
          <w:lang w:val="en-GB"/>
        </w:rPr>
      </w:pPr>
      <w:r>
        <w:rPr>
          <w:lang w:val="en-GB"/>
        </w:rPr>
      </w:r>
    </w:p>
    <w:p>
      <w:pPr>
        <w:pStyle w:val="Normal"/>
        <w:spacing w:before="0" w:after="0"/>
        <w:jc w:val="both"/>
        <w:rPr>
          <w:lang w:val="en-GB"/>
        </w:rPr>
      </w:pPr>
      <w:r>
        <w:rPr>
          <w:lang w:val="en-GB"/>
        </w:rPr>
        <w:t>Our Service Desk management system monitors the service level performance, the actual time elapsed, the informed parties, the solution, and the closure of each activity. Further, the Service Desk management system archives ticket data for trend analysis.</w:t>
      </w:r>
    </w:p>
    <w:p>
      <w:pPr>
        <w:pStyle w:val="Normal"/>
        <w:spacing w:before="0" w:after="0"/>
        <w:jc w:val="both"/>
        <w:rPr>
          <w:lang w:val="en-GB"/>
        </w:rPr>
      </w:pPr>
      <w:r>
        <w:rPr>
          <w:lang w:val="en-GB"/>
        </w:rPr>
      </w:r>
    </w:p>
    <w:p>
      <w:pPr>
        <w:pStyle w:val="Normal"/>
        <w:spacing w:before="0" w:after="0"/>
        <w:jc w:val="both"/>
        <w:rPr>
          <w:lang w:val="en-GB"/>
        </w:rPr>
      </w:pPr>
      <w:r>
        <w:rPr>
          <w:lang w:val="en-GB"/>
        </w:rPr>
        <w:t xml:space="preserve">The Service Desk analysts focus on resolving the call by telephone, talking the Authorised User through the resolution. If this proves to be unsuccessful the Analyst can directly employ the remote control tools to take over the desktop. Using remote control the Analyst attempts to resolve the problem, and if appropriate, educate the Authorised User to prevent any future recurrences of the same issue. </w:t>
      </w:r>
    </w:p>
    <w:p>
      <w:pPr>
        <w:pStyle w:val="Normal"/>
        <w:spacing w:before="0" w:after="0"/>
        <w:jc w:val="both"/>
        <w:rPr>
          <w:lang w:val="en-GB"/>
        </w:rPr>
      </w:pPr>
      <w:r>
        <w:rPr>
          <w:lang w:val="en-GB"/>
        </w:rPr>
      </w:r>
    </w:p>
    <w:p>
      <w:pPr>
        <w:pStyle w:val="Normal"/>
        <w:spacing w:before="0" w:after="0"/>
        <w:jc w:val="both"/>
        <w:rPr>
          <w:lang w:val="en-GB"/>
        </w:rPr>
      </w:pPr>
      <w:r>
        <w:rPr>
          <w:lang w:val="en-GB"/>
        </w:rPr>
        <w:t>If the call cannot be resolved at our Service Desk analyst assigns the ticket within the support infrastructure to:</w:t>
      </w:r>
    </w:p>
    <w:p>
      <w:pPr>
        <w:pStyle w:val="Normal"/>
        <w:spacing w:before="0" w:after="0"/>
        <w:jc w:val="both"/>
        <w:rPr>
          <w:lang w:val="en-GB"/>
        </w:rPr>
      </w:pPr>
      <w:r>
        <w:rPr>
          <w:lang w:val="en-GB"/>
        </w:rPr>
      </w:r>
    </w:p>
    <w:p>
      <w:pPr>
        <w:pStyle w:val="Normal"/>
        <w:spacing w:before="0" w:after="0"/>
        <w:ind w:hanging="720" w:start="720" w:end="0"/>
        <w:jc w:val="both"/>
        <w:rPr/>
      </w:pPr>
      <w:r>
        <w:rPr>
          <w:lang w:val="en-GB"/>
        </w:rPr>
        <w:t>•</w:t>
      </w:r>
      <w:r>
        <w:rPr>
          <w:lang w:val="en-GB"/>
        </w:rPr>
        <w:tab/>
      </w:r>
      <w:r>
        <w:rPr>
          <w:b/>
          <w:lang w:val="en-GB"/>
        </w:rPr>
        <w:t>The PST Supplier’s Solver Groups</w:t>
      </w:r>
      <w:r>
        <w:rPr>
          <w:lang w:val="en-GB"/>
        </w:rPr>
        <w:t xml:space="preserve"> – PST Supplier’s Solver Groups are inclusive of all other support being provided by PST Supplier outside of the Service Desk. Services may encompass, but not be limited to desktop management, hardware break/fix, server management, LAN management, and voice management. Services may be delivered remotely from PST Supplier’s service centres, provided by dedicated technicians, or by dispatched desk side technicians. </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w:t>
        <w:tab/>
        <w:t xml:space="preserve">EuroBank Solver Groups – EuroBank retained functions are routed to client solver groups. In order to send the tickets to the EuroBank Solver Groups, the PST Supplier will create an interface between EuroBank Incident Management System (IRMA) and our Service Desk Management system. </w:t>
      </w:r>
      <w:r>
        <w:rPr>
          <w:lang w:val="en-GB"/>
        </w:rPr>
      </w:r>
      <w:r>
        <w:rPr>
          <w:b/>
          <w:lang w:val="en-GB"/>
        </w:rPr>
      </w:r>
      <w:r>
        <w:rPr>
          <w:lang w:val="en-GB"/>
        </w:rPr>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w:t>
        <w:tab/>
        <w:t>EuroBank Third Party Solver Groups - For Incidents or Service Requests supported by EuroBank Third Party Vendors, the ticket is placed in the appropriate Solver Group queue and contact is made via the agreed upon mechanisms with the Third Party Vendor.</w:t>
      </w:r>
      <w:r>
        <w:rPr>
          <w:lang w:val="en-GB"/>
        </w:rPr>
      </w:r>
      <w:r>
        <w:rPr>
          <w:b/>
          <w:lang w:val="en-GB"/>
        </w:rPr>
      </w:r>
      <w:r>
        <w:rPr>
          <w:lang w:val="en-GB"/>
        </w:rPr>
      </w:r>
    </w:p>
    <w:p>
      <w:pPr>
        <w:pStyle w:val="Normal"/>
        <w:spacing w:before="0" w:after="0"/>
        <w:jc w:val="both"/>
        <w:rPr>
          <w:lang w:val="en-GB"/>
        </w:rPr>
      </w:pPr>
      <w:r>
        <w:rPr>
          <w:lang w:val="en-GB"/>
        </w:rPr>
      </w:r>
    </w:p>
    <w:p>
      <w:pPr>
        <w:pStyle w:val="Normal"/>
        <w:spacing w:before="0" w:after="0"/>
        <w:jc w:val="both"/>
        <w:rPr>
          <w:lang w:val="en-GB"/>
        </w:rPr>
      </w:pPr>
      <w:r>
        <w:rPr>
          <w:lang w:val="en-GB"/>
        </w:rPr>
        <w:t>All activities posted to the ticket history provide a detailed audit trail of all work performed, personnel involved (whether EuroBank, PST Supplier or other service provider employees), and the steps taken to provide resolution. The call tracking function clearly identifies each level of support. This combination of individual case management with automated expert tools provides the timeliest resolution of Authorised User requests and problems and facilitates first-point-of-contact resolution.</w:t>
      </w:r>
    </w:p>
    <w:p>
      <w:pPr>
        <w:pStyle w:val="Normal"/>
        <w:spacing w:before="0" w:after="0"/>
        <w:jc w:val="both"/>
        <w:rPr>
          <w:lang w:val="en-GB"/>
        </w:rPr>
      </w:pPr>
      <w:r>
        <w:rPr>
          <w:lang w:val="en-GB"/>
        </w:rPr>
      </w:r>
    </w:p>
    <w:p>
      <w:pPr>
        <w:pStyle w:val="Normal"/>
        <w:spacing w:before="0" w:after="0"/>
        <w:jc w:val="both"/>
        <w:rPr>
          <w:lang w:val="en-GB"/>
        </w:rPr>
      </w:pPr>
      <w:r>
        <w:rPr>
          <w:lang w:val="en-GB"/>
        </w:rPr>
        <w:t>In managing an Incident or Service Request, our Service Desk analysts follow the documented service process.</w:t>
      </w:r>
    </w:p>
    <w:p>
      <w:pPr>
        <w:pStyle w:val="Normal"/>
        <w:spacing w:before="0" w:after="0"/>
        <w:jc w:val="both"/>
        <w:rPr>
          <w:lang w:val="en-GB"/>
        </w:rPr>
      </w:pPr>
      <w:r>
        <w:rPr>
          <w:lang w:val="en-GB"/>
        </w:rPr>
      </w:r>
    </w:p>
    <w:p>
      <w:pPr>
        <w:pStyle w:val="Normal"/>
        <w:spacing w:before="0" w:after="0"/>
        <w:jc w:val="both"/>
        <w:rPr>
          <w:b/>
          <w:lang w:val="en-GB"/>
        </w:rPr>
      </w:pPr>
      <w:r>
        <w:rPr>
          <w:b/>
          <w:lang w:val="en-GB"/>
        </w:rPr>
        <w:t>Service Delivery model for User Infrastructure Services</w:t>
      </w:r>
    </w:p>
    <w:p>
      <w:pPr>
        <w:pStyle w:val="Normal"/>
        <w:spacing w:before="0" w:after="0"/>
        <w:jc w:val="both"/>
        <w:rPr>
          <w:b/>
          <w:lang w:val="en-GB"/>
        </w:rPr>
      </w:pPr>
      <w:r>
        <w:rPr>
          <w:b/>
          <w:lang w:val="en-GB"/>
        </w:rPr>
      </w:r>
    </w:p>
    <w:p>
      <w:pPr>
        <w:pStyle w:val="Normal"/>
        <w:spacing w:before="0" w:after="0"/>
        <w:jc w:val="both"/>
        <w:rPr>
          <w:lang w:val="en-GB"/>
        </w:rPr>
      </w:pPr>
      <w:r>
        <w:rPr>
          <w:lang w:val="en-GB"/>
        </w:rPr>
        <w:t>Below is a description of how the support and controlling processes apply to service requirements of EuroBank.</w:t>
      </w:r>
    </w:p>
    <w:p>
      <w:pPr>
        <w:pStyle w:val="Normal"/>
        <w:spacing w:before="0" w:after="0"/>
        <w:jc w:val="both"/>
        <w:rPr>
          <w:lang w:val="en-GB"/>
        </w:rPr>
      </w:pPr>
      <w:r>
        <w:rPr>
          <w:lang w:val="en-GB"/>
        </w:rPr>
      </w:r>
    </w:p>
    <w:p>
      <w:pPr>
        <w:pStyle w:val="Normal"/>
        <w:spacing w:before="0" w:after="0"/>
        <w:jc w:val="both"/>
        <w:rPr>
          <w:lang w:val="en-GB"/>
        </w:rPr>
      </w:pPr>
      <w:r>
        <w:rPr>
          <w:lang w:val="en-GB"/>
        </w:rPr>
        <w:t>The desk-site support process begins at the Service Desk.  From there, the PST Supplier will serve EuroBank Authorised Users with remote support and remote solutions with innovative tools and our EuroBank knowledge and leading best practices in the IT market. An Authorised User calling the Service Desk automatically is connected to a local language speaking Service Desk analyst (the following languages are standard: Dutch, English, French, and German). Central to the delivery of the Services is PST Suppliers’s ability to manage incoming Incidents and Service Requests and track them from receipt through resolution.</w:t>
      </w:r>
    </w:p>
    <w:p>
      <w:pPr>
        <w:pStyle w:val="Normal"/>
        <w:spacing w:before="0" w:after="0"/>
        <w:jc w:val="both"/>
        <w:rPr>
          <w:lang w:val="en-GB"/>
        </w:rPr>
      </w:pPr>
      <w:r>
        <w:rPr>
          <w:lang w:val="en-GB"/>
        </w:rPr>
      </w:r>
    </w:p>
    <w:p>
      <w:pPr>
        <w:pStyle w:val="Normal"/>
        <w:spacing w:before="0" w:after="0"/>
        <w:jc w:val="both"/>
        <w:rPr>
          <w:lang w:val="en-GB"/>
        </w:rPr>
      </w:pPr>
      <w:r>
        <w:rPr>
          <w:lang w:val="en-GB"/>
        </w:rPr>
        <w:t xml:space="preserve">For tracking and/or verification purposes of support calls, the Service Desk analyst takes Authorised Users through a series of questions that help to cross check the diagnosis, asset configuration and possible solution in question. This is done to identify the device and bring up the configuration information on the device before the analyst and contact person discuss the problem or service issue. For all calls placed, the PST Supplier will create a service ticket that identifies the device and the Authorised User, and the analyst either resolves the issue on first call or transfers the ticket to another (field) technician with additional skills on the technology or device. The ticket continues to be tracked and is available for reporting purposes. The Service desk dispatches desk-side support calls to the desk-side technician in the supported countries. </w:t>
      </w:r>
    </w:p>
    <w:p>
      <w:pPr>
        <w:pStyle w:val="Normal"/>
        <w:spacing w:before="0" w:after="0"/>
        <w:jc w:val="both"/>
        <w:rPr>
          <w:lang w:val="en-GB"/>
        </w:rPr>
      </w:pPr>
      <w:r>
        <w:rPr>
          <w:lang w:val="en-GB"/>
        </w:rPr>
      </w:r>
    </w:p>
    <w:p>
      <w:pPr>
        <w:pStyle w:val="Normal"/>
        <w:spacing w:before="0" w:after="0"/>
        <w:jc w:val="both"/>
        <w:rPr/>
      </w:pPr>
      <w:r>
        <w:rPr>
          <w:lang w:val="en-GB"/>
        </w:rPr>
        <w:t>The Service desk and desk-side technicians work closely together. They know exactly what input is needed, and how both assist each other in the process of serving the Authorised User best. For instance System Software installations and rebuilds are performed remotely. While the desk-side technician focuses on on-site repairs.</w:t>
      </w:r>
    </w:p>
    <w:p>
      <w:pPr>
        <w:pStyle w:val="Normal"/>
        <w:spacing w:before="0" w:after="0"/>
        <w:jc w:val="both"/>
        <w:rPr>
          <w:lang w:val="en-GB"/>
        </w:rPr>
      </w:pPr>
      <w:r>
        <w:rPr>
          <w:lang w:val="en-GB"/>
        </w:rPr>
      </w:r>
    </w:p>
    <w:p>
      <w:pPr>
        <w:pStyle w:val="Normal"/>
        <w:spacing w:before="0" w:after="0"/>
        <w:jc w:val="both"/>
        <w:rPr>
          <w:b/>
          <w:lang w:val="en-GB"/>
        </w:rPr>
      </w:pPr>
      <w:r>
        <w:rPr>
          <w:b/>
          <w:lang w:val="en-GB"/>
        </w:rPr>
        <w:t>Planning</w:t>
      </w:r>
    </w:p>
    <w:p>
      <w:pPr>
        <w:pStyle w:val="Normal"/>
        <w:spacing w:before="0" w:after="0"/>
        <w:jc w:val="both"/>
        <w:rPr>
          <w:b/>
          <w:lang w:val="en-GB"/>
        </w:rPr>
      </w:pPr>
      <w:r>
        <w:rPr>
          <w:b/>
          <w:lang w:val="en-GB"/>
        </w:rPr>
      </w:r>
    </w:p>
    <w:p>
      <w:pPr>
        <w:pStyle w:val="Normal"/>
        <w:spacing w:before="0" w:after="0"/>
        <w:jc w:val="both"/>
        <w:rPr>
          <w:lang w:val="en-GB"/>
        </w:rPr>
      </w:pPr>
      <w:r>
        <w:rPr>
          <w:lang w:val="en-GB"/>
        </w:rPr>
        <w:t xml:space="preserve">User infrastructure services are based on Incident Management procedures and instructions as defined by 2IM as well as timelines stated in the Service Level Agreements. A country planner from the field organisation qualifies and schedules the request for on-site support received from the Service Desk analyst. Scheduling and planning is based upon needed qualifications for the on-site technician visit and the availability of parts and other devices as appropriate within agreed Service Levels and priority. </w:t>
      </w:r>
    </w:p>
    <w:p>
      <w:pPr>
        <w:pStyle w:val="Normal"/>
        <w:spacing w:before="0" w:after="0"/>
        <w:jc w:val="both"/>
        <w:rPr>
          <w:lang w:val="en-GB"/>
        </w:rPr>
      </w:pPr>
      <w:r>
        <w:rPr>
          <w:lang w:val="en-GB"/>
        </w:rPr>
      </w:r>
    </w:p>
    <w:p>
      <w:pPr>
        <w:pStyle w:val="Normal"/>
        <w:spacing w:before="0" w:after="0"/>
        <w:jc w:val="both"/>
        <w:rPr>
          <w:lang w:val="en-GB"/>
        </w:rPr>
      </w:pPr>
      <w:r>
        <w:rPr>
          <w:lang w:val="en-GB"/>
        </w:rPr>
        <w:t xml:space="preserve">For Field Agents, Named Users and Named Locations an optional upgrade to a higher priority procedure is available with shorter resolution time in relation to normal Authorised User population. The planner is also coordinates of moves including the logistic process together with the dedicated Project Office and Service desk. In short, the planner has an important connecting role between Service desk - which is requesting desk-site service, gives call details and performs remote support - and the desk-side technician, who delivers the services. </w:t>
      </w:r>
    </w:p>
    <w:p>
      <w:pPr>
        <w:pStyle w:val="Normal"/>
        <w:spacing w:before="0" w:after="0"/>
        <w:jc w:val="both"/>
        <w:rPr>
          <w:lang w:val="en-GB"/>
        </w:rPr>
      </w:pPr>
      <w:r>
        <w:rPr>
          <w:lang w:val="en-GB"/>
        </w:rPr>
      </w:r>
    </w:p>
    <w:p>
      <w:pPr>
        <w:pStyle w:val="Normal"/>
        <w:spacing w:before="0" w:after="0"/>
        <w:jc w:val="both"/>
        <w:rPr>
          <w:lang w:val="en-GB"/>
        </w:rPr>
      </w:pPr>
      <w:r>
        <w:rPr>
          <w:lang w:val="en-GB"/>
        </w:rPr>
        <w:t>If the call is escalated to an external party, the tracking number is also recorded in PST Supplier’s service management system and is available for reporting purposes. The Service Desk management system either pages or sends an email if service calls exceed time criteria based on problem priority. Time guidelines based on problem priority and Service Levels determine how long an analyst should work on a problem before seeking help from a more experienced analyst.  These time guidelines are tied to the Service Desk management system automatic notifications.</w:t>
      </w:r>
    </w:p>
    <w:p>
      <w:pPr>
        <w:pStyle w:val="Normal"/>
        <w:spacing w:before="0" w:after="0"/>
        <w:jc w:val="both"/>
        <w:rPr>
          <w:lang w:val="en-GB"/>
        </w:rPr>
      </w:pPr>
      <w:r>
        <w:rPr>
          <w:lang w:val="en-GB"/>
        </w:rPr>
      </w:r>
    </w:p>
    <w:p>
      <w:pPr>
        <w:pStyle w:val="Normal"/>
        <w:spacing w:before="0" w:after="0"/>
        <w:jc w:val="both"/>
        <w:rPr>
          <w:lang w:val="en-GB"/>
        </w:rPr>
      </w:pPr>
      <w:r>
        <w:rPr>
          <w:lang w:val="en-GB"/>
        </w:rPr>
        <w:t xml:space="preserve">All processes and procedures are documented and stored in knowledge base systems and quality management tools. Planners and technicians are instructed and trained for EuroBank specific requirements and guidelines. Involved desk-site technicians are trained and have the right skills for the requested services. As part of HRM policies the PST Supplier will invest effort into personal skills and (technical) knowledge with appropriate trainings. The PST Supplier has adopted the ITIL methodology as the standard IT Service delivery methodology. The resulting best practices approach to Incident Management is based upon a logical series of events and disciplined responses. </w:t>
      </w:r>
    </w:p>
    <w:p>
      <w:pPr>
        <w:pStyle w:val="Normal"/>
        <w:spacing w:before="0" w:after="0"/>
        <w:jc w:val="both"/>
        <w:rPr>
          <w:lang w:val="en-GB"/>
        </w:rPr>
      </w:pPr>
      <w:r>
        <w:rPr>
          <w:lang w:val="en-GB"/>
        </w:rPr>
      </w:r>
    </w:p>
    <w:p>
      <w:pPr>
        <w:pStyle w:val="Normal"/>
        <w:spacing w:before="0" w:after="0"/>
        <w:jc w:val="both"/>
        <w:rPr>
          <w:lang w:val="en-GB"/>
        </w:rPr>
      </w:pPr>
      <w:r>
        <w:rPr>
          <w:b/>
          <w:lang w:val="en-GB"/>
        </w:rPr>
        <w:t>Synergy</w:t>
      </w:r>
    </w:p>
    <w:p>
      <w:pPr>
        <w:pStyle w:val="Normal"/>
        <w:spacing w:before="0" w:after="0"/>
        <w:jc w:val="both"/>
        <w:rPr>
          <w:lang w:val="en-GB"/>
        </w:rPr>
      </w:pPr>
      <w:r>
        <w:rPr>
          <w:lang w:val="en-GB"/>
        </w:rPr>
      </w:r>
    </w:p>
    <w:p>
      <w:pPr>
        <w:pStyle w:val="Normal"/>
        <w:spacing w:before="0" w:after="0"/>
        <w:jc w:val="both"/>
        <w:rPr>
          <w:lang w:val="en-GB"/>
        </w:rPr>
      </w:pPr>
      <w:r>
        <w:rPr>
          <w:lang w:val="en-GB"/>
        </w:rPr>
        <w:t>Where possible, based on volume, location and Service Levels the PST Supplier will bundle the calls for an EuroBank location or region with more than one location in such a manner that a technician can solve more than one call.</w:t>
      </w:r>
    </w:p>
    <w:p>
      <w:pPr>
        <w:pStyle w:val="Normal"/>
        <w:spacing w:before="0" w:after="0"/>
        <w:jc w:val="both"/>
        <w:rPr>
          <w:lang w:val="en-GB"/>
        </w:rPr>
      </w:pPr>
      <w:r>
        <w:rPr>
          <w:lang w:val="en-GB"/>
        </w:rPr>
      </w:r>
    </w:p>
    <w:p>
      <w:pPr>
        <w:pStyle w:val="Normal"/>
        <w:spacing w:before="0" w:after="0"/>
        <w:jc w:val="both"/>
        <w:rPr>
          <w:lang w:val="en-GB"/>
        </w:rPr>
      </w:pPr>
      <w:r>
        <w:rPr>
          <w:lang w:val="en-GB"/>
        </w:rPr>
        <w:t>All roles (eg technicians, country planners, Service Desk analysts, project office and Service Manager) involved in the process will be provided with access to and instruction on these guidelines, contact information, routing tables and instructions. The analysts will use individual EuroBank procedure documents – created by the PST Supplier (based on existing EuroBank documents) - so that they deliver the Service.</w:t>
      </w:r>
    </w:p>
    <w:p>
      <w:pPr>
        <w:pStyle w:val="Normal"/>
        <w:spacing w:before="0" w:after="0"/>
        <w:jc w:val="both"/>
        <w:rPr>
          <w:lang w:val="en-GB"/>
        </w:rPr>
      </w:pPr>
      <w:r>
        <w:rPr>
          <w:lang w:val="en-GB"/>
        </w:rPr>
      </w:r>
    </w:p>
    <w:p>
      <w:pPr>
        <w:pStyle w:val="Normal"/>
        <w:spacing w:before="0" w:after="0"/>
        <w:jc w:val="both"/>
        <w:rPr>
          <w:lang w:val="en-GB"/>
        </w:rPr>
      </w:pPr>
      <w:r>
        <w:rPr>
          <w:lang w:val="en-GB"/>
        </w:rPr>
        <w:t xml:space="preserve">Communication and planning takes place with mobile communication tools – supplied and integrated by the PST Supplier - where technicians have access to real time information for sharing call information. The technician performs the local hardware repair service or assures the replacement of hardware if direct repair is not possible. Also the resolution of access and functionality of network and mail connectivity by solving on-site problems is provided including consultative support. The technician together with the Service Desk and Server Management Bundle executes the installations, back-ups, and restores. </w:t>
      </w:r>
    </w:p>
    <w:p>
      <w:pPr>
        <w:pStyle w:val="Normal"/>
        <w:spacing w:before="0" w:after="0"/>
        <w:jc w:val="both"/>
        <w:rPr>
          <w:lang w:val="en-GB"/>
        </w:rPr>
      </w:pPr>
      <w:r>
        <w:rPr>
          <w:lang w:val="en-GB"/>
        </w:rPr>
      </w:r>
    </w:p>
    <w:p>
      <w:pPr>
        <w:pStyle w:val="Normal"/>
        <w:spacing w:before="0" w:after="0"/>
        <w:jc w:val="both"/>
        <w:rPr/>
      </w:pPr>
      <w:r>
        <w:rPr>
          <w:lang w:val="en-GB"/>
        </w:rPr>
        <w:t>This last entity assures that System Software installations on the workplace takes place remotely when desk-site technician instructs to do so. These remote System Software installations based on Packages are more cost effective to EuroBank compared to the situation when System Software installations take place desk-site with more manual interference. Technicians have the ability to update call information directly to the Service Desk analyst for the service management system. The technicians give feedback, instructions, and advice to the Authorised User about the resolution of the workplace functionality and how to prevent future Incidents.</w:t>
      </w:r>
    </w:p>
    <w:p>
      <w:pPr>
        <w:pStyle w:val="Normal"/>
        <w:spacing w:before="0" w:after="0"/>
        <w:jc w:val="both"/>
        <w:rPr>
          <w:lang w:val="en-GB"/>
        </w:rPr>
      </w:pPr>
      <w:r>
        <w:rPr>
          <w:lang w:val="en-GB"/>
        </w:rPr>
      </w:r>
    </w:p>
    <w:p>
      <w:pPr>
        <w:pStyle w:val="Normal"/>
        <w:spacing w:before="0" w:after="0"/>
        <w:jc w:val="both"/>
        <w:rPr>
          <w:b/>
          <w:lang w:val="en-GB"/>
        </w:rPr>
      </w:pPr>
      <w:r>
        <w:rPr>
          <w:b/>
          <w:lang w:val="en-GB"/>
        </w:rPr>
        <w:t>Service Management Toolset</w:t>
      </w:r>
    </w:p>
    <w:p>
      <w:pPr>
        <w:pStyle w:val="Normal"/>
        <w:spacing w:before="0" w:after="0"/>
        <w:jc w:val="both"/>
        <w:rPr>
          <w:b/>
          <w:lang w:val="en-GB"/>
        </w:rPr>
      </w:pPr>
      <w:r>
        <w:rPr>
          <w:b/>
          <w:lang w:val="en-GB"/>
        </w:rPr>
      </w:r>
    </w:p>
    <w:p>
      <w:pPr>
        <w:pStyle w:val="Normal"/>
        <w:spacing w:before="0" w:after="0"/>
        <w:jc w:val="both"/>
        <w:rPr/>
      </w:pPr>
      <w:r>
        <w:rPr>
          <w:lang w:val="en-GB"/>
        </w:rPr>
        <w:t>The PST Supplier will use the following tools to delivery equipment and System Software maintenance – provided and integrated by the PST Supplier:</w:t>
      </w:r>
    </w:p>
    <w:p>
      <w:pPr>
        <w:pStyle w:val="Normal"/>
        <w:spacing w:before="0" w:after="0"/>
        <w:jc w:val="both"/>
        <w:rPr>
          <w:lang w:val="en-GB"/>
        </w:rPr>
      </w:pPr>
      <w:r>
        <w:rPr>
          <w:lang w:val="en-GB"/>
        </w:rPr>
      </w:r>
    </w:p>
    <w:p>
      <w:pPr>
        <w:pStyle w:val="Normal"/>
        <w:spacing w:before="0" w:after="0"/>
        <w:ind w:hanging="720" w:start="720" w:end="0"/>
        <w:jc w:val="both"/>
        <w:rPr/>
      </w:pPr>
      <w:r>
        <w:rPr>
          <w:lang w:val="en-GB"/>
        </w:rPr>
        <w:t>•</w:t>
        <w:tab/>
        <w:t>Service Desk management system is used to track Incidents and Service Requests to successful resolution. The system interfaces with EuroBank tools and systems providing Service Desk analysts with full access to key Asset Management, user profile, configuration information, thereby expediting problem diagnosis.</w:t>
      </w:r>
      <w:r>
        <w:rPr>
          <w:lang w:val="en-GB"/>
        </w:rPr>
      </w:r>
      <w:r>
        <w:rPr>
          <w:b/>
          <w:lang w:val="en-GB"/>
        </w:rPr>
      </w:r>
      <w:r>
        <w:rPr>
          <w:lang w:val="en-GB"/>
        </w:rPr>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w:t>
      </w:r>
      <w:r>
        <w:rPr>
          <w:lang w:val="en-GB"/>
        </w:rPr>
        <w:tab/>
      </w:r>
      <w:r>
        <w:rPr>
          <w:b/>
          <w:lang w:val="en-GB"/>
        </w:rPr>
        <w:t>Kana Knowledge Management and Knowledge Explorer Web Application (KEWA)</w:t>
      </w:r>
      <w:r>
        <w:rPr>
          <w:lang w:val="en-GB"/>
        </w:rPr>
        <w:t xml:space="preserve"> is integrated in the service delivery solution. This highly effective system has been further enhanced to provide Authorised Users and analysts with correct resolution as quickly as possible and minimum navigation. A specific example is the development of an in-house ‘front end’ to Kana that provides faster and more accurate access to resolutions, and improves the knowledge management experience. In addition, the system incorporates other enhancements such as a live information ticker, navigation history and access timers. The developed solution enhancements have been recognised by Kana, and requested by other Kana customers.</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w:t>
      </w:r>
      <w:r>
        <w:rPr>
          <w:lang w:val="en-GB"/>
        </w:rPr>
        <w:tab/>
      </w:r>
      <w:r>
        <w:rPr>
          <w:b/>
          <w:lang w:val="en-GB"/>
        </w:rPr>
        <w:t>SLA manager module</w:t>
      </w:r>
      <w:r>
        <w:rPr>
          <w:lang w:val="en-GB"/>
        </w:rPr>
        <w:t xml:space="preserve"> provides a method for tracking performance against SLA’s, managing the overall performance of Solver Groups, to perform ad hoc and statistical analysis on tickets. SLA manager module provides a real-time view of current workload.</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w:t>
      </w:r>
      <w:r>
        <w:rPr>
          <w:lang w:val="en-GB"/>
        </w:rPr>
        <w:tab/>
      </w:r>
      <w:r>
        <w:rPr>
          <w:b/>
          <w:lang w:val="en-GB"/>
        </w:rPr>
        <w:t>Field Dispatch Systems</w:t>
      </w:r>
      <w:r>
        <w:rPr>
          <w:lang w:val="en-GB"/>
        </w:rPr>
        <w:t xml:space="preserve"> - allows for direct assignment of field service employees and captures updates to the problem as additional diagnosis and resolution steps are taken. It also provides parts tracking, accounting, SLA information, trend analysis, and special instructions for prioritised Authorised Users, and spare parts usage activity.</w:t>
      </w:r>
    </w:p>
    <w:p>
      <w:pPr>
        <w:pStyle w:val="Normal"/>
        <w:spacing w:before="0" w:after="0"/>
        <w:jc w:val="both"/>
        <w:rPr>
          <w:lang w:val="en-GB"/>
        </w:rPr>
      </w:pPr>
      <w:r>
        <w:rPr>
          <w:lang w:val="en-GB"/>
        </w:rPr>
      </w:r>
    </w:p>
    <w:p>
      <w:pPr>
        <w:pStyle w:val="Normal"/>
        <w:spacing w:before="0" w:after="0"/>
        <w:ind w:hanging="720" w:start="720" w:end="0"/>
        <w:jc w:val="both"/>
        <w:rPr/>
      </w:pPr>
      <w:r>
        <w:rPr>
          <w:lang w:val="en-GB"/>
        </w:rPr>
        <w:t>•</w:t>
        <w:tab/>
        <w:t>Service Portal is an Intranet/Internet enabled application that allows internal EuroBank Solver Groups to interface directly to the Service desk Management System, creating real-time access to all problem reports. This tool removes the need to install Service Desk management system software on a multitude of Solver Group desktops. The PST Supplier will communicate with Authorised Users and EuroBank Supplier/Solver Groups via telephone, email or the Service Portal tool as appropriate.</w:t>
      </w:r>
      <w:r>
        <w:rPr>
          <w:lang w:val="en-GB"/>
        </w:rPr>
      </w:r>
      <w:r>
        <w:rPr>
          <w:b/>
          <w:lang w:val="en-GB"/>
        </w:rPr>
      </w:r>
      <w:r>
        <w:rPr>
          <w:lang w:val="en-GB"/>
        </w:rPr>
      </w:r>
    </w:p>
    <w:p>
      <w:pPr>
        <w:pStyle w:val="Normal"/>
        <w:spacing w:before="0" w:after="0"/>
        <w:jc w:val="both"/>
        <w:rPr>
          <w:lang w:val="en-GB"/>
        </w:rPr>
      </w:pPr>
      <w:r>
        <w:rPr>
          <w:lang w:val="en-GB"/>
        </w:rPr>
      </w:r>
    </w:p>
    <w:p>
      <w:pPr>
        <w:pStyle w:val="Normal"/>
        <w:spacing w:before="0" w:after="0"/>
        <w:jc w:val="both"/>
        <w:rPr>
          <w:lang w:val="en-GB"/>
        </w:rPr>
      </w:pPr>
      <w:r>
        <w:rPr>
          <w:lang w:val="en-GB"/>
        </w:rPr>
        <w:t>The PST Supplier’s responsibilities include:</w:t>
      </w:r>
    </w:p>
    <w:p>
      <w:pPr>
        <w:pStyle w:val="Normal"/>
        <w:spacing w:before="0" w:after="0"/>
        <w:jc w:val="both"/>
        <w:rPr>
          <w:lang w:val="en-GB"/>
        </w:rPr>
      </w:pPr>
      <w:r>
        <w:rPr>
          <w:lang w:val="en-GB"/>
        </w:rPr>
      </w:r>
    </w:p>
    <w:p>
      <w:pPr>
        <w:pStyle w:val="Normal"/>
        <w:spacing w:before="0" w:after="0"/>
        <w:ind w:hanging="720" w:start="720" w:end="0"/>
        <w:jc w:val="both"/>
        <w:rPr>
          <w:lang w:val="en-GB"/>
        </w:rPr>
      </w:pPr>
      <w:r>
        <w:rPr>
          <w:lang w:val="en-GB"/>
        </w:rPr>
        <w:t>a)</w:t>
        <w:tab/>
        <w:t>Providing on-site Incident Resolution and support following the procedures and entities defined by 2IM.</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b)</w:t>
        <w:tab/>
        <w:t>Scheduling and dispatching appropriate technicians as requested by the designated entities.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c)</w:t>
        <w:tab/>
        <w:t>Following Incident Management procedures as defined by 2IM as well as timelines stated in the service level agreements.</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d)</w:t>
        <w:tab/>
        <w:t xml:space="preserve">Ensuring proper feedback on Incidents Resolution is provided to the Authorised User as requested. </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e)</w:t>
        <w:tab/>
        <w:t>In the event the PST Supplier must replace Equipment and/or System Software in order to conduct a repair, copying data and performing back-ups as necessary, except for unique requirements related to mobile access and support as specified in the Mobile access and support section of this Exhibit.</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f)</w:t>
        <w:tab/>
        <w:t>In the event the PST Supplier must replace Equipment and/or System Software in order to conduct a repair, de-installing and re-installing any existing Equipment, System Software, or other related services as necessary to conduct the repair.</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g)</w:t>
        <w:tab/>
        <w:t>Following procedures defined by 2IM, connecting equipment to network facilities where needed (eg LAN &amp; ISDN patching).</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h)</w:t>
        <w:tab/>
        <w:t>Assisting Authorised Users with support to enable the correct use of EUC Equipment and System Software, and access to and use of related technologies and Services.</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i)</w:t>
        <w:tab/>
        <w:t>When Authorised Users are connected (or attempting to connect) to the EuroBank network, coordinating activities with other PST Supplier personnel or Third Party service providers in order to fulfil the following responsibilities:</w:t>
      </w:r>
    </w:p>
    <w:p>
      <w:pPr>
        <w:pStyle w:val="Normal"/>
        <w:spacing w:before="0" w:after="0"/>
        <w:ind w:hanging="720" w:start="720" w:end="0"/>
        <w:jc w:val="both"/>
        <w:rPr>
          <w:lang w:val="en-GB"/>
        </w:rPr>
      </w:pPr>
      <w:r>
        <w:rPr>
          <w:lang w:val="en-GB"/>
        </w:rPr>
      </w:r>
    </w:p>
    <w:p>
      <w:pPr>
        <w:pStyle w:val="Normal"/>
        <w:spacing w:before="0" w:after="0"/>
        <w:ind w:hanging="720" w:start="1440" w:end="0"/>
        <w:jc w:val="both"/>
        <w:rPr/>
      </w:pPr>
      <w:r>
        <w:rPr>
          <w:lang w:val="en-GB"/>
        </w:rPr>
        <w:t>i)</w:t>
        <w:tab/>
        <w:t>Assisting with access to voice, LAN, print, and file services.</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ii)</w:t>
        <w:tab/>
        <w:t>Only where strictly necessary, assisting with connection to EuroBank’s WAN.</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iii)</w:t>
        <w:tab/>
        <w:t>Assisting with access to the appropriate LAN segment.</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iv)</w:t>
        <w:tab/>
        <w:t>Assisting with electronic mail replication.</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v)</w:t>
        <w:tab/>
        <w:t>Assisting with access to Mainframe and/or Application and Utility Server applications</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j)</w:t>
        <w:tab/>
        <w:t>Isolate and remove virus from any writable devices (diskettes, hard drives, etc.) upon request from the approved entities as defined by 2IM.</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k)</w:t>
        <w:tab/>
        <w:t>Following procedures defined by 2IM and in accordance with other PST Suppliers, disposing of the Equipment as directed by 2IM.</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l)</w:t>
        <w:tab/>
        <w:t>Allowing exceptions on the standard service delivery where expected. (eg V.I.Ps)</w:t>
      </w:r>
    </w:p>
    <w:p>
      <w:pPr>
        <w:pStyle w:val="Heading1Numbered"/>
        <w:numPr>
          <w:ilvl w:val="0"/>
          <w:numId w:val="2"/>
        </w:numPr>
        <w:ind w:hanging="0" w:start="0"/>
        <w:jc w:val="both"/>
        <w:rPr>
          <w:sz w:val="22"/>
          <w:szCs w:val="22"/>
          <w:lang w:val="en-GB"/>
        </w:rPr>
      </w:pPr>
      <w:bookmarkStart w:id="30" w:name="__RefHeading___Toc150051217"/>
      <w:bookmarkEnd w:id="30"/>
      <w:r>
        <w:rPr>
          <w:sz w:val="22"/>
          <w:szCs w:val="22"/>
          <w:lang w:val="en-GB"/>
        </w:rPr>
        <w:t>MOBILE COMPUTING SERVICES</w:t>
      </w:r>
    </w:p>
    <w:p>
      <w:pPr>
        <w:pStyle w:val="Normal"/>
        <w:spacing w:before="0" w:after="0"/>
        <w:jc w:val="both"/>
        <w:rPr>
          <w:b/>
          <w:lang w:val="en-GB"/>
        </w:rPr>
      </w:pPr>
      <w:r>
        <w:rPr>
          <w:b/>
          <w:lang w:val="en-GB"/>
        </w:rPr>
        <w:t>Meeting the Mobile Computing Services requirements</w:t>
      </w:r>
    </w:p>
    <w:p>
      <w:pPr>
        <w:pStyle w:val="Normal"/>
        <w:spacing w:before="0" w:after="0"/>
        <w:jc w:val="both"/>
        <w:rPr>
          <w:b/>
          <w:lang w:val="en-GB"/>
        </w:rPr>
      </w:pPr>
      <w:r>
        <w:rPr>
          <w:b/>
          <w:lang w:val="en-GB"/>
        </w:rPr>
      </w:r>
    </w:p>
    <w:p>
      <w:pPr>
        <w:pStyle w:val="Normal"/>
        <w:spacing w:before="0" w:after="0"/>
        <w:jc w:val="both"/>
        <w:rPr>
          <w:lang w:val="en-GB"/>
        </w:rPr>
      </w:pPr>
      <w:r>
        <w:rPr>
          <w:lang w:val="en-GB"/>
        </w:rPr>
        <w:t xml:space="preserve">The PST Supplier provides support for travelling Authorised Users and Authorised Users remotely accessing the EuroBank infrastructure via mobile laptop computers – any on-site support required for these users will only occur in the NL and BE. Other locations will be supported using the available tools and techniques. If these Authorised Users carry standard mobile attached equipment (printer, keyboard, mouse and/or screen device), the PST Supplier supports this standard additional equipment. </w:t>
      </w:r>
    </w:p>
    <w:p>
      <w:pPr>
        <w:pStyle w:val="Normal"/>
        <w:spacing w:before="0" w:after="0"/>
        <w:jc w:val="both"/>
        <w:rPr>
          <w:lang w:val="en-GB"/>
        </w:rPr>
      </w:pPr>
      <w:r>
        <w:rPr>
          <w:lang w:val="en-GB"/>
        </w:rPr>
      </w:r>
    </w:p>
    <w:p>
      <w:pPr>
        <w:pStyle w:val="Normal"/>
        <w:spacing w:before="0" w:after="0"/>
        <w:jc w:val="both"/>
        <w:rPr/>
      </w:pPr>
      <w:r>
        <w:rPr>
          <w:lang w:val="en-GB"/>
        </w:rPr>
        <w:t>Mobile Authorised Users can contact the PST Supplier’s Service Desk by phone as any other Authorised User. The objective of the Service Desk is to solve as many calls as possible during first contact. This objective is generally achieved best if the mobile Authorised User is connected to the EuroBank network during the call. With an active network connection to the EuroBank network, the PST Supplier’s Service Desk and 2nd line support staff is capable to offering remote access to analyse and possibly repair corrupted System Software, fix an incorrect System Software setting, or possibly detect a hardware failure. The PST Supplier implements remote access via the Remote Desktop function in Windows XP. With Remote Desktop, the control over the Authorised User’s PC is transferred to the PST Supplier support official. The Authorised User has to allow transfer of control at the start of each individual Remote Desktop session, and can exactly follow on the screen what the support official is doing.</w:t>
      </w:r>
    </w:p>
    <w:p>
      <w:pPr>
        <w:pStyle w:val="Normal"/>
        <w:spacing w:before="0" w:after="0"/>
        <w:jc w:val="both"/>
        <w:rPr>
          <w:lang w:val="en-GB"/>
        </w:rPr>
      </w:pPr>
      <w:r>
        <w:rPr>
          <w:lang w:val="en-GB"/>
        </w:rPr>
      </w:r>
    </w:p>
    <w:p>
      <w:pPr>
        <w:pStyle w:val="Normal"/>
        <w:spacing w:before="0" w:after="0"/>
        <w:jc w:val="both"/>
        <w:rPr/>
      </w:pPr>
      <w:r>
        <w:rPr>
          <w:lang w:val="en-GB"/>
        </w:rPr>
        <w:t xml:space="preserve">All mobile Authorised Users will be capable to connect from any EuroBank Site to central services like file and print, messaging and collaboration, provided the EuroBank Site is part of the Active Directory, encompassing the desired central services. </w:t>
      </w:r>
    </w:p>
    <w:p>
      <w:pPr>
        <w:pStyle w:val="Normal"/>
        <w:spacing w:before="0" w:after="0"/>
        <w:jc w:val="both"/>
        <w:rPr>
          <w:lang w:val="en-GB"/>
        </w:rPr>
      </w:pPr>
      <w:r>
        <w:rPr>
          <w:lang w:val="en-GB"/>
        </w:rPr>
      </w:r>
    </w:p>
    <w:p>
      <w:pPr>
        <w:pStyle w:val="Normal"/>
        <w:spacing w:before="0" w:after="0"/>
        <w:jc w:val="both"/>
        <w:rPr>
          <w:lang w:val="en-GB"/>
        </w:rPr>
      </w:pPr>
      <w:r>
        <w:rPr>
          <w:lang w:val="en-GB"/>
        </w:rPr>
        <w:t>The PST Supplier workplace concept provides the replication of locally stored data on a laptop to the nearest Branch Office Cache server. From this Branch office location, data is replicated to the central file services solution, where backup is implemented for business continuity in accordance with the parameters set by EuroBank. As such the individual mobile Authorised User does not need to undertake manual backups of data stored on their laptop PC – unless special circumstances prevail. In case a mobile Authorised User is not able to connect to the network, and offline backups are required, this can be facilitated by CD-ROM or DVD storage – depending on agreed priority levels.</w:t>
      </w:r>
    </w:p>
    <w:p>
      <w:pPr>
        <w:pStyle w:val="Normal"/>
        <w:spacing w:before="0" w:after="0"/>
        <w:jc w:val="both"/>
        <w:rPr>
          <w:lang w:val="en-GB"/>
        </w:rPr>
      </w:pPr>
      <w:r>
        <w:rPr>
          <w:lang w:val="en-GB"/>
        </w:rPr>
      </w:r>
    </w:p>
    <w:p>
      <w:pPr>
        <w:pStyle w:val="Normal"/>
        <w:spacing w:before="0" w:after="0"/>
        <w:jc w:val="both"/>
        <w:rPr/>
      </w:pPr>
      <w:r>
        <w:rPr>
          <w:lang w:val="en-GB"/>
        </w:rPr>
        <w:t>Together with the PST Supplier’s Remove and Replace concept for workstations, it is possible to completely replace a broken or lost laptop computer, based on the standard image and standard applications to be loaded, the authorised applications in use by the Authorised User, and the copy of the Authorised User data, stored on the central file server, possibly combined with a personal made backup. User data on a laptop will be encrypted with Microsoft’s Encrypted File System, EFS.</w:t>
      </w:r>
    </w:p>
    <w:p>
      <w:pPr>
        <w:pStyle w:val="Normal"/>
        <w:spacing w:before="0" w:after="0"/>
        <w:jc w:val="both"/>
        <w:rPr>
          <w:lang w:val="en-GB"/>
        </w:rPr>
      </w:pPr>
      <w:r>
        <w:rPr>
          <w:lang w:val="en-GB"/>
        </w:rPr>
      </w:r>
    </w:p>
    <w:p>
      <w:pPr>
        <w:pStyle w:val="Normal"/>
        <w:spacing w:before="0" w:after="0"/>
        <w:jc w:val="both"/>
        <w:rPr>
          <w:lang w:val="en-GB"/>
        </w:rPr>
      </w:pPr>
      <w:r>
        <w:rPr>
          <w:lang w:val="en-GB"/>
        </w:rPr>
        <w:t>All PST Supplier Workstations, desktops and laptops are protected by the Windows XP SP2 Personal Firewall, protecting all inbound traffic. The PST Supplier will meet industry standards with this offering.</w:t>
      </w:r>
    </w:p>
    <w:p>
      <w:pPr>
        <w:pStyle w:val="Normal"/>
        <w:spacing w:before="0" w:after="0"/>
        <w:jc w:val="both"/>
        <w:rPr>
          <w:lang w:val="en-GB"/>
        </w:rPr>
      </w:pPr>
      <w:r>
        <w:rPr>
          <w:lang w:val="en-GB"/>
        </w:rPr>
      </w:r>
    </w:p>
    <w:p>
      <w:pPr>
        <w:pStyle w:val="Normal"/>
        <w:spacing w:before="0" w:after="0"/>
        <w:jc w:val="both"/>
        <w:rPr>
          <w:lang w:val="en-GB"/>
        </w:rPr>
      </w:pPr>
      <w:r>
        <w:rPr>
          <w:lang w:val="en-GB"/>
        </w:rPr>
        <w:t xml:space="preserve">The PST Supplier’s workplaces have automatic distribution of virus checker updates and security updates to laptop computers, when they are connected to the EuroBank company network. Assuming that mobile Authorised Users also connect to the EuroBank company network during a dial-up session, the PST Suppliers will push such updates to a mobile computer during these sessions. However, due to limited available bandwidth during dialup sessions, parameters may be set differently for mobile users, particularly for the distribution of larger updates. Smaller security updates and virus checker updates can be instructed to distribute regardless of the available bandwidth. </w:t>
      </w:r>
    </w:p>
    <w:p>
      <w:pPr>
        <w:pStyle w:val="Normal"/>
        <w:spacing w:before="0" w:after="0"/>
        <w:jc w:val="both"/>
        <w:rPr>
          <w:lang w:val="en-GB"/>
        </w:rPr>
      </w:pPr>
      <w:r>
        <w:rPr>
          <w:lang w:val="en-GB"/>
        </w:rPr>
      </w:r>
    </w:p>
    <w:p>
      <w:pPr>
        <w:pStyle w:val="Normal"/>
        <w:spacing w:before="0" w:after="0"/>
        <w:jc w:val="both"/>
        <w:rPr/>
      </w:pPr>
      <w:r>
        <w:rPr>
          <w:lang w:val="en-GB"/>
        </w:rPr>
        <w:t>The same bandwidth restrictions apply to software deployment. The PST Supplier will supply and integrate distribution tools that, in addition to other functionality, will:</w:t>
      </w:r>
    </w:p>
    <w:p>
      <w:pPr>
        <w:pStyle w:val="Normal"/>
        <w:spacing w:before="0" w:after="0"/>
        <w:jc w:val="both"/>
        <w:rPr>
          <w:lang w:val="en-GB"/>
        </w:rPr>
      </w:pPr>
      <w:r>
        <w:rPr>
          <w:lang w:val="en-GB"/>
        </w:rPr>
      </w:r>
    </w:p>
    <w:p>
      <w:pPr>
        <w:pStyle w:val="Normal"/>
        <w:spacing w:before="0" w:after="0"/>
        <w:ind w:hanging="720" w:start="720" w:end="0"/>
        <w:jc w:val="both"/>
        <w:rPr/>
      </w:pPr>
      <w:r>
        <w:rPr>
          <w:lang w:val="en-GB"/>
        </w:rPr>
        <w:t>•</w:t>
      </w:r>
      <w:r>
        <w:rPr>
          <w:lang w:val="en-GB"/>
        </w:rPr>
        <w:tab/>
        <w:t>Separate delivery of a System Software Package from installation.</w:t>
      </w:r>
    </w:p>
    <w:p>
      <w:pPr>
        <w:pStyle w:val="Normal"/>
        <w:spacing w:before="0" w:after="0"/>
        <w:ind w:hanging="720" w:start="720" w:end="0"/>
        <w:jc w:val="both"/>
        <w:rPr/>
      </w:pPr>
      <w:r>
        <w:rPr>
          <w:lang w:val="en-GB"/>
        </w:rPr>
        <w:t>•</w:t>
      </w:r>
      <w:r>
        <w:rPr>
          <w:lang w:val="en-GB"/>
        </w:rPr>
        <w:tab/>
        <w:t>Enable Package tracking.</w:t>
      </w:r>
    </w:p>
    <w:p>
      <w:pPr>
        <w:pStyle w:val="Normal"/>
        <w:spacing w:before="0" w:after="0"/>
        <w:ind w:hanging="720" w:start="720" w:end="0"/>
        <w:jc w:val="both"/>
        <w:rPr/>
      </w:pPr>
      <w:r>
        <w:rPr>
          <w:lang w:val="en-GB"/>
        </w:rPr>
        <w:t>•</w:t>
      </w:r>
      <w:r>
        <w:rPr>
          <w:lang w:val="en-GB"/>
        </w:rPr>
        <w:tab/>
        <w:t xml:space="preserve">Distribute Packages based on criteria checking (e.g. Does the device have enough memory? Is there &gt;250k bandwidth available?). </w:t>
      </w:r>
    </w:p>
    <w:p>
      <w:pPr>
        <w:pStyle w:val="Normal"/>
        <w:spacing w:before="0" w:after="0"/>
        <w:ind w:hanging="720" w:start="720" w:end="0"/>
        <w:jc w:val="both"/>
        <w:rPr/>
      </w:pPr>
      <w:r>
        <w:rPr>
          <w:lang w:val="en-GB"/>
        </w:rPr>
        <w:t>•</w:t>
      </w:r>
      <w:r>
        <w:rPr>
          <w:lang w:val="en-GB"/>
        </w:rPr>
        <w:tab/>
        <w:t>Segment Packages for staged delivery.</w:t>
      </w:r>
    </w:p>
    <w:p>
      <w:pPr>
        <w:pStyle w:val="Normal"/>
        <w:spacing w:before="0" w:after="0"/>
        <w:ind w:hanging="720" w:start="720" w:end="0"/>
        <w:jc w:val="both"/>
        <w:rPr>
          <w:lang w:val="en-GB"/>
        </w:rPr>
      </w:pPr>
      <w:r>
        <w:rPr>
          <w:lang w:val="en-GB"/>
        </w:rPr>
        <w:t>•</w:t>
      </w:r>
      <w:r>
        <w:rPr>
          <w:lang w:val="en-GB"/>
        </w:rPr>
        <w:tab/>
        <w:t>Provide self-healing (automatic repair) functionality.</w:t>
      </w:r>
    </w:p>
    <w:p>
      <w:pPr>
        <w:pStyle w:val="Normal"/>
        <w:spacing w:before="0" w:after="0"/>
        <w:ind w:hanging="720" w:start="720" w:end="0"/>
        <w:jc w:val="both"/>
        <w:rPr>
          <w:lang w:val="en-GB"/>
        </w:rPr>
      </w:pPr>
      <w:r>
        <w:rPr>
          <w:lang w:val="en-GB"/>
        </w:rPr>
        <w:t>•</w:t>
      </w:r>
      <w:r>
        <w:rPr>
          <w:lang w:val="en-GB"/>
        </w:rPr>
        <w:tab/>
        <w:t>Provide rollback and uninstall functionality.</w:t>
      </w:r>
    </w:p>
    <w:p>
      <w:pPr>
        <w:pStyle w:val="Normal"/>
        <w:spacing w:before="0" w:after="0"/>
        <w:jc w:val="both"/>
        <w:rPr>
          <w:lang w:val="en-GB"/>
        </w:rPr>
      </w:pPr>
      <w:r>
        <w:rPr>
          <w:lang w:val="en-GB"/>
        </w:rPr>
      </w:r>
    </w:p>
    <w:p>
      <w:pPr>
        <w:pStyle w:val="Normal"/>
        <w:spacing w:before="0" w:after="0"/>
        <w:jc w:val="both"/>
        <w:rPr/>
      </w:pPr>
      <w:r>
        <w:rPr>
          <w:lang w:val="en-GB"/>
        </w:rPr>
        <w:t xml:space="preserve">All standard and all specific Authorised User applications are supported by the PST Supplier provided these applications are packaged. Where standard and specific Authorised User applications cannot be packaged in the conventional manner, the PST Supplier will identify and provide with EuroBank, or third party suppliers an alternative solution enabling the System Software to be supported – this will primarily be facilitated by using existing components of the SWS infrastructure such as Server Based Computing. Where additional costs are potentially incurred, for example by having to procure a solution not already provided in SWS, then any further progress must be explicitly agreed with EuroBank using the Change Control process. User specific databases are supported, provided the required data base engine is available on the laptop computer. To enable recovery, the database should be stored in a folder on the laptop computer, allowing its replication to the central file service. If this is not possible, the end Authorised User should cater for local backup as discussed before. The PST Supplier will advise on the most effective way to configure workstations (desktop and portable) to facilitate effective support and agree with EuroBank how this will be implemented. </w:t>
      </w:r>
    </w:p>
    <w:p>
      <w:pPr>
        <w:pStyle w:val="Normal"/>
        <w:spacing w:before="0" w:after="0"/>
        <w:jc w:val="both"/>
        <w:rPr>
          <w:lang w:val="en-GB"/>
        </w:rPr>
      </w:pPr>
      <w:r>
        <w:rPr>
          <w:lang w:val="en-GB"/>
        </w:rPr>
      </w:r>
    </w:p>
    <w:p>
      <w:pPr>
        <w:pStyle w:val="Normal"/>
        <w:spacing w:before="0" w:after="0"/>
        <w:jc w:val="both"/>
        <w:rPr>
          <w:b/>
          <w:lang w:val="en-GB"/>
        </w:rPr>
      </w:pPr>
      <w:r>
        <w:rPr>
          <w:b/>
          <w:lang w:val="en-GB"/>
        </w:rPr>
        <w:t xml:space="preserve">Mobile Repair and Maintenance </w:t>
      </w:r>
    </w:p>
    <w:p>
      <w:pPr>
        <w:pStyle w:val="Normal"/>
        <w:spacing w:before="0" w:after="0"/>
        <w:jc w:val="both"/>
        <w:rPr>
          <w:b/>
          <w:lang w:val="en-GB"/>
        </w:rPr>
      </w:pPr>
      <w:r>
        <w:rPr>
          <w:b/>
          <w:lang w:val="en-GB"/>
        </w:rPr>
      </w:r>
    </w:p>
    <w:p>
      <w:pPr>
        <w:pStyle w:val="Normal"/>
        <w:spacing w:before="0" w:after="0"/>
        <w:jc w:val="both"/>
        <w:rPr/>
      </w:pPr>
      <w:r>
        <w:rPr>
          <w:lang w:val="en-GB"/>
        </w:rPr>
        <w:t>Immediately upon determination that an Equipment or System Software problem cannot be fixed remotely and that the problem is a priority 2 level (ie with Field Agents ), then sending an entire spare unit (or peripheral, where possible) will be undertaken to the Authorised User – this will involve verifying that any peripheral component to be sent is compatible with the Authorised User’s unit.</w:t>
      </w:r>
    </w:p>
    <w:p>
      <w:pPr>
        <w:pStyle w:val="Normal"/>
        <w:spacing w:before="0" w:after="0"/>
        <w:jc w:val="both"/>
        <w:rPr>
          <w:lang w:val="en-GB"/>
        </w:rPr>
      </w:pPr>
      <w:r>
        <w:rPr>
          <w:lang w:val="en-GB"/>
        </w:rPr>
      </w:r>
    </w:p>
    <w:p>
      <w:pPr>
        <w:pStyle w:val="Normal"/>
        <w:spacing w:before="0" w:after="0"/>
        <w:jc w:val="both"/>
        <w:rPr>
          <w:lang w:val="en-GB"/>
        </w:rPr>
      </w:pPr>
      <w:r>
        <w:rPr>
          <w:lang w:val="en-GB"/>
        </w:rPr>
        <w:t>Standard Mobile Users will be subject to the standard Service Levels.</w:t>
      </w:r>
    </w:p>
    <w:p>
      <w:pPr>
        <w:pStyle w:val="Normal"/>
        <w:spacing w:before="0" w:after="0"/>
        <w:jc w:val="both"/>
        <w:rPr>
          <w:lang w:val="en-GB"/>
        </w:rPr>
      </w:pPr>
      <w:r>
        <w:rPr>
          <w:lang w:val="en-GB"/>
        </w:rPr>
      </w:r>
    </w:p>
    <w:p>
      <w:pPr>
        <w:pStyle w:val="Normal"/>
        <w:spacing w:before="0" w:after="0"/>
        <w:jc w:val="both"/>
        <w:rPr/>
      </w:pPr>
      <w:r>
        <w:rPr>
          <w:lang w:val="en-GB"/>
        </w:rPr>
        <w:t>If an entire configuration needs to be sent, ensuring that the configuration is in accordance with EuroBank’s Standard Product configuration (including all authorised System Software that has been recorded in the Asset Inventory and Management System for the defective unit) enclosing the necessary packing material and self-addressed mailing materials with the replacement unit, so that the Authorised User can return the malfunctioning unit to the PST Supplier once the data has been copied from the malfunctioning unit to the replacement unit.</w:t>
      </w:r>
    </w:p>
    <w:p>
      <w:pPr>
        <w:pStyle w:val="Normal"/>
        <w:spacing w:before="0" w:after="0"/>
        <w:jc w:val="both"/>
        <w:rPr>
          <w:lang w:val="en-GB"/>
        </w:rPr>
      </w:pPr>
      <w:r>
        <w:rPr>
          <w:lang w:val="en-GB"/>
        </w:rPr>
      </w:r>
    </w:p>
    <w:p>
      <w:pPr>
        <w:pStyle w:val="Normal"/>
        <w:spacing w:before="0" w:after="0"/>
        <w:jc w:val="both"/>
        <w:rPr>
          <w:lang w:val="en-GB"/>
        </w:rPr>
      </w:pPr>
      <w:r>
        <w:rPr>
          <w:lang w:val="en-GB"/>
        </w:rPr>
        <w:t>Upon repair of the malfunctioning unit, returning the repaired unit to the Authorised User for replacement.</w:t>
      </w:r>
    </w:p>
    <w:p>
      <w:pPr>
        <w:pStyle w:val="Normal"/>
        <w:spacing w:before="0" w:after="0"/>
        <w:jc w:val="both"/>
        <w:rPr>
          <w:lang w:val="en-GB"/>
        </w:rPr>
      </w:pPr>
      <w:r>
        <w:rPr>
          <w:lang w:val="en-GB"/>
        </w:rPr>
      </w:r>
    </w:p>
    <w:p>
      <w:pPr>
        <w:pStyle w:val="Normal"/>
        <w:spacing w:before="0" w:after="0"/>
        <w:jc w:val="both"/>
        <w:rPr>
          <w:lang w:val="en-GB"/>
        </w:rPr>
      </w:pPr>
      <w:r>
        <w:rPr>
          <w:lang w:val="en-GB"/>
        </w:rPr>
      </w:r>
    </w:p>
    <w:p>
      <w:pPr>
        <w:pStyle w:val="Heading2Numbered"/>
        <w:numPr>
          <w:ilvl w:val="1"/>
          <w:numId w:val="2"/>
        </w:numPr>
        <w:ind w:hanging="0" w:start="0"/>
        <w:jc w:val="both"/>
        <w:rPr>
          <w:sz w:val="22"/>
          <w:szCs w:val="22"/>
          <w:lang w:val="en-GB"/>
        </w:rPr>
      </w:pPr>
      <w:bookmarkStart w:id="31" w:name="__RefHeading___Toc150051218"/>
      <w:bookmarkEnd w:id="31"/>
      <w:r>
        <w:rPr>
          <w:sz w:val="22"/>
          <w:szCs w:val="22"/>
          <w:lang w:val="en-GB"/>
        </w:rPr>
        <w:t>Mobile access and support</w:t>
      </w:r>
    </w:p>
    <w:p>
      <w:pPr>
        <w:pStyle w:val="Normal"/>
        <w:spacing w:before="0" w:after="0"/>
        <w:jc w:val="both"/>
        <w:rPr>
          <w:lang w:val="en-GB"/>
        </w:rPr>
      </w:pPr>
      <w:r>
        <w:rPr>
          <w:lang w:val="en-GB"/>
        </w:rPr>
        <w:t>The PST Supplier’s responsibilities include:</w:t>
      </w:r>
    </w:p>
    <w:p>
      <w:pPr>
        <w:pStyle w:val="Normal"/>
        <w:spacing w:before="0" w:after="0"/>
        <w:jc w:val="both"/>
        <w:rPr>
          <w:lang w:val="en-GB"/>
        </w:rPr>
      </w:pPr>
      <w:r>
        <w:rPr>
          <w:lang w:val="en-GB"/>
        </w:rPr>
      </w:r>
    </w:p>
    <w:p>
      <w:pPr>
        <w:pStyle w:val="Normal"/>
        <w:spacing w:before="0" w:after="0"/>
        <w:ind w:hanging="720" w:start="720" w:end="0"/>
        <w:jc w:val="both"/>
        <w:rPr/>
      </w:pPr>
      <w:r>
        <w:rPr>
          <w:lang w:val="en-GB"/>
        </w:rPr>
        <w:t>a)</w:t>
        <w:tab/>
        <w:t>Providing support for Authorised Users who are travelling or remotely accessing LAN-based services or a non-connected Site, including access to the Service Desk technical support.</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b)</w:t>
        <w:tab/>
        <w:t>Providing the ability for roaming EuroBank Authorised Users to seamlessly connect from all EuroBank Sites.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c)</w:t>
        <w:tab/>
        <w:t>Providing the ability for EuroBank Authorised Users to seamlessly use file and print services while moving in the EuroBank environment.</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d)</w:t>
        <w:tab/>
        <w:t>Supporting and further developing a solution for self-service printer administration.</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e)</w:t>
        <w:tab/>
        <w:t>Supporting and further developing a solution for data backup and data replication for mobile and remote Authorised Users.</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f)</w:t>
        <w:tab/>
        <w:t xml:space="preserve">Providing System Software updates in emergency situations to remote and mobile Authorised Users (for example, virus, security threats, etc.). The distribution of these System Software updates to mobile Authorised Users will be automatically executed during dialup sessions into EuroBank’s network. </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g)</w:t>
        <w:tab/>
        <w:t>Providing System Software deployment and patch distribution for mobile and remote Authorised Users in a timely fashion.</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h)</w:t>
        <w:tab/>
        <w:t>Supporting and further developing a solution for local data encryption for mobile and remote Authorised Users.</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i)</w:t>
        <w:tab/>
        <w:t>Providing a process for replacement of stolen or damaged machines used by mobile Authorised Users, including installation of Authorised User-specific System Software portfolio and pre-loading of Authorised User-specific databases.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j)</w:t>
        <w:tab/>
        <w:t>Supporting and further developing a solution to protect machines that are directly connected to the Internet by use of a local firewall that meets or exceeds industry standards.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k)</w:t>
        <w:tab/>
        <w:t>Deploying and supporting all standard applications in a mobile environment as well as applications that require Authorised User-specific databases (for example, CRM, etc.).</w:t>
      </w:r>
    </w:p>
    <w:p>
      <w:pPr>
        <w:pStyle w:val="Heading2Numbered"/>
        <w:numPr>
          <w:ilvl w:val="1"/>
          <w:numId w:val="2"/>
        </w:numPr>
        <w:ind w:hanging="0" w:start="0"/>
        <w:jc w:val="both"/>
        <w:rPr>
          <w:sz w:val="22"/>
          <w:szCs w:val="22"/>
          <w:lang w:val="en-GB"/>
        </w:rPr>
      </w:pPr>
      <w:bookmarkStart w:id="32" w:name="__RefHeading___Toc150051219"/>
      <w:bookmarkEnd w:id="32"/>
      <w:r>
        <w:rPr>
          <w:sz w:val="22"/>
          <w:szCs w:val="22"/>
          <w:lang w:val="en-GB"/>
        </w:rPr>
        <w:t>Mobile Repair and Maintenance (a)</w:t>
      </w:r>
    </w:p>
    <w:p>
      <w:pPr>
        <w:pStyle w:val="Normal"/>
        <w:spacing w:before="0" w:after="0"/>
        <w:ind w:hanging="720" w:start="720" w:end="0"/>
        <w:jc w:val="both"/>
        <w:rPr/>
      </w:pPr>
      <w:r>
        <w:rPr>
          <w:lang w:val="en-GB"/>
        </w:rPr>
        <w:t>a)</w:t>
        <w:tab/>
        <w:t>The PST Supplier’s responsibilities for providing repair and maintenance services for mobile Equipment and System Software utilised by mobile Authorised Users (for example, laptops, portable printers, etc.) include:</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b)</w:t>
        <w:tab/>
        <w:t>Wherever possible, supporting and repairing the defective unit using remote system management tools, in which corrective maintenance can be performed on an Authorised User’s machine via remote access to the unit by the PST Supplier.</w:t>
      </w:r>
    </w:p>
    <w:p>
      <w:pPr>
        <w:pStyle w:val="Heading2Numbered"/>
        <w:numPr>
          <w:ilvl w:val="1"/>
          <w:numId w:val="2"/>
        </w:numPr>
        <w:ind w:hanging="0" w:start="0"/>
        <w:jc w:val="both"/>
        <w:rPr>
          <w:sz w:val="22"/>
          <w:szCs w:val="22"/>
          <w:lang w:val="en-GB"/>
        </w:rPr>
      </w:pPr>
      <w:bookmarkStart w:id="33" w:name="__RefHeading___Toc150051220"/>
      <w:bookmarkEnd w:id="33"/>
      <w:r>
        <w:rPr>
          <w:sz w:val="22"/>
          <w:szCs w:val="22"/>
          <w:lang w:val="en-GB"/>
        </w:rPr>
        <w:t>Mobile Repair and Maintenance (b)</w:t>
      </w:r>
    </w:p>
    <w:p>
      <w:pPr>
        <w:pStyle w:val="Normal"/>
        <w:spacing w:before="0" w:after="0"/>
        <w:ind w:hanging="720" w:start="720" w:end="0"/>
        <w:jc w:val="both"/>
        <w:rPr/>
      </w:pPr>
      <w:r>
        <w:rPr>
          <w:lang w:val="en-GB"/>
        </w:rPr>
        <w:t>a)</w:t>
        <w:tab/>
        <w:t>Immediately upon determination that an Equipment or System Software problem cannot be fixed remotely and the problem is a priority level 2 level, sending an entire spare unit (or peripheral, if possible) to the Authorised User and verifying that any peripheral component to be sent is compatible with the Authorised User’s unit.</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b)</w:t>
        <w:tab/>
        <w:t>If an entire configuration needs to be sent, ensuring that the configuration is in accordance with EuroBank’s Standard Product configuration (including all authorised System Software that has been recorded in the Asset Inventory and Management System for the defective unit).</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c)</w:t>
        <w:tab/>
        <w:t>Enclosing the necessary packing material and self-addressed mailing materials with the replacement unit, so that the Authorised User can return the malfunctioning unit to the PST Supplier once the data has been copied from the malfunctioning unit to the replacement unit.</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d)</w:t>
        <w:tab/>
        <w:t>Upon repair of the malfunctioning unit, returning the repaired unit to the Authorised User for replacement.</w:t>
      </w:r>
    </w:p>
    <w:p>
      <w:pPr>
        <w:pStyle w:val="Normal"/>
        <w:spacing w:before="0" w:after="0"/>
        <w:jc w:val="both"/>
        <w:rPr>
          <w:lang w:val="en-GB"/>
        </w:rPr>
      </w:pPr>
      <w:r>
        <w:rPr>
          <w:lang w:val="en-GB"/>
        </w:rPr>
      </w:r>
    </w:p>
    <w:sectPr>
      <w:headerReference w:type="default" r:id="rId12"/>
      <w:headerReference w:type="first" r:id="rId13"/>
      <w:footerReference w:type="default" r:id="rId14"/>
      <w:footerReference w:type="first" r:id="rId15"/>
      <w:type w:val="nextPage"/>
      <w:pgSz w:w="11906" w:h="16838"/>
      <w:pgMar w:left="1729" w:right="1729" w:gutter="0" w:header="720" w:top="776" w:footer="720" w:bottom="109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right" w:pos="8460" w:leader="none"/>
      </w:tabs>
      <w:spacing w:before="120" w:after="120"/>
      <w:rPr>
        <w:sz w:val="16"/>
        <w:szCs w:val="16"/>
      </w:rPr>
    </w:pPr>
    <w:r>
      <w:rPr>
        <w:sz w:val="16"/>
        <w:szCs w:val="16"/>
      </w:rPr>
      <w:t>Ops&amp;IT Banking 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w:t>
    </w:r>
    <w:r>
      <w:rPr>
        <w:sz w:val="16"/>
        <w:szCs w:val="16"/>
      </w:rPr>
      <w:fldChar w:fldCharType="end"/>
    </w:r>
    <w:r>
      <w:rPr>
        <w:sz w:val="16"/>
        <w:szCs w:val="16"/>
      </w:rPr>
      <w:t xml:space="preserve"> -</w:t>
      <w:tab/>
      <w:t>30/11//2006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46</w:t>
    </w:r>
    <w:r>
      <w:rPr>
        <w:sz w:val="16"/>
        <w:szCs w:val="16"/>
      </w:rPr>
      <w:fldChar w:fldCharType="end"/>
    </w:r>
    <w:r>
      <w:rPr>
        <w:sz w:val="16"/>
        <w:szCs w:val="16"/>
      </w:rPr>
      <w:t xml:space="preserve"> -</w:t>
      <w:tab/>
      <w:t>30/11/2006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1"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2.1 (End User Computing) Final v1.6.doc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2.1 (End User Computing) Final v1.6.doc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5"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Copy 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2.1 (End User Computing) Final v1.6.doc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2"/>
        <w:i w:val="false"/>
        <w:b/>
        <w:szCs w:val="22"/>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Bold;Times New Roman" w:hAnsi="Times New Roman Bold;Times New Roman" w:cs="Times New Roman Bold;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5">
    <w:lvl w:ilvl="0">
      <w:start w:val="1"/>
      <w:numFmt w:val="bullet"/>
      <w:lvlText w:val=""/>
      <w:lvlJc w:val="start"/>
      <w:pPr>
        <w:tabs>
          <w:tab w:val="num" w:pos="2160"/>
        </w:tabs>
        <w:ind w:start="2160" w:hanging="360"/>
      </w:pPr>
      <w:rPr>
        <w:rFonts w:ascii="Symbol" w:hAnsi="Symbol" w:cs="Symbol" w:hint="default"/>
      </w:rPr>
    </w:lvl>
  </w:abstractNum>
  <w:abstractNum w:abstractNumId="6">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7">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1z0">
    <w:name w:val="WW8Num1z0"/>
    <w:qFormat/>
    <w:rPr>
      <w:rFonts w:ascii="Times New Roman Bold;Times New Roman" w:hAnsi="Times New Roman Bold;Times New Roman" w:cs="Times New Roman Bold;Times New Roman"/>
      <w:b/>
      <w:i w:val="false"/>
      <w:sz w:val="22"/>
      <w:szCs w:val="22"/>
    </w:rPr>
  </w:style>
  <w:style w:type="character" w:styleId="WW8Num1z2">
    <w:name w:val="WW8Num1z2"/>
    <w:qFormat/>
    <w:rPr>
      <w:rFonts w:ascii="Times New Roman" w:hAnsi="Times New Roman" w:cs="Times New Roman"/>
      <w:b/>
      <w:i w:val="false"/>
      <w:sz w:val="22"/>
      <w:szCs w:val="22"/>
    </w:rPr>
  </w:style>
  <w:style w:type="character" w:styleId="WW8Num1z3">
    <w:name w:val="WW8Num1z3"/>
    <w:qFormat/>
    <w:rPr>
      <w:rFonts w:ascii="Times New Roman Bold;Times New Roman" w:hAnsi="Times New Roman Bold;Times New Roman" w:cs="Times New Roman Bold;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Times New Roman" w:hAnsi="Times New Roman" w:cs="Times New Roman"/>
      <w:b w:val="false"/>
      <w:i w:val="false"/>
      <w:color w:val="000000"/>
      <w:sz w:val="22"/>
    </w:rPr>
  </w:style>
  <w:style w:type="character" w:styleId="WW8Num7z1">
    <w:name w:val="WW8Num7z1"/>
    <w:qFormat/>
    <w:rPr>
      <w:rFonts w:ascii="Times New Roman" w:hAnsi="Times New Roman" w:cs="Times New Roman"/>
      <w:b w:val="false"/>
      <w:i w:val="false"/>
      <w:sz w:val="22"/>
    </w:rPr>
  </w:style>
  <w:style w:type="character" w:styleId="WW8Num7z4">
    <w:name w:val="WW8Num7z4"/>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Times New Roman" w:hAnsi="Times New Roman" w:cs="Times New Roman"/>
      <w:b w:val="false"/>
      <w:i w:val="false"/>
      <w:color w:val="000000"/>
      <w:sz w:val="22"/>
    </w:rPr>
  </w:style>
  <w:style w:type="character" w:styleId="WW8Num10z1">
    <w:name w:val="WW8Num10z1"/>
    <w:qFormat/>
    <w:rPr>
      <w:rFonts w:ascii="Times New Roman" w:hAnsi="Times New Roman" w:cs="Times New Roman"/>
      <w:b w:val="false"/>
      <w:i w:val="false"/>
      <w:sz w:val="22"/>
    </w:rPr>
  </w:style>
  <w:style w:type="character" w:styleId="WW8Num10z4">
    <w:name w:val="WW8Num10z4"/>
    <w:qFormat/>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2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7"/>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6"/>
      </w:numPr>
    </w:pPr>
    <w:rPr>
      <w:bCs/>
    </w:rPr>
  </w:style>
  <w:style w:type="paragraph" w:styleId="TableLevel3Numbered">
    <w:name w:val="Table Level 3 Numbered"/>
    <w:basedOn w:val="Normal"/>
    <w:qFormat/>
    <w:pPr>
      <w:numPr>
        <w:ilvl w:val="0"/>
        <w:numId w:val="6"/>
      </w:numPr>
    </w:pPr>
    <w:rPr/>
  </w:style>
  <w:style w:type="paragraph" w:styleId="TableLevel4Numbered">
    <w:name w:val="Table Level 4 Numbered"/>
    <w:basedOn w:val="Normal"/>
    <w:qFormat/>
    <w:pPr>
      <w:numPr>
        <w:ilvl w:val="0"/>
        <w:numId w:val="6"/>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4"/>
      </w:numPr>
      <w:spacing w:before="240" w:after="240"/>
    </w:pPr>
    <w:rPr/>
  </w:style>
  <w:style w:type="paragraph" w:styleId="BodyLevel2Numbered">
    <w:name w:val="Body Level 2 Numbered"/>
    <w:basedOn w:val="Normal"/>
    <w:qFormat/>
    <w:pPr>
      <w:numPr>
        <w:ilvl w:val="0"/>
        <w:numId w:val="4"/>
      </w:numPr>
      <w:spacing w:before="240" w:after="240"/>
    </w:pPr>
    <w:rPr/>
  </w:style>
  <w:style w:type="paragraph" w:styleId="BodyLevel3Numbered">
    <w:name w:val="Body Level 3 Numbered"/>
    <w:basedOn w:val="Normal"/>
    <w:qFormat/>
    <w:pPr>
      <w:numPr>
        <w:ilvl w:val="0"/>
        <w:numId w:val="4"/>
      </w:numPr>
      <w:spacing w:before="240" w:after="240"/>
    </w:pPr>
    <w:rPr/>
  </w:style>
  <w:style w:type="paragraph" w:styleId="BodyLevel4Numbered">
    <w:name w:val="Body Level 4 Numbered"/>
    <w:basedOn w:val="Normal"/>
    <w:qFormat/>
    <w:pPr>
      <w:numPr>
        <w:ilvl w:val="0"/>
        <w:numId w:val="4"/>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2.png"/><Relationship Id="rId9" Type="http://schemas.openxmlformats.org/officeDocument/2006/relationships/image" Target="media/image3.wmf"/><Relationship Id="rId10" Type="http://schemas.openxmlformats.org/officeDocument/2006/relationships/oleObject" Target="embeddings/oleObject1.bin"/><Relationship Id="rId11" Type="http://schemas.openxmlformats.org/officeDocument/2006/relationships/image" Target="media/image4.wmf"/><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3</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2006-11-30T17:25:00Z</dcterms:created>
  <dc:creator> </dc:creator>
  <dc:description/>
  <cp:keywords/>
  <dc:language>en-US</dc:language>
  <cp:lastModifiedBy>Stuart Johnson</cp:lastModifiedBy>
  <cp:lastPrinted>2005-07-04T16:19:00Z</cp:lastPrinted>
  <dcterms:modified xsi:type="dcterms:W3CDTF">2006-11-30T17:28:00Z</dcterms:modified>
  <cp:revision>3</cp:revision>
  <dc:subject/>
  <dc:title> </dc:title>
</cp:coreProperties>
</file>