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2.3</w:t>
      </w:r>
    </w:p>
    <w:p>
      <w:pPr>
        <w:pStyle w:val="Title"/>
        <w:rPr>
          <w:lang w:val="en-GB"/>
        </w:rPr>
      </w:pPr>
      <w:r>
        <w:rPr>
          <w:lang w:val="en-GB"/>
        </w:rPr>
      </w:r>
    </w:p>
    <w:p>
      <w:pPr>
        <w:pStyle w:val="Title"/>
        <w:rPr>
          <w:lang w:val="en-GB"/>
        </w:rPr>
      </w:pPr>
      <w:r>
        <w:rPr>
          <w:lang w:val="en-GB"/>
        </w:rPr>
        <w:t>Network Services</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\o "3-9" \t "Heading 1 Numbered,1,Heading 2 Numbered,2"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COMMON NETWORK SERVICES</w:t>
          </w:r>
          <w:r>
            <w:rPr>
              <w:sz w:val="18"/>
              <w:szCs w:val="18"/>
              <w:lang w:val="en-US" w:eastAsia="en-US"/>
            </w:rPr>
            <w:tab/>
          </w:r>
          <w:hyperlink w:anchor="__RefHeading___Toc148540276">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w:t>
          </w:r>
          <w:r>
            <w:rPr>
              <w:b w:val="false"/>
              <w:sz w:val="18"/>
              <w:szCs w:val="18"/>
              <w:lang w:val="en-US" w:eastAsia="en-US"/>
            </w:rPr>
            <w:tab/>
          </w:r>
          <w:r>
            <w:rPr>
              <w:sz w:val="18"/>
              <w:szCs w:val="18"/>
              <w:lang w:val="en-GB" w:eastAsia="en-US"/>
            </w:rPr>
            <w:t>Demarcation Boundaries of the Services and Sites</w:t>
          </w:r>
          <w:r>
            <w:rPr>
              <w:sz w:val="18"/>
              <w:szCs w:val="18"/>
              <w:lang w:val="en-US" w:eastAsia="en-US"/>
            </w:rPr>
            <w:tab/>
          </w:r>
          <w:hyperlink w:anchor="__RefHeading___Toc148540277">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1.2</w:t>
          </w:r>
          <w:r>
            <w:rPr>
              <w:b w:val="false"/>
              <w:sz w:val="18"/>
              <w:szCs w:val="18"/>
              <w:lang w:val="en-US" w:eastAsia="en-US"/>
            </w:rPr>
            <w:tab/>
          </w:r>
          <w:r>
            <w:rPr>
              <w:sz w:val="18"/>
              <w:szCs w:val="18"/>
              <w:lang w:val="en-GB" w:eastAsia="en-US"/>
            </w:rPr>
            <w:t>General Management Services</w:t>
          </w:r>
          <w:r>
            <w:rPr>
              <w:sz w:val="18"/>
              <w:szCs w:val="18"/>
              <w:lang w:val="en-US" w:eastAsia="en-US"/>
            </w:rPr>
            <w:tab/>
          </w:r>
          <w:hyperlink w:anchor="__RefHeading___Toc148540278">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1.3</w:t>
          </w:r>
          <w:r>
            <w:rPr>
              <w:b w:val="false"/>
              <w:sz w:val="18"/>
              <w:szCs w:val="18"/>
              <w:lang w:val="en-US" w:eastAsia="en-US"/>
            </w:rPr>
            <w:tab/>
          </w:r>
          <w:r>
            <w:rPr>
              <w:sz w:val="18"/>
              <w:szCs w:val="18"/>
              <w:lang w:val="en-GB" w:eastAsia="en-US"/>
            </w:rPr>
            <w:t>General Administration Services</w:t>
          </w:r>
          <w:r>
            <w:rPr>
              <w:sz w:val="18"/>
              <w:szCs w:val="18"/>
              <w:lang w:val="en-US" w:eastAsia="en-US"/>
            </w:rPr>
            <w:tab/>
          </w:r>
          <w:hyperlink w:anchor="__RefHeading___Toc148540279">
            <w:r>
              <w:rPr>
                <w:rStyle w:val="IndexLink"/>
                <w:sz w:val="18"/>
                <w:szCs w:val="18"/>
                <w:lang w:val="en-US" w:eastAsia="en-US"/>
              </w:rPr>
              <w:t>2</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1.4</w:t>
          </w:r>
          <w:r>
            <w:rPr>
              <w:b w:val="false"/>
              <w:sz w:val="18"/>
              <w:szCs w:val="18"/>
              <w:lang w:val="en-US" w:eastAsia="en-US"/>
            </w:rPr>
            <w:tab/>
          </w:r>
          <w:r>
            <w:rPr>
              <w:sz w:val="18"/>
              <w:szCs w:val="18"/>
              <w:lang w:val="en-GB" w:eastAsia="en-US"/>
            </w:rPr>
            <w:t>Third Party Management and Coordination</w:t>
          </w:r>
          <w:r>
            <w:rPr>
              <w:sz w:val="18"/>
              <w:szCs w:val="18"/>
              <w:lang w:val="en-US" w:eastAsia="en-US"/>
            </w:rPr>
            <w:tab/>
          </w:r>
          <w:hyperlink w:anchor="__RefHeading___Toc148540280">
            <w:r>
              <w:rPr>
                <w:rStyle w:val="IndexLink"/>
                <w:sz w:val="18"/>
                <w:szCs w:val="18"/>
                <w:lang w:val="en-US" w:eastAsia="en-US"/>
              </w:rPr>
              <w:t>3</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1.5</w:t>
          </w:r>
          <w:r>
            <w:rPr>
              <w:b w:val="false"/>
              <w:sz w:val="18"/>
              <w:szCs w:val="18"/>
              <w:lang w:val="en-US" w:eastAsia="en-US"/>
            </w:rPr>
            <w:tab/>
          </w:r>
          <w:r>
            <w:rPr>
              <w:sz w:val="18"/>
              <w:szCs w:val="18"/>
              <w:lang w:val="en-GB" w:eastAsia="en-US"/>
            </w:rPr>
            <w:t>Planning &amp; Design Services</w:t>
          </w:r>
          <w:r>
            <w:rPr>
              <w:sz w:val="18"/>
              <w:szCs w:val="18"/>
              <w:lang w:val="en-US" w:eastAsia="en-US"/>
            </w:rPr>
            <w:tab/>
          </w:r>
          <w:hyperlink w:anchor="__RefHeading___Toc148540281">
            <w:r>
              <w:rPr>
                <w:rStyle w:val="IndexLink"/>
                <w:sz w:val="18"/>
                <w:szCs w:val="18"/>
                <w:lang w:val="en-US" w:eastAsia="en-US"/>
              </w:rPr>
              <w:t>4</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1.6</w:t>
          </w:r>
          <w:r>
            <w:rPr>
              <w:b w:val="false"/>
              <w:sz w:val="18"/>
              <w:szCs w:val="18"/>
              <w:lang w:val="en-US" w:eastAsia="en-US"/>
            </w:rPr>
            <w:tab/>
          </w:r>
          <w:r>
            <w:rPr>
              <w:sz w:val="18"/>
              <w:szCs w:val="18"/>
              <w:lang w:val="en-GB" w:eastAsia="en-US"/>
            </w:rPr>
            <w:t>Performance Monitoring and Management Services</w:t>
          </w:r>
          <w:r>
            <w:rPr>
              <w:sz w:val="18"/>
              <w:szCs w:val="18"/>
              <w:lang w:val="en-US" w:eastAsia="en-US"/>
            </w:rPr>
            <w:tab/>
          </w:r>
          <w:hyperlink w:anchor="__RefHeading___Toc148540282">
            <w:r>
              <w:rPr>
                <w:rStyle w:val="IndexLink"/>
                <w:sz w:val="18"/>
                <w:szCs w:val="18"/>
                <w:lang w:val="en-US" w:eastAsia="en-US"/>
              </w:rPr>
              <w:t>8</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1.7</w:t>
          </w:r>
          <w:r>
            <w:rPr>
              <w:b w:val="false"/>
              <w:sz w:val="18"/>
              <w:szCs w:val="18"/>
              <w:lang w:val="en-US" w:eastAsia="en-US"/>
            </w:rPr>
            <w:tab/>
          </w:r>
          <w:r>
            <w:rPr>
              <w:sz w:val="18"/>
              <w:szCs w:val="18"/>
              <w:lang w:val="en-GB" w:eastAsia="en-US"/>
            </w:rPr>
            <w:t>Specific Capacity and Configuration Management</w:t>
          </w:r>
          <w:r>
            <w:rPr>
              <w:sz w:val="18"/>
              <w:szCs w:val="18"/>
              <w:lang w:val="en-US" w:eastAsia="en-US"/>
            </w:rPr>
            <w:tab/>
          </w:r>
          <w:hyperlink w:anchor="__RefHeading___Toc148540283">
            <w:r>
              <w:rPr>
                <w:rStyle w:val="IndexLink"/>
                <w:sz w:val="18"/>
                <w:szCs w:val="18"/>
                <w:lang w:val="en-US" w:eastAsia="en-US"/>
              </w:rPr>
              <w:t>9</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1.8</w:t>
          </w:r>
          <w:r>
            <w:rPr>
              <w:b w:val="false"/>
              <w:sz w:val="18"/>
              <w:szCs w:val="18"/>
              <w:lang w:val="en-US" w:eastAsia="en-US"/>
            </w:rPr>
            <w:tab/>
          </w:r>
          <w:r>
            <w:rPr>
              <w:sz w:val="18"/>
              <w:szCs w:val="18"/>
              <w:lang w:val="en-GB" w:eastAsia="en-US"/>
            </w:rPr>
            <w:t>Specific Availability Management</w:t>
          </w:r>
          <w:r>
            <w:rPr>
              <w:sz w:val="18"/>
              <w:szCs w:val="18"/>
              <w:lang w:val="en-US" w:eastAsia="en-US"/>
            </w:rPr>
            <w:tab/>
          </w:r>
          <w:hyperlink w:anchor="__RefHeading___Toc148540284">
            <w:r>
              <w:rPr>
                <w:rStyle w:val="IndexLink"/>
                <w:sz w:val="18"/>
                <w:szCs w:val="18"/>
                <w:lang w:val="en-US" w:eastAsia="en-US"/>
              </w:rPr>
              <w:t>10</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1.9</w:t>
          </w:r>
          <w:r>
            <w:rPr>
              <w:b w:val="false"/>
              <w:sz w:val="18"/>
              <w:szCs w:val="18"/>
              <w:lang w:val="en-US" w:eastAsia="en-US"/>
            </w:rPr>
            <w:tab/>
          </w:r>
          <w:r>
            <w:rPr>
              <w:sz w:val="18"/>
              <w:szCs w:val="18"/>
              <w:lang w:val="en-GB" w:eastAsia="en-US"/>
            </w:rPr>
            <w:t>Specific Performance Optimization</w:t>
          </w:r>
          <w:r>
            <w:rPr>
              <w:sz w:val="18"/>
              <w:szCs w:val="18"/>
              <w:lang w:val="en-US" w:eastAsia="en-US"/>
            </w:rPr>
            <w:tab/>
          </w:r>
          <w:hyperlink w:anchor="__RefHeading___Toc148540285">
            <w:r>
              <w:rPr>
                <w:rStyle w:val="IndexLink"/>
                <w:sz w:val="18"/>
                <w:szCs w:val="18"/>
                <w:lang w:val="en-US" w:eastAsia="en-US"/>
              </w:rPr>
              <w:t>11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1.10</w:t>
          </w:r>
          <w:r>
            <w:rPr>
              <w:b w:val="false"/>
              <w:sz w:val="18"/>
              <w:szCs w:val="18"/>
              <w:lang w:val="en-US" w:eastAsia="en-US"/>
            </w:rPr>
            <w:tab/>
          </w:r>
          <w:r>
            <w:rPr>
              <w:sz w:val="18"/>
              <w:szCs w:val="18"/>
              <w:lang w:val="en-GB" w:eastAsia="en-US"/>
            </w:rPr>
            <w:t>Network Control and Connectivity Services</w:t>
          </w:r>
          <w:r>
            <w:rPr>
              <w:sz w:val="18"/>
              <w:szCs w:val="18"/>
              <w:lang w:val="en-US" w:eastAsia="en-US"/>
            </w:rPr>
            <w:tab/>
          </w:r>
          <w:hyperlink w:anchor="__RefHeading___Toc148540286">
            <w:r>
              <w:rPr>
                <w:rStyle w:val="IndexLink"/>
                <w:sz w:val="18"/>
                <w:szCs w:val="18"/>
                <w:lang w:val="en-US" w:eastAsia="en-US"/>
              </w:rPr>
              <w:t>12</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1.11</w:t>
          </w:r>
          <w:r>
            <w:rPr>
              <w:b w:val="false"/>
              <w:sz w:val="18"/>
              <w:szCs w:val="18"/>
              <w:lang w:val="en-US" w:eastAsia="en-US"/>
            </w:rPr>
            <w:tab/>
          </w:r>
          <w:r>
            <w:rPr>
              <w:sz w:val="18"/>
              <w:szCs w:val="18"/>
              <w:lang w:val="en-GB" w:eastAsia="en-US"/>
            </w:rPr>
            <w:t>Other Network Operations Services</w:t>
          </w:r>
          <w:r>
            <w:rPr>
              <w:sz w:val="18"/>
              <w:szCs w:val="18"/>
              <w:lang w:val="en-US" w:eastAsia="en-US"/>
            </w:rPr>
            <w:tab/>
          </w:r>
          <w:hyperlink w:anchor="__RefHeading___Toc148540287">
            <w:r>
              <w:rPr>
                <w:rStyle w:val="IndexLink"/>
                <w:sz w:val="18"/>
                <w:szCs w:val="18"/>
                <w:lang w:val="en-US" w:eastAsia="en-US"/>
              </w:rPr>
              <w:t>13</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1.12</w:t>
          </w:r>
          <w:r>
            <w:rPr>
              <w:b w:val="false"/>
              <w:sz w:val="18"/>
              <w:szCs w:val="18"/>
              <w:lang w:val="en-US" w:eastAsia="en-US"/>
            </w:rPr>
            <w:tab/>
          </w:r>
          <w:r>
            <w:rPr>
              <w:sz w:val="18"/>
              <w:szCs w:val="18"/>
              <w:lang w:val="en-GB" w:eastAsia="en-US"/>
            </w:rPr>
            <w:t>Additional site Information and Documentation Services</w:t>
          </w:r>
          <w:r>
            <w:rPr>
              <w:sz w:val="18"/>
              <w:szCs w:val="18"/>
              <w:lang w:val="en-US" w:eastAsia="en-US"/>
            </w:rPr>
            <w:tab/>
          </w:r>
          <w:hyperlink w:anchor="__RefHeading___Toc148540288">
            <w:r>
              <w:rPr>
                <w:rStyle w:val="IndexLink"/>
                <w:sz w:val="18"/>
                <w:szCs w:val="18"/>
                <w:lang w:val="en-US" w:eastAsia="en-US"/>
              </w:rPr>
              <w:t>14</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1.13</w:t>
          </w:r>
          <w:r>
            <w:rPr>
              <w:b w:val="false"/>
              <w:sz w:val="18"/>
              <w:szCs w:val="18"/>
              <w:lang w:val="en-US" w:eastAsia="en-US"/>
            </w:rPr>
            <w:tab/>
          </w:r>
          <w:r>
            <w:rPr>
              <w:sz w:val="18"/>
              <w:szCs w:val="18"/>
              <w:lang w:val="en-GB" w:eastAsia="en-US"/>
            </w:rPr>
            <w:t>Power Supply Services</w:t>
          </w:r>
          <w:r>
            <w:rPr>
              <w:sz w:val="18"/>
              <w:szCs w:val="18"/>
              <w:lang w:val="en-US" w:eastAsia="en-US"/>
            </w:rPr>
            <w:tab/>
          </w:r>
          <w:hyperlink w:anchor="__RefHeading___Toc148540289">
            <w:r>
              <w:rPr>
                <w:rStyle w:val="IndexLink"/>
                <w:sz w:val="18"/>
                <w:szCs w:val="18"/>
                <w:lang w:val="en-US" w:eastAsia="en-US"/>
              </w:rPr>
              <w:t>15</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1.14</w:t>
          </w:r>
          <w:r>
            <w:rPr>
              <w:b w:val="false"/>
              <w:sz w:val="18"/>
              <w:szCs w:val="18"/>
              <w:lang w:val="en-US" w:eastAsia="en-US"/>
            </w:rPr>
            <w:tab/>
          </w:r>
          <w:r>
            <w:rPr>
              <w:sz w:val="18"/>
              <w:szCs w:val="18"/>
              <w:lang w:val="en-GB" w:eastAsia="en-US"/>
            </w:rPr>
            <w:t>Cabling and Wiring Services</w:t>
          </w:r>
          <w:r>
            <w:rPr>
              <w:sz w:val="18"/>
              <w:szCs w:val="18"/>
              <w:lang w:val="en-US" w:eastAsia="en-US"/>
            </w:rPr>
            <w:tab/>
          </w:r>
          <w:hyperlink w:anchor="__RefHeading___Toc148540290">
            <w:r>
              <w:rPr>
                <w:rStyle w:val="IndexLink"/>
                <w:sz w:val="18"/>
                <w:szCs w:val="18"/>
                <w:lang w:val="en-US" w:eastAsia="en-US"/>
              </w:rPr>
              <w:t>15</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1.15</w:t>
          </w:r>
          <w:r>
            <w:rPr>
              <w:b w:val="false"/>
              <w:sz w:val="18"/>
              <w:szCs w:val="18"/>
              <w:lang w:val="en-US" w:eastAsia="en-US"/>
            </w:rPr>
            <w:tab/>
          </w:r>
          <w:r>
            <w:rPr>
              <w:sz w:val="18"/>
              <w:szCs w:val="18"/>
              <w:lang w:val="en-GB" w:eastAsia="en-US"/>
            </w:rPr>
            <w:t>Software Currency and Support Services</w:t>
          </w:r>
          <w:r>
            <w:rPr>
              <w:sz w:val="18"/>
              <w:szCs w:val="18"/>
              <w:lang w:val="en-US" w:eastAsia="en-US"/>
            </w:rPr>
            <w:tab/>
          </w:r>
          <w:hyperlink w:anchor="__RefHeading___Toc148540291">
            <w:r>
              <w:rPr>
                <w:rStyle w:val="IndexLink"/>
                <w:sz w:val="18"/>
                <w:szCs w:val="18"/>
                <w:lang w:val="en-US" w:eastAsia="en-US"/>
              </w:rPr>
              <w:t>16</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1.16</w:t>
          </w:r>
          <w:r>
            <w:rPr>
              <w:b w:val="false"/>
              <w:sz w:val="18"/>
              <w:szCs w:val="18"/>
              <w:lang w:val="en-US" w:eastAsia="en-US"/>
            </w:rPr>
            <w:tab/>
          </w:r>
          <w:r>
            <w:rPr>
              <w:sz w:val="18"/>
              <w:szCs w:val="18"/>
              <w:lang w:val="en-GB" w:eastAsia="en-US"/>
            </w:rPr>
            <w:t>Specific Network Security Services</w:t>
          </w:r>
          <w:r>
            <w:rPr>
              <w:sz w:val="18"/>
              <w:szCs w:val="18"/>
              <w:lang w:val="en-US" w:eastAsia="en-US"/>
            </w:rPr>
            <w:tab/>
          </w:r>
          <w:hyperlink w:anchor="__RefHeading___Toc148540292">
            <w:r>
              <w:rPr>
                <w:rStyle w:val="IndexLink"/>
                <w:sz w:val="18"/>
                <w:szCs w:val="18"/>
                <w:lang w:val="en-US" w:eastAsia="en-US"/>
              </w:rPr>
              <w:t>17</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2.</w:t>
          </w:r>
          <w:r>
            <w:rPr>
              <w:b w:val="false"/>
              <w:sz w:val="18"/>
              <w:szCs w:val="18"/>
              <w:lang w:val="en-US" w:eastAsia="en-US"/>
            </w:rPr>
            <w:tab/>
          </w:r>
          <w:r>
            <w:rPr>
              <w:sz w:val="18"/>
              <w:szCs w:val="18"/>
              <w:lang w:val="en-GB" w:eastAsia="en-US"/>
            </w:rPr>
            <w:t>LOCAL AREA NETWORK (LAN) SERVICES</w:t>
          </w:r>
          <w:r>
            <w:rPr>
              <w:sz w:val="18"/>
              <w:szCs w:val="18"/>
              <w:lang w:val="en-US" w:eastAsia="en-US"/>
            </w:rPr>
            <w:tab/>
          </w:r>
          <w:hyperlink w:anchor="__RefHeading___Toc148540293">
            <w:r>
              <w:rPr>
                <w:rStyle w:val="IndexLink"/>
                <w:sz w:val="18"/>
                <w:szCs w:val="18"/>
                <w:lang w:val="en-US" w:eastAsia="en-US"/>
              </w:rPr>
              <w:t>18</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2.1</w:t>
          </w:r>
          <w:r>
            <w:rPr>
              <w:b w:val="false"/>
              <w:sz w:val="18"/>
              <w:szCs w:val="18"/>
              <w:lang w:val="en-US" w:eastAsia="en-US"/>
            </w:rPr>
            <w:tab/>
          </w:r>
          <w:r>
            <w:rPr>
              <w:sz w:val="18"/>
              <w:szCs w:val="18"/>
              <w:lang w:val="en-GB" w:eastAsia="en-US"/>
            </w:rPr>
            <w:t>LAN Services – Technical Requirements</w:t>
          </w:r>
          <w:r>
            <w:rPr>
              <w:sz w:val="18"/>
              <w:szCs w:val="18"/>
              <w:lang w:val="en-US" w:eastAsia="en-US"/>
            </w:rPr>
            <w:tab/>
          </w:r>
          <w:hyperlink w:anchor="__RefHeading___Toc148540294">
            <w:r>
              <w:rPr>
                <w:rStyle w:val="IndexLink"/>
                <w:sz w:val="18"/>
                <w:szCs w:val="18"/>
                <w:lang w:val="en-US" w:eastAsia="en-US"/>
              </w:rPr>
              <w:t>18</w:t>
            </w:r>
          </w:hyperlink>
        </w:p>
        <w:p>
          <w:pPr>
            <w:pStyle w:val="TOC2"/>
            <w:tabs>
              <w:tab w:val="clear" w:pos="720"/>
              <w:tab w:val="left" w:pos="880" w:leader="none"/>
              <w:tab w:val="right" w:pos="8441" w:leader="dot"/>
            </w:tabs>
            <w:rPr>
              <w:sz w:val="18"/>
              <w:szCs w:val="18"/>
              <w:lang w:val="en-US" w:eastAsia="en-US"/>
            </w:rPr>
          </w:pPr>
          <w:r>
            <w:rPr>
              <w:b w:val="false"/>
              <w:sz w:val="18"/>
              <w:szCs w:val="18"/>
              <w:lang w:val="en-GB" w:eastAsia="en-US"/>
            </w:rPr>
            <w:t>2.2</w:t>
          </w:r>
          <w:r>
            <w:rPr>
              <w:b w:val="false"/>
              <w:sz w:val="18"/>
              <w:szCs w:val="18"/>
              <w:lang w:val="en-US" w:eastAsia="en-US"/>
            </w:rPr>
            <w:tab/>
          </w:r>
          <w:r>
            <w:rPr>
              <w:b w:val="false"/>
              <w:sz w:val="18"/>
              <w:szCs w:val="18"/>
              <w:lang w:val="en-GB" w:eastAsia="en-US"/>
            </w:rPr>
            <w:t>LAN Services – Installation and Removal Services</w:t>
          </w:r>
          <w:r>
            <w:rPr>
              <w:b w:val="false"/>
              <w:sz w:val="18"/>
              <w:szCs w:val="18"/>
              <w:lang w:val="en-US" w:eastAsia="en-US"/>
            </w:rPr>
            <w:tab/>
          </w:r>
          <w:hyperlink w:anchor="__RefHeading___Toc148540295">
            <w:r>
              <w:rPr>
                <w:rStyle w:val="IndexLink"/>
                <w:b w:val="false"/>
                <w:sz w:val="18"/>
                <w:szCs w:val="18"/>
                <w:lang w:val="en-US" w:eastAsia="en-US"/>
              </w:rPr>
              <w:t>19</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caps/>
          <w:sz w:val="18"/>
          <w:szCs w:val="18"/>
          <w:lang w:val="en-GB"/>
        </w:rPr>
      </w:pPr>
      <w:r>
        <w:rPr>
          <w:caps/>
          <w:sz w:val="18"/>
          <w:szCs w:val="18"/>
          <w:lang w:val="en-GB"/>
        </w:rPr>
      </w:r>
    </w:p>
    <w:p>
      <w:pPr>
        <w:pStyle w:val="Normal"/>
        <w:jc w:val="both"/>
        <w:rPr>
          <w:szCs w:val="22"/>
          <w:lang w:val="en-GB"/>
        </w:rPr>
      </w:pPr>
      <w:r>
        <w:rPr>
          <w:szCs w:val="22"/>
          <w:lang w:val="en-GB"/>
        </w:rPr>
      </w:r>
    </w:p>
    <w:p>
      <w:pPr>
        <w:pStyle w:val="Heading1Numbered"/>
        <w:numPr>
          <w:ilvl w:val="0"/>
          <w:numId w:val="2"/>
        </w:numPr>
        <w:ind w:hanging="0" w:start="0"/>
        <w:rPr>
          <w:sz w:val="22"/>
          <w:szCs w:val="22"/>
          <w:lang w:val="en-GB"/>
        </w:rPr>
      </w:pPr>
      <w:bookmarkStart w:id="0" w:name="__RefHeading___Toc148540276"/>
      <w:bookmarkEnd w:id="0"/>
      <w:r>
        <w:rPr>
          <w:sz w:val="22"/>
          <w:szCs w:val="22"/>
          <w:lang w:val="en-GB"/>
        </w:rPr>
        <w:t>COMMON NETWORK SERVICES</w:t>
      </w:r>
    </w:p>
    <w:p>
      <w:pPr>
        <w:pStyle w:val="Heading2Numbered"/>
        <w:numPr>
          <w:ilvl w:val="1"/>
          <w:numId w:val="2"/>
        </w:numPr>
        <w:ind w:hanging="0" w:start="0"/>
        <w:rPr>
          <w:sz w:val="22"/>
          <w:szCs w:val="22"/>
          <w:lang w:val="en-GB"/>
        </w:rPr>
      </w:pPr>
      <w:bookmarkStart w:id="1" w:name="__RefHeading___Toc148540277"/>
      <w:bookmarkEnd w:id="1"/>
      <w:r>
        <w:rPr>
          <w:sz w:val="22"/>
          <w:szCs w:val="22"/>
          <w:lang w:val="en-GB"/>
        </w:rPr>
        <w:t>Demarcation Boundaries of the Services and Sites</w:t>
      </w:r>
    </w:p>
    <w:p>
      <w:pPr>
        <w:pStyle w:val="Normal"/>
        <w:spacing w:before="0" w:after="0"/>
        <w:jc w:val="both"/>
        <w:rPr>
          <w:sz w:val="22"/>
          <w:szCs w:val="22"/>
          <w:lang w:val="en-GB"/>
        </w:rPr>
      </w:pPr>
      <w:r>
        <w:rPr>
          <w:sz w:val="22"/>
          <w:szCs w:val="22"/>
          <w:lang w:val="en-GB"/>
        </w:rPr>
      </w:r>
    </w:p>
    <w:p>
      <w:pPr>
        <w:pStyle w:val="Normal"/>
        <w:spacing w:before="0" w:after="0"/>
        <w:jc w:val="both"/>
        <w:rPr>
          <w:szCs w:val="22"/>
          <w:lang w:val="en-GB"/>
        </w:rPr>
      </w:pPr>
      <w:r>
        <w:rPr>
          <w:szCs w:val="22"/>
          <w:u w:val="single"/>
          <w:lang w:val="en-GB"/>
        </w:rPr>
        <w:t>Layer-3 demarcation</w:t>
      </w:r>
      <w:r>
        <w:rPr>
          <w:szCs w:val="22"/>
          <w:lang w:val="en-GB"/>
        </w:rPr>
        <w: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Separate devices: switch in scope, router out of scope.</w:t>
      </w:r>
    </w:p>
    <w:p>
      <w:pPr>
        <w:pStyle w:val="Normal"/>
        <w:spacing w:before="0" w:after="0"/>
        <w:jc w:val="both"/>
        <w:rPr>
          <w:szCs w:val="22"/>
          <w:lang w:val="en-GB"/>
        </w:rPr>
      </w:pPr>
      <w:r>
        <w:rPr>
          <w:szCs w:val="22"/>
          <w:lang w:val="en-GB"/>
        </w:rPr>
        <w:t>Integrated devices: router and switch are in scope. The PST Supplier has no responsibility for interconnections (WAN). Availability guaranteed only within demarcation line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The PST Supplier will perform the Services within the physical boundaries of the LAN, as depicted in Exhibit 18 that depicts the typical physical configurations, components, and boundaries of these Network Services. For EuroBank bank branch offices in the Netherlands core router LAN design and implementation activities are in scope, although the management of the router is out of scope.</w:t>
      </w:r>
    </w:p>
    <w:p>
      <w:pPr>
        <w:pStyle w:val="Normal"/>
        <w:spacing w:before="0" w:after="0"/>
        <w:ind w:hanging="720"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PST will also perform coordinating and facilitating activities regarding data communication IMACs for EuroBank bank branch offices in the Netherlands as well as EuroBank bank stand-alone ATMs. However, for non-WPS services this will be done on a best effort basis, but responsiveness will be at least equal to responsiveness on LAN IMACs. The activities on out of scope services will be combined with in scope activities.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The PST Supplier will undertake the Services across the sites as indicated in the chapter 1 of Exhibit 2.0 (</w:t>
      </w:r>
      <w:r>
        <w:rPr>
          <w:i/>
          <w:szCs w:val="22"/>
          <w:lang w:val="en-GB"/>
        </w:rPr>
        <w:t>Statement of Work</w:t>
      </w:r>
      <w:r>
        <w:rPr>
          <w:szCs w:val="22"/>
          <w:lang w:val="en-GB"/>
        </w:rPr>
        <w:t>).</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2" w:name="__RefHeading___Toc148540278"/>
      <w:bookmarkEnd w:id="2"/>
      <w:r>
        <w:rPr>
          <w:sz w:val="22"/>
          <w:szCs w:val="22"/>
          <w:lang w:val="en-GB"/>
        </w:rPr>
        <w:t>General Management Services</w:t>
      </w:r>
    </w:p>
    <w:p>
      <w:pPr>
        <w:pStyle w:val="Normal"/>
        <w:spacing w:before="0" w:after="0"/>
        <w:jc w:val="both"/>
        <w:rPr>
          <w:szCs w:val="22"/>
          <w:lang w:val="en-GB"/>
        </w:rPr>
      </w:pPr>
      <w:r>
        <w:rPr>
          <w:szCs w:val="22"/>
          <w:lang w:val="en-GB"/>
        </w:rPr>
        <w:t>For EuroBank, the PST Supplier will provide in scope services in a customer-dedicated approach for the delivery of the service, named Customer Unit that will result in a fully EuroBank-orientated delivery of the services.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 characteristic feature of the operating model is the customer dedication at the front through the presence of the EuroBank Customer Unit. This team will act as a single point of contact for the management of the LAN networks. In addition to that, the PST Supplier’s Customer Unit will provide EuroBank Authorized Users with technical support and advice (through the Service Desk) regarding the proper use and functionality of LAN Services.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To assure alignment and compliance to the Policies, change management procedures will be adapted to adhere to these policies.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Acting as a single point of contact for the management of the In Scope Network.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Based on EuroBank functional requirements and market trends develop an EuroBank approved Network strategy on a yearly basis and implement it in accordance with Change Management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Providing EuroBank Authorized Users with technical support and advice (through the Service Desk) regarding the proper use and functionality of Network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Analyzing and proposing cost effective Network Service alternatives.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Supporting and complying to the Policies</w:t>
      </w:r>
    </w:p>
    <w:p>
      <w:pPr>
        <w:pStyle w:val="Normal"/>
        <w:spacing w:before="0" w:after="0"/>
        <w:jc w:val="both"/>
        <w:rPr>
          <w:szCs w:val="22"/>
          <w:lang w:val="en-GB"/>
        </w:rPr>
      </w:pPr>
      <w:r>
        <w:rPr>
          <w:szCs w:val="22"/>
          <w:lang w:val="en-GB"/>
        </w:rPr>
      </w:r>
    </w:p>
    <w:p>
      <w:pPr>
        <w:pStyle w:val="Heading2Numbered"/>
        <w:numPr>
          <w:ilvl w:val="1"/>
          <w:numId w:val="2"/>
        </w:numPr>
        <w:ind w:hanging="0" w:start="0"/>
        <w:rPr>
          <w:sz w:val="22"/>
          <w:szCs w:val="22"/>
          <w:lang w:val="en-GB"/>
        </w:rPr>
      </w:pPr>
      <w:bookmarkStart w:id="3" w:name="__RefHeading___Toc148540279"/>
      <w:bookmarkEnd w:id="3"/>
      <w:r>
        <w:rPr>
          <w:sz w:val="22"/>
          <w:szCs w:val="22"/>
          <w:lang w:val="en-GB"/>
        </w:rPr>
        <w:t>General Administration Services</w:t>
      </w:r>
    </w:p>
    <w:p>
      <w:pPr>
        <w:pStyle w:val="Normal"/>
        <w:spacing w:before="0" w:after="0"/>
        <w:jc w:val="both"/>
        <w:rPr>
          <w:szCs w:val="22"/>
          <w:lang w:val="en-GB"/>
        </w:rPr>
      </w:pPr>
      <w:r>
        <w:rPr>
          <w:szCs w:val="22"/>
          <w:lang w:val="en-GB"/>
        </w:rPr>
        <w:t>Network administration services will be performed under control of the Customer Unit.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Within the PST Suppliers order/change process usage of consumables is monitored and reported. However common sense will prevail over detailed reporting. In other words consumables specifically ordered by Authorised Users will be charged to these Authorised Users. Consumable usage needed within the scope of the service (replacement patch cords for break-fix etc.), will not be monitored.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For storing of consumables and other EuroBank related equipment the PST Supplier will use the existing lockable room/space for storage free of charge unless otherwise agreed.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Customer Unit will be monitoring usage and procurement of licensing and also link to the 2IM License Management processes where necessary to support the Network Services.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w:t>
      </w:r>
      <w:r>
        <w:rPr>
          <w:b/>
          <w:i/>
          <w:szCs w:val="22"/>
          <w:lang w:val="en-GB"/>
        </w:rPr>
        <w:t>DDSD</w:t>
      </w:r>
      <w:r>
        <w:rPr>
          <w:szCs w:val="22"/>
          <w:lang w:val="en-GB"/>
        </w:rPr>
        <w:t xml:space="preserve"> (Detailed Design Specification Document) will be used for documenting all relevant aspects related to the Network services:</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Design criteria, strategy and standards as inputs to the wider strategy and architectural standards documentation, as defined by the 2IM in agreement with EuroBank.</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Topology documentation.</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use the current EuroBank building block designs to create the DDSD.</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In another document called </w:t>
      </w:r>
      <w:r>
        <w:rPr>
          <w:b/>
          <w:i/>
          <w:szCs w:val="22"/>
          <w:lang w:val="en-GB"/>
        </w:rPr>
        <w:t>DAP</w:t>
      </w:r>
      <w:r>
        <w:rPr>
          <w:szCs w:val="22"/>
          <w:lang w:val="en-GB"/>
        </w:rPr>
        <w:t xml:space="preserve"> (Document Agreements and Procedures) all relevant operational procedures are described. This includes:</w:t>
      </w:r>
    </w:p>
    <w:p>
      <w:pPr>
        <w:pStyle w:val="Normal"/>
        <w:spacing w:before="0" w:after="0"/>
        <w:jc w:val="both"/>
        <w:rPr>
          <w:szCs w:val="22"/>
          <w:lang w:val="en-GB"/>
        </w:rPr>
      </w:pPr>
      <w:r>
        <w:rPr>
          <w:szCs w:val="22"/>
          <w:lang w:val="en-GB"/>
        </w:rPr>
        <w:t>•</w:t>
        <w:tab/>
        <w:t>Escalation procedures, in agreement with the 2IM and EuroBank.</w:t>
      </w:r>
      <w:r>
        <w:rPr>
          <w:szCs w:val="22"/>
          <w:lang w:val="en-GB"/>
        </w:rPr>
      </w:r>
    </w:p>
    <w:p>
      <w:pPr>
        <w:pStyle w:val="Normal"/>
        <w:spacing w:before="0" w:after="0"/>
        <w:jc w:val="both"/>
        <w:rPr>
          <w:szCs w:val="22"/>
          <w:lang w:val="en-GB"/>
        </w:rPr>
      </w:pPr>
      <w:r>
        <w:rPr>
          <w:szCs w:val="22"/>
          <w:lang w:val="en-GB"/>
        </w:rPr>
        <w:t>•</w:t>
        <w:tab/>
        <w:t>Service acceptance procedures in agreement with the 2IM and EuroBank.</w:t>
      </w:r>
      <w:r>
        <w:rPr>
          <w:szCs w:val="22"/>
          <w:lang w:val="en-GB"/>
        </w:rPr>
      </w:r>
    </w:p>
    <w:p>
      <w:pPr>
        <w:pStyle w:val="Normal"/>
        <w:spacing w:before="0" w:after="0"/>
        <w:jc w:val="both"/>
        <w:rPr>
          <w:szCs w:val="22"/>
          <w:lang w:val="en-GB"/>
        </w:rPr>
      </w:pPr>
      <w:r>
        <w:rPr>
          <w:szCs w:val="22"/>
          <w:lang w:val="en-GB"/>
        </w:rPr>
        <w:t>•</w:t>
      </w:r>
      <w:r>
        <w:rPr>
          <w:szCs w:val="22"/>
          <w:lang w:val="en-GB"/>
        </w:rPr>
        <w:tab/>
        <w:t>Contact information.</w:t>
      </w:r>
    </w:p>
    <w:p>
      <w:pPr>
        <w:pStyle w:val="Normal"/>
        <w:spacing w:before="0" w:after="0"/>
        <w:jc w:val="both"/>
        <w:rPr>
          <w:szCs w:val="22"/>
          <w:lang w:val="en-GB"/>
        </w:rPr>
      </w:pPr>
      <w:r>
        <w:rPr>
          <w:szCs w:val="22"/>
          <w:lang w:val="en-GB"/>
        </w:rPr>
        <w:t>•</w:t>
        <w:tab/>
        <w:t>Operations procedures and services in accordance with 2IM and EuroBank agreed standards.</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Any internal and external (third party) Change Requests to these documents (DDSD and DAP) are under control of the PST Suppliers order/change process.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Monitoring usage of consumables, ordering and storing consumables for the environment (e.g. patch cables, cross connects, etc.)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Monitoring usage and procurement of licensing and link to the PST License Management processes where necessary to support the Network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Administering all Network requirements and activities including processing internal and external (third party) Change Requests.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Documenting all aspects of the managed Network Services (LAN) for EuroBank, including:</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Design criteria, strategy and standards as inputs to the wider strategy and architectural standards documentation, as defined by the 2IM in agreement with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Escalation procedures, in agreement with the 2IM and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Service acceptance procedures in agreement with the 2IM and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Topology documentation.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Contact information.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Documenting operations procedures and services in accordance with 2IM and EuroBank agreed standards.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Configuration Management in accordance with that process defined by the 2IM and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viii)</w:t>
        <w:tab/>
        <w:t xml:space="preserve">Working to and reporting against SLAs in accordance with the 2IM and EuroBank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ix)</w:t>
        <w:tab/>
        <w:t>Updating relevant site logs.</w:t>
      </w:r>
    </w:p>
    <w:p>
      <w:pPr>
        <w:pStyle w:val="Heading2Numbered"/>
        <w:numPr>
          <w:ilvl w:val="1"/>
          <w:numId w:val="2"/>
        </w:numPr>
        <w:ind w:hanging="0" w:start="0"/>
        <w:rPr>
          <w:sz w:val="22"/>
          <w:szCs w:val="22"/>
          <w:lang w:val="en-GB"/>
        </w:rPr>
      </w:pPr>
      <w:bookmarkStart w:id="4" w:name="__RefHeading___Toc148540280"/>
      <w:bookmarkEnd w:id="4"/>
      <w:r>
        <w:rPr>
          <w:sz w:val="22"/>
          <w:szCs w:val="22"/>
          <w:lang w:val="en-GB"/>
        </w:rPr>
        <w:t>Third Party Management and Coordination</w:t>
      </w:r>
    </w:p>
    <w:p>
      <w:pPr>
        <w:pStyle w:val="Normal"/>
        <w:spacing w:before="0" w:after="0"/>
        <w:jc w:val="both"/>
        <w:rPr/>
      </w:pPr>
      <w:r>
        <w:rPr>
          <w:szCs w:val="22"/>
          <w:lang w:val="en-GB"/>
        </w:rPr>
        <w:t>The PST Supplier will act as a managing and coordinating entity towards Third Party Vendors where the Third Party Vendor provides services to EuroBank in direct support of the Network, especially when the activities of the Third Party Vendor directly impact the performance or availability of the Network.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maintain technical support relationships with Third Parties to ensure proper, fast and adequate incident resolution and to provide answers to technical questions and requirements related to the use of its products or services.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agreement with the Third Party the PST Supplier will engage in an agreement with the Third Party to formalize the agreed procedures. If relevant the DAP will be updated to include detailed information regarding the agreement details with the Third party. At the minimum EuroBank must assign the PST Supplier an “agent” status, so that The PST Supplier can act towards third party as EuroBank representative.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service management system (DMS) is capable of monitoring and reporting on the Third Party’s compliance to Service Levels. Based on the reporting of the Service Level manager it is able to detect failure to perform, in accordance with the provisions of its agreement by Third Party.</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Service Level manager will evaluate and recommend retention, modification or termination of a Third Party based on the performance or cost benefits to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Managing and coordinating the activities of all Third Party Vendors where:</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The Third Party Vendor provides services to EuroBank in direct support of the Network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 xml:space="preserve">The activities of the Third Party Vendor directly impact the performance or availability of the Network.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Maintaining technical support relationships with Third Party Vendors to resolve Incidents with the Network and to provide answers to technical questions and requirements related to the use of its products or services.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Monitoring Third Party Vendor service delivery and performance in regard to the Network including:</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Monitoring the Third Party Vendor’s compliance with any service levels contained in any agreement between EuroBank and the Third Party Vendor and reporting this back to the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Notifying 2IM, EuroBank, and the Third Party Vendor of each Third Party Vendor failure to perform in accordance with the provisions of its agreement.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Evaluating and recommending retention, modification, or termination of a Third Party Vendor based on the performance or cost benefits to EuroBank as tracked by the PST Supplier.</w:t>
      </w:r>
    </w:p>
    <w:p>
      <w:pPr>
        <w:pStyle w:val="Heading2Numbered"/>
        <w:numPr>
          <w:ilvl w:val="1"/>
          <w:numId w:val="2"/>
        </w:numPr>
        <w:ind w:hanging="0" w:start="0"/>
        <w:rPr>
          <w:sz w:val="22"/>
          <w:szCs w:val="22"/>
          <w:lang w:val="en-GB"/>
        </w:rPr>
      </w:pPr>
      <w:bookmarkStart w:id="5" w:name="__RefHeading___Toc148540281"/>
      <w:bookmarkEnd w:id="5"/>
      <w:r>
        <w:rPr>
          <w:sz w:val="22"/>
          <w:szCs w:val="22"/>
          <w:lang w:val="en-GB"/>
        </w:rPr>
        <w:t>Planning &amp; Design Services</w:t>
      </w:r>
    </w:p>
    <w:p>
      <w:pPr>
        <w:pStyle w:val="Normal"/>
        <w:spacing w:before="0" w:after="0"/>
        <w:jc w:val="both"/>
        <w:rPr>
          <w:szCs w:val="22"/>
          <w:lang w:val="en-GB"/>
        </w:rPr>
      </w:pPr>
      <w:r>
        <w:rPr>
          <w:szCs w:val="22"/>
          <w:lang w:val="en-GB"/>
        </w:rPr>
        <w:t>The PST Supplier works closely with EuroBank on innovation and concentrates on the identification of business needs, the translation of those needs into concrete cost-lowering reduction and quality-enhancing solutions so that EuroBank can continue to compete in the market.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Due to changes in the market and due to new technological possibilities, network architecture will require continuous adjustments. This network life-cycle can be divided up into five phases:</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w:t>
      </w:r>
      <w:r>
        <w:rPr>
          <w:szCs w:val="22"/>
          <w:lang w:val="en-GB"/>
        </w:rPr>
        <w:tab/>
        <w:t>Design (and planning);</w:t>
      </w:r>
    </w:p>
    <w:p>
      <w:pPr>
        <w:pStyle w:val="Normal"/>
        <w:spacing w:before="0" w:after="0"/>
        <w:ind w:start="720" w:end="0"/>
        <w:jc w:val="both"/>
        <w:rPr>
          <w:szCs w:val="22"/>
          <w:lang w:val="en-GB"/>
        </w:rPr>
      </w:pPr>
      <w:r>
        <w:rPr>
          <w:szCs w:val="22"/>
          <w:lang w:val="en-GB"/>
        </w:rPr>
        <w:t>•</w:t>
      </w:r>
      <w:r>
        <w:rPr>
          <w:szCs w:val="22"/>
          <w:lang w:val="en-GB"/>
        </w:rPr>
        <w:tab/>
        <w:t>Implementation;</w:t>
      </w:r>
    </w:p>
    <w:p>
      <w:pPr>
        <w:pStyle w:val="Normal"/>
        <w:spacing w:before="0" w:after="0"/>
        <w:ind w:start="720" w:end="0"/>
        <w:jc w:val="both"/>
        <w:rPr>
          <w:szCs w:val="22"/>
          <w:lang w:val="en-GB"/>
        </w:rPr>
      </w:pPr>
      <w:r>
        <w:rPr>
          <w:szCs w:val="22"/>
          <w:lang w:val="en-GB"/>
        </w:rPr>
        <w:t>•</w:t>
      </w:r>
      <w:r>
        <w:rPr>
          <w:szCs w:val="22"/>
          <w:lang w:val="en-GB"/>
        </w:rPr>
        <w:tab/>
        <w:t>Exploitation;</w:t>
      </w:r>
    </w:p>
    <w:p>
      <w:pPr>
        <w:pStyle w:val="Normal"/>
        <w:spacing w:before="0" w:after="0"/>
        <w:ind w:start="720" w:end="0"/>
        <w:jc w:val="both"/>
        <w:rPr>
          <w:szCs w:val="22"/>
          <w:lang w:val="en-GB"/>
        </w:rPr>
      </w:pPr>
      <w:r>
        <w:rPr>
          <w:szCs w:val="22"/>
          <w:lang w:val="en-GB"/>
        </w:rPr>
        <w:t>•</w:t>
      </w:r>
      <w:r>
        <w:rPr>
          <w:szCs w:val="22"/>
          <w:lang w:val="en-GB"/>
        </w:rPr>
        <w:tab/>
        <w:t>Optimisation;</w:t>
      </w:r>
    </w:p>
    <w:p>
      <w:pPr>
        <w:pStyle w:val="Normal"/>
        <w:spacing w:before="0" w:after="0"/>
        <w:ind w:start="720" w:end="0"/>
        <w:jc w:val="both"/>
        <w:rPr>
          <w:szCs w:val="22"/>
          <w:lang w:val="en-GB"/>
        </w:rPr>
      </w:pPr>
      <w:r>
        <w:rPr>
          <w:szCs w:val="22"/>
          <w:lang w:val="en-GB"/>
        </w:rPr>
        <w:t>•</w:t>
      </w:r>
      <w:r>
        <w:rPr>
          <w:szCs w:val="22"/>
          <w:lang w:val="en-GB"/>
        </w:rPr>
        <w:tab/>
        <w:t>Decommissioning of legacy environment.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support given to EuroBank will focus on all the phases of this model.</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is able to perform the full cycle of work from consultancy to commissioning. This is based on the best possible mix of, on the one hand, the PST Suppliers integration knowledge on the specialist level of (ICT) infra-structures and the specialist knowledge of manufacturers about their products.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Based on the specific structure and environment of a committed organisation, the PST Supplier offers tailor-made ICT solutions for this making use of standard service forms of the manufacturer. The PST Supplier makes a proposition to exclusively build these ICT services tailor-made for its customers and to develop these further with its customers. The programme will be completely tailor-made for EuroBank. This will ensure a very high degree of flexibility and the best possible focus on the Authorised Users.</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Design</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PST Supplier will complete the design phase by means of dedicated specialist consultancy and support on various interfaces such as e.g.(including but not limited to) security and infrastructure, supplemented with specialist knowledge of the Third Party Vendor. This specialist knowledge will be supplemented with operational knowledge of the current network and the maintenance related to that. The PST Supplier will support EuroBank in this. For example, experienced consultants can be made available in the following specializations:</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w:t>
      </w:r>
      <w:r>
        <w:rPr>
          <w:szCs w:val="22"/>
          <w:lang w:val="en-GB"/>
        </w:rPr>
        <w:tab/>
        <w:t>(Business) Consultancy;</w:t>
      </w:r>
    </w:p>
    <w:p>
      <w:pPr>
        <w:pStyle w:val="Normal"/>
        <w:spacing w:before="0" w:after="0"/>
        <w:ind w:start="720" w:end="0"/>
        <w:jc w:val="both"/>
        <w:rPr>
          <w:szCs w:val="22"/>
          <w:lang w:val="en-GB"/>
        </w:rPr>
      </w:pPr>
      <w:r>
        <w:rPr>
          <w:szCs w:val="22"/>
          <w:lang w:val="en-GB"/>
        </w:rPr>
        <w:t>•</w:t>
      </w:r>
      <w:r>
        <w:rPr>
          <w:szCs w:val="22"/>
          <w:lang w:val="en-GB"/>
        </w:rPr>
        <w:tab/>
        <w:t>Technical Cisco consultancy (CCIE);</w:t>
      </w:r>
    </w:p>
    <w:p>
      <w:pPr>
        <w:pStyle w:val="Normal"/>
        <w:spacing w:before="0" w:after="0"/>
        <w:ind w:start="720" w:end="0"/>
        <w:jc w:val="both"/>
        <w:rPr/>
      </w:pPr>
      <w:r>
        <w:rPr>
          <w:szCs w:val="22"/>
          <w:lang w:val="en-GB"/>
        </w:rPr>
        <w:t>•</w:t>
      </w:r>
      <w:r>
        <w:rPr>
          <w:szCs w:val="22"/>
          <w:lang w:val="en-GB"/>
        </w:rPr>
        <w:tab/>
        <w:t>Technical consultancy on Network management systems;</w:t>
      </w:r>
    </w:p>
    <w:p>
      <w:pPr>
        <w:pStyle w:val="Normal"/>
        <w:spacing w:before="0" w:after="0"/>
        <w:ind w:start="720" w:end="0"/>
        <w:jc w:val="both"/>
        <w:rPr>
          <w:szCs w:val="22"/>
          <w:lang w:val="en-GB"/>
        </w:rPr>
      </w:pPr>
      <w:r>
        <w:rPr>
          <w:szCs w:val="22"/>
          <w:lang w:val="en-GB"/>
        </w:rPr>
        <w:t>•</w:t>
      </w:r>
      <w:r>
        <w:rPr>
          <w:szCs w:val="22"/>
          <w:lang w:val="en-GB"/>
        </w:rPr>
        <w:tab/>
        <w:t>Security consultancy;</w:t>
      </w:r>
    </w:p>
    <w:p>
      <w:pPr>
        <w:pStyle w:val="Normal"/>
        <w:spacing w:before="0" w:after="0"/>
        <w:ind w:start="720" w:end="0"/>
        <w:jc w:val="both"/>
        <w:rPr>
          <w:szCs w:val="22"/>
          <w:lang w:val="en-GB"/>
        </w:rPr>
      </w:pPr>
      <w:r>
        <w:rPr>
          <w:szCs w:val="22"/>
          <w:lang w:val="en-GB"/>
        </w:rPr>
        <w:t>•</w:t>
      </w:r>
      <w:r>
        <w:rPr>
          <w:szCs w:val="22"/>
          <w:lang w:val="en-GB"/>
        </w:rPr>
        <w:tab/>
        <w:t>Network consultancy.</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During the design phase the end product is generally a fully substantiated and detailed design and project plan that, after a “go/no go” for the financing, can be directly used in the implementation and exploitation phase.</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Implementation</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The responsibility for technical operability remains with the support team for as much as agreed in the design phase.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During the implementation use can be made of (temporary) knowledge and/or capacity and possible guidance and coordination to bring about the requisite rollout of the Network. </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Optimisation</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 xml:space="preserve">The optimisation phase will be used to fine-tune the ICT environment and to make it suitable for the changing information flows so that the network can be utilized as efficiently as possible. In consultation with all relevant parties, technical knowledge will be exchanged where necessary.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result of the programme is a higher availability of the EuroBank network and its customers. In addition the bundle supplier acts as a source of knowledge and a sounding board. The starting point is that this knowledge supplements own knowledge of EuroBank and other parties and that the aim is to transfer knowledge in the situations where that is applicable.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Part of the innovation activities function is developing and proposing new or enhanced Network plans, providing related designs on an ongoing basis and in conjunction with the Long Range IT plan as well as the functional requirements.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Within the development process (of the new and/or enhanced services) added attention will be given to documenting the criteria and assumptions used to develop plans and designs. After all, this information must also be included in the DDSD (Detailed Design Specification Document), and is relevant to ensure a optimal change process.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LAN equipment will be refreshed at the agreed frequency</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Concerning security aspects in the LAN environment: the Policies consist of physical, logical and organizational measures to ensure availability, confidentiality, risk mitigation integrity and audit ability of data and services.</w:t>
      </w:r>
    </w:p>
    <w:p>
      <w:pPr>
        <w:pStyle w:val="Normal"/>
        <w:spacing w:before="0" w:after="0"/>
        <w:jc w:val="both"/>
        <w:rPr>
          <w:szCs w:val="22"/>
          <w:lang w:val="en-GB"/>
        </w:rPr>
      </w:pPr>
      <w:r>
        <w:rPr>
          <w:szCs w:val="22"/>
          <w:lang w:val="en-GB"/>
        </w:rPr>
      </w:r>
    </w:p>
    <w:p>
      <w:pPr>
        <w:pStyle w:val="Normal"/>
        <w:spacing w:before="0" w:after="0"/>
        <w:ind w:start="720" w:end="0"/>
        <w:jc w:val="both"/>
        <w:rPr>
          <w:i/>
          <w:i/>
          <w:szCs w:val="22"/>
          <w:lang w:val="en-GB"/>
        </w:rPr>
      </w:pPr>
      <w:r>
        <w:rPr>
          <w:i/>
          <w:szCs w:val="22"/>
          <w:lang w:val="en-GB"/>
        </w:rPr>
        <w:t>Physical security</w:t>
      </w:r>
    </w:p>
    <w:p>
      <w:pPr>
        <w:pStyle w:val="Normal"/>
        <w:spacing w:before="0" w:after="0"/>
        <w:ind w:start="720" w:end="0"/>
        <w:jc w:val="both"/>
        <w:rPr>
          <w:i/>
          <w:i/>
          <w:szCs w:val="22"/>
          <w:lang w:val="en-GB"/>
        </w:rPr>
      </w:pPr>
      <w:r>
        <w:rPr>
          <w:i/>
          <w:szCs w:val="22"/>
          <w:lang w:val="en-GB"/>
        </w:rPr>
      </w:r>
    </w:p>
    <w:p>
      <w:pPr>
        <w:pStyle w:val="Normal"/>
        <w:spacing w:before="0" w:after="0"/>
        <w:ind w:start="720" w:end="0"/>
        <w:jc w:val="both"/>
        <w:rPr>
          <w:szCs w:val="22"/>
          <w:lang w:val="en-GB"/>
        </w:rPr>
      </w:pPr>
      <w:r>
        <w:rPr>
          <w:szCs w:val="22"/>
          <w:lang w:val="en-GB"/>
        </w:rPr>
        <w:t>The PST Supplier adheres to the ‘Code Informatiebeveiliging’, which is similar to the UK ‘BS7799’. In addition to this standard, PST Supplier will assess the current physical security policies of EuroBank, and adapt its physical security policies to the EuroBank standards as defined in Exhibit 30 and its Attachments. These additional policies, added to the BS7799 standards can be implemented at additional costs. PST Supplier will adhere to two-factor authentication as a standard. This authentication is a mix of knowledge (password) and possession (badge). The PST Supplier environments used for managing and monitoring network have strict entrance policies by use of badges.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i/>
          <w:i/>
          <w:szCs w:val="22"/>
          <w:lang w:val="en-GB"/>
        </w:rPr>
      </w:pPr>
      <w:r>
        <w:rPr>
          <w:i/>
          <w:szCs w:val="22"/>
          <w:lang w:val="en-GB"/>
        </w:rPr>
        <w:t>Logical security</w:t>
      </w:r>
    </w:p>
    <w:p>
      <w:pPr>
        <w:pStyle w:val="Normal"/>
        <w:spacing w:before="0" w:after="0"/>
        <w:ind w:start="720" w:end="0"/>
        <w:jc w:val="both"/>
        <w:rPr>
          <w:i/>
          <w:i/>
          <w:szCs w:val="22"/>
          <w:lang w:val="en-GB"/>
        </w:rPr>
      </w:pPr>
      <w:r>
        <w:rPr>
          <w:i/>
          <w:szCs w:val="22"/>
          <w:lang w:val="en-GB"/>
        </w:rPr>
      </w:r>
    </w:p>
    <w:p>
      <w:pPr>
        <w:pStyle w:val="Normal"/>
        <w:spacing w:before="0" w:after="0"/>
        <w:ind w:start="720" w:end="0"/>
        <w:jc w:val="both"/>
        <w:rPr>
          <w:szCs w:val="22"/>
          <w:lang w:val="en-GB"/>
        </w:rPr>
      </w:pPr>
      <w:r>
        <w:rPr>
          <w:szCs w:val="22"/>
          <w:lang w:val="en-GB"/>
        </w:rPr>
        <w:t>Security appliances can not be seen as independent measures apart from the managed LAN. Security enhancements are evolving within the network itself and security appliances are only effective when traffic flows are passing through these appliances. The PST is able to deliver security enhancements in the following ways and must be seen as examples for the nearby future:</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w:t>
        <w:tab/>
        <w:t>Authentication of users directly on the network to prevent unauthorised users that will directly hook up to the network;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2.</w:t>
        <w:tab/>
        <w:t>By means of Network forensics, PST will monitor the network to monitor and log mal-ware so pinpointing of infected clients is possible. Furthermore security leaks can be traced with sniffers that will be placed on specific points on the network. Furthermore it will be possible to set up baselines that will help solving incidents on the network. Data correlation will give an overview of incidents that have occurred in different elements of the network so tracing of incidents will be possible;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3.</w:t>
        <w:tab/>
        <w:t>Intrusion prevention mechanisms will block suspicious protocols to prevent attacks on the network before they even can take place. Active monitoring of these appliances are necessary to take pro active measures;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4.</w:t>
        <w:tab/>
        <w:t xml:space="preserve">Auditing of security appliances and processes are part of the service offering of PST.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i/>
          <w:i/>
          <w:szCs w:val="22"/>
          <w:lang w:val="en-GB"/>
        </w:rPr>
      </w:pPr>
      <w:r>
        <w:rPr>
          <w:i/>
          <w:szCs w:val="22"/>
          <w:lang w:val="en-GB"/>
        </w:rPr>
        <w:t>Organizational security</w:t>
      </w:r>
    </w:p>
    <w:p>
      <w:pPr>
        <w:pStyle w:val="Normal"/>
        <w:spacing w:before="0" w:after="0"/>
        <w:ind w:start="720" w:end="0"/>
        <w:jc w:val="both"/>
        <w:rPr>
          <w:i/>
          <w:i/>
          <w:szCs w:val="22"/>
          <w:lang w:val="en-GB"/>
        </w:rPr>
      </w:pPr>
      <w:r>
        <w:rPr>
          <w:i/>
          <w:szCs w:val="22"/>
          <w:lang w:val="en-GB"/>
        </w:rPr>
      </w:r>
    </w:p>
    <w:p>
      <w:pPr>
        <w:pStyle w:val="Normal"/>
        <w:spacing w:before="0" w:after="0"/>
        <w:ind w:start="720" w:end="0"/>
        <w:jc w:val="both"/>
        <w:rPr>
          <w:szCs w:val="22"/>
          <w:lang w:val="en-GB"/>
        </w:rPr>
      </w:pPr>
      <w:r>
        <w:rPr>
          <w:szCs w:val="22"/>
          <w:lang w:val="en-GB"/>
        </w:rPr>
        <w:t>Authorization is allowed on ‘need to do’ and ‘need to use’ principles. Any Authorised User will only have access to environments and/or Applications and systems when needed. PST will use an authorisation matrix for this purpose. PST will withdraw authorisation from employees who will leave the PST, subcontractor, or any employees who will change function. On a regular basis this matrix will be audited by PST.</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The following model is adapted that illustrates how PST Supplier’s security measures will interact with the corporate security policy:</w:t>
      </w:r>
    </w:p>
    <w:p>
      <w:pPr>
        <w:pStyle w:val="Normal"/>
        <w:spacing w:before="0" w:after="0"/>
        <w:ind w:start="720" w:end="0"/>
        <w:jc w:val="both"/>
        <w:rPr>
          <w:szCs w:val="22"/>
          <w:lang w:val="en-GB"/>
        </w:rPr>
      </w:pPr>
      <w:r>
        <w:rPr>
          <w:szCs w:val="22"/>
          <w:lang w:val="en-GB"/>
        </w:rPr>
        <w:t xml:space="preserve"> </w:t>
      </w:r>
    </w:p>
    <w:p>
      <w:pPr>
        <w:pStyle w:val="Normal"/>
        <w:spacing w:before="0" w:after="0"/>
        <w:ind w:start="720" w:end="0"/>
        <w:jc w:val="both"/>
        <w:rPr>
          <w:szCs w:val="22"/>
          <w:lang w:val="en-GB"/>
        </w:rPr>
      </w:pPr>
      <w:r>
        <w:rPr>
          <w:szCs w:val="22"/>
          <w:lang w:val="en-GB"/>
        </w:rPr>
        <w:t>These examples of security measures will state the direction that PST gives EuroBank to take the appropriate measures to involve the managed LAN proposition with the security measures that must take place.</w:t>
      </w:r>
    </w:p>
    <w:p>
      <w:pPr>
        <w:pStyle w:val="Normal"/>
        <w:spacing w:before="0" w:after="0"/>
        <w:ind w:start="720" w:end="0"/>
        <w:jc w:val="both"/>
        <w:rPr>
          <w:szCs w:val="22"/>
          <w:lang w:val="en-GB"/>
        </w:rPr>
      </w:pPr>
      <w:r>
        <w:rPr>
          <w:szCs w:val="22"/>
          <w:lang w:val="en-GB"/>
        </w:rPr>
      </w:r>
    </w:p>
    <w:p>
      <w:pPr>
        <w:pStyle w:val="Normal"/>
        <w:spacing w:before="0" w:after="0"/>
        <w:ind w:start="720" w:end="0"/>
        <w:jc w:val="both"/>
        <w:rPr>
          <w:i/>
          <w:i/>
          <w:szCs w:val="22"/>
          <w:lang w:val="en-GB"/>
        </w:rPr>
      </w:pPr>
      <w:r>
        <w:rPr>
          <w:i/>
          <w:szCs w:val="22"/>
          <w:lang w:val="en-GB"/>
        </w:rPr>
        <w:t>VoIP in managed networks</w:t>
      </w:r>
    </w:p>
    <w:p>
      <w:pPr>
        <w:pStyle w:val="Normal"/>
        <w:spacing w:before="0" w:after="0"/>
        <w:ind w:start="720" w:end="0"/>
        <w:jc w:val="both"/>
        <w:rPr>
          <w:szCs w:val="22"/>
          <w:lang w:val="en-GB"/>
        </w:rPr>
      </w:pPr>
      <w:r>
        <w:rPr>
          <w:szCs w:val="22"/>
          <w:lang w:val="en-GB"/>
        </w:rPr>
        <w:t xml:space="preserve"> </w:t>
      </w:r>
    </w:p>
    <w:p>
      <w:pPr>
        <w:pStyle w:val="Normal"/>
        <w:spacing w:before="0" w:after="0"/>
        <w:ind w:start="720" w:end="0"/>
        <w:jc w:val="both"/>
        <w:rPr/>
      </w:pPr>
      <w:r>
        <w:rPr>
          <w:szCs w:val="22"/>
          <w:lang w:val="en-GB"/>
        </w:rPr>
        <w:t>The implementation of Voice over IP (VoIP) has an impact on current security aspects of the networks like changes on the Firewall, Intrusion detection/prevention, access control and procedures. Furthermore changes in the current networks must be executed like VLAN's, delay/jitter, quality of Service, bandwidth for voice and power over Ethernet.</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 xml:space="preserve">Where appropriate adequate measures will be implemented to prevent abuse of telephony facilities and block attacks that are undertaken to get telephony facilities out of service. </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Any refresh of the LAN environment will be based on INGs blue print, and will be mutually agreed upon. Power-over-Ethernet is not part of the Base Charges. However, the switches provided during refresh will be Voice ready. IPT itself is not within the Base Charges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pPr>
      <w:r>
        <w:rPr>
          <w:szCs w:val="22"/>
          <w:lang w:val="en-GB"/>
        </w:rPr>
        <w:t>Innovation that comes with life cycle management is part of the Base Charges.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Developing and proposing new or enhanced Network plans and providing related designs on an ongoing basis and in conjunction with the Long Range IT Plan as well as the functional requirements provided by 2IM in agreement with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Providing plans and designs for the following non-exhaustive list of components: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Overall Network Topology, including the physical and logical layout of the Network.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Addressing scheme and VLAN attribution to access ports.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Optimal LAN protocols within the Network as necessary to satisfy EuroBank’s business and operational requirements as they evolve over the Term. Where feasible and as approved by EuroBank, standardized (non proprietary) protocols should be used.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Network Equipment.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Network Software (i.e. switch operating system).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Cabling &amp; patching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 xml:space="preserve">Any other related wiring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Documenting the criteria and assumptions used to develop plans and designs,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Interoperability considerations and assumptions for all Equipment and Software potentially affected by the Network plans and design, including Equipment and Software in other Bundles.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Network bandwidth and/or volume assumptions and projections.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Expected Network performance and quality of service based on designs and plans, and minimum performance and quality of service expectations.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Utilizing Network design techniques to appropriately prevent broadcast congestion and outages, including: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Designing segmentation of Equipment, Network traffic, and features to sufficiently control and contain Network traffic levels.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Designing sufficient redundancy and alternative routing to meet the Service Levels and EuroBank’s security and Disaster Recovery requirements.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vii)</w:t>
        <w:tab/>
        <w:t>Working cooperatively with 2IM, Other PST Suppliers, Third Party Vendors, and EuroBank staff to facilitate effective planning and design of the Network Services.</w:t>
      </w:r>
    </w:p>
    <w:p>
      <w:pPr>
        <w:pStyle w:val="Heading2Numbered"/>
        <w:numPr>
          <w:ilvl w:val="1"/>
          <w:numId w:val="2"/>
        </w:numPr>
        <w:ind w:hanging="0" w:start="0"/>
        <w:rPr>
          <w:sz w:val="22"/>
          <w:szCs w:val="22"/>
          <w:lang w:val="en-GB"/>
        </w:rPr>
      </w:pPr>
      <w:bookmarkStart w:id="6" w:name="__RefHeading___Toc148540282"/>
      <w:bookmarkEnd w:id="6"/>
      <w:r>
        <w:rPr>
          <w:sz w:val="22"/>
          <w:szCs w:val="22"/>
          <w:lang w:val="en-GB"/>
        </w:rPr>
        <w:t>Performance Monitoring and Management Services</w:t>
      </w:r>
    </w:p>
    <w:p>
      <w:pPr>
        <w:pStyle w:val="Normal"/>
        <w:spacing w:before="0" w:after="0"/>
        <w:jc w:val="both"/>
        <w:rPr>
          <w:szCs w:val="22"/>
          <w:lang w:val="en-GB"/>
        </w:rPr>
      </w:pPr>
      <w:r>
        <w:rPr>
          <w:szCs w:val="22"/>
          <w:lang w:val="en-GB"/>
        </w:rPr>
        <w:t>The LAN network infrastructure will be managed from a central Network Operating Centre (NOC). This NOC will monitor the status of the EuroBank LAN 24/7. The objective of this organization is to realize the highest possible availability of the LAN solution within EuroBank by means of proactive management, effective service and maintenance of the infrastructures.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the event of network failures, the NOC will try to resolve the problem remotely. In the event of failure of (parts of) the LAN, the NOC will dispatch a Field Engineer. Field Engineers are distributed throughout the entire Netherlands and Belgium, enabling us to guarantee quick response times in case of disruptions in the Netherlands as well as in Belgium. If necessary the NOC has the ability to use Global partners where presence by the bundle supplier itself is not guaranteed.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Reporting on the operating status of the network will be provided on a web-based service. To enable this form of reporting, management tools and monitor systems will be deployed. In addition, the equipment will be configured in such a way that it will send traps to the management tools in the event of network problems, the exceeding of thresholds or end-to-end degradation performance.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To ensure compliance to the service levels DMS, a service level management tool, is used which tracks the status of, for example, incidents and alerts if a possible service level breach is to occur in the near future.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Within the service level reporting cycle the service manager will proactively report to 2IM and EuroBank on Network performance, resource shortages, utilization statistics and trends. Before this meeting, the Service Level manager will discuss the results with the PST Supplier and where possible/sensible prepare a RFC on this topic to discuss in the periodic meeting.</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2IM and EuroBank will be notified of any need for an unscheduled and scheduled interruption with notification of the impact.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Upon specific request, EuroBank Authorised Users are granted read-only access to the configuration of the first equipment managed by the PST Supplier after the demarcation point.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have read-only access on WAN router.</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Monitoring and managing continuous end-to-end performance of the Network between the end user end the demarcation point,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 xml:space="preserve">Monitoring the Network through to the end user computing equipment or other non network equipment to measure and monitor end-to end performance of the network.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Providing read-access to the configuration of the first equipment managed by the PST Supplier after the demarcation point for EuroBank Authorized Users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Monitoring the level and quality of service of the network, including monitoring compliance with the Service Levels as described in Exhibit 3 and it’s attachments A – C and under the management of the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Supporting and managing the Network to avoid service degradation including detection, isolation, diagnosis and correction of incidents and problems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Monitoring physical and logical connections to the Network.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Providing all necessary monitoring, diagnostic, and maintenance systems and Software to meet Network monitoring and management requirements.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Supporting Network remote operations and monitoring including remote diagnostics; remote administration; and remote problem resolution and, if necessary, traveling to remote sites.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viii.</w:t>
        <w:tab/>
        <w:t>Identifying actual and potential Network bottlenecks.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ix.</w:t>
        <w:tab/>
        <w:t>Performing necessary routine diagnostics in agreement with the 2IM and EuroBank, and providing ad hoc services where required.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Employing fit for purpose system management tools to monitor events that exceed Network design thresholds, and:</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 xml:space="preserve">Using the tools to provide automated alarms and indication of Network problems when thresholds are exceeded.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ii)</w:t>
        <w:tab/>
        <w:t>Integrating the tools to automatically generate an Incident ticket in time within the Incident management system.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Defining reporting and corrective action procedures approved by EuroBank in the event design thresholds are exceeded.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Notifying 2IM and EuroBank of any need for an unscheduled and scheduled interruption with notification of the impact.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 xml:space="preserve">Proactively reporting to 2IM and EuroBank on Network performance, resource shortages, utilization statistics, and trends on a cycle agreed with 2IM and EuroBank.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Providing a Web-based service to report the live, operational status, of the Network in real-time.</w:t>
      </w:r>
    </w:p>
    <w:p>
      <w:pPr>
        <w:pStyle w:val="Heading2Numbered"/>
        <w:numPr>
          <w:ilvl w:val="1"/>
          <w:numId w:val="2"/>
        </w:numPr>
        <w:ind w:hanging="0" w:start="0"/>
        <w:rPr>
          <w:sz w:val="22"/>
          <w:szCs w:val="22"/>
          <w:lang w:val="en-GB"/>
        </w:rPr>
      </w:pPr>
      <w:bookmarkStart w:id="7" w:name="__RefHeading___Toc148540283"/>
      <w:bookmarkEnd w:id="7"/>
      <w:r>
        <w:rPr>
          <w:sz w:val="22"/>
          <w:szCs w:val="22"/>
          <w:lang w:val="en-GB"/>
        </w:rPr>
        <w:t>Specific Capacity and Configuration Management</w:t>
      </w:r>
    </w:p>
    <w:p>
      <w:pPr>
        <w:pStyle w:val="Normal"/>
        <w:spacing w:before="0" w:after="0"/>
        <w:jc w:val="both"/>
        <w:rPr>
          <w:szCs w:val="22"/>
          <w:lang w:val="en-GB"/>
        </w:rPr>
      </w:pPr>
      <w:r>
        <w:rPr>
          <w:szCs w:val="22"/>
          <w:lang w:val="en-GB"/>
        </w:rPr>
        <w:t>The network management centre will monitor the network status (including capacity and performance). Inbound management over the EuroBank WAN is used to have a near real-time view of status of the network at the various sites.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Since no single network is alike, thresholds and transformation project capacity and utilization will be identified during the transition. Thresholds like port utilisation will enable us to act proactively on any change in capacity and/or performance.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the monthly network capacity and performance reporting any bottlenecks will be identified and appropriate actions will be taken to resolve problem areas or EuroBank and/or 2IM will be advised with proposals to resolve this.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After approval of the suggested change by EuroBank/2IM, the change will be implemented under control of the Change management process.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To ensure pro activity in relation to capacity and performance issues, the Service Level manager will participate in any capacity planning reviews with 2IM/EuroBank and any Third Party Vendors. The network specialists will analyse the information obtained there and, if necessary, these specialist will submit a Request For Change to 2IM/EuroBank.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Managing Network capacity based on current usage and forecasted demand,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Monitoring Network capacity utilization as it relates to established capacity thresholds.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Proposing to the 2IM and EuroBank for their joint approval, changes to improve performance in anticipation of such future loads, including performance improvement expectations.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Appropriately sizing Network Equipment, Software, and cabling, wiring, etc.</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Upgrading, removing, or adding capacity and performing hard- and software-upgrades as otherwise necessary to meet EuroBank’s requirements, under the guidance of the 2IM, or proactively recommending capacity changes where the PST Supplier is not financially responsible for a specific Network component.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Developing, maintaining and adhering to configuration standards as approved by the 2IM in agreement with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 xml:space="preserve">Participating in capacity planning reviews with the 2IM, EuroBank and any Third Party Vendor designated by EuroBank at regular intervals agreed with all parties. </w:t>
      </w:r>
    </w:p>
    <w:p>
      <w:pPr>
        <w:pStyle w:val="Heading2Numbered"/>
        <w:numPr>
          <w:ilvl w:val="1"/>
          <w:numId w:val="2"/>
        </w:numPr>
        <w:ind w:hanging="0" w:start="0"/>
        <w:rPr>
          <w:sz w:val="22"/>
          <w:szCs w:val="22"/>
          <w:lang w:val="en-GB"/>
        </w:rPr>
      </w:pPr>
      <w:bookmarkStart w:id="8" w:name="__RefHeading___Toc148540284"/>
      <w:bookmarkEnd w:id="8"/>
      <w:r>
        <w:rPr>
          <w:sz w:val="22"/>
          <w:szCs w:val="22"/>
          <w:lang w:val="en-GB"/>
        </w:rPr>
        <w:t>Specific Availability Management</w:t>
      </w:r>
    </w:p>
    <w:p>
      <w:pPr>
        <w:pStyle w:val="Normal"/>
        <w:spacing w:before="0" w:after="0"/>
        <w:jc w:val="both"/>
        <w:rPr>
          <w:szCs w:val="22"/>
          <w:lang w:val="en-GB"/>
        </w:rPr>
      </w:pPr>
      <w:r>
        <w:rPr>
          <w:szCs w:val="22"/>
          <w:lang w:val="en-GB"/>
        </w:rPr>
        <w:t>The availability of the network is a combination of technology and organisation. Robust designs provide for availability from a technical perspective. Efficient and effective process design covers the organizational side.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interlock of these two ensures a maximum of availability at a minimum of cost.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Before a new or updated service will be activated, the design will be checked against the technical availability requirements of EuroBank and the support processes will be validated against the availability requirements of EuroBank (like BCP) to ensure maximum availability.</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However, a change will always be carried out under control of the change management process. In this process, activities in placement require sign off by EuroBank to ensure customer involvement and customer acceptance of the proposed change.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For services already in place, availability is assumed to be adequate. In the event that (for example as a result of an incident) current availability requirements change, the same process as described above applies.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incident- and problem management processes provide for a root-cause analysis of unavailability.</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Another factor impacting the availability is the day-to-day usage of the network and the related trends. Capacity and performance management, as described further above in Section 1.7 of this Exhibit 2.3 (</w:t>
      </w:r>
      <w:r>
        <w:rPr>
          <w:i/>
          <w:szCs w:val="22"/>
          <w:lang w:val="en-GB"/>
        </w:rPr>
        <w:t>Network Services</w:t>
      </w:r>
      <w:r>
        <w:rPr>
          <w:szCs w:val="22"/>
          <w:lang w:val="en-GB"/>
        </w:rPr>
        <w:t>), deals with this element.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 will set management warning thresholds for devices based on, but not exclusively: Manufacturers recommendations, EuroBank and service level requirements and ‘real-life’ support experiences.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To monitor thresholds, current plans are to use automated tools, which will be used to highlight areas where network design thresholds are close to, or are being exceeded. This will provide traffic trend information, which will be used for capacity planning and sizing of required network upgrades. This tool will assist us to tune and refine the Network’s design thresholds based on certain baselines in support of the Service Levels.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PST Supplier will perform the following:</w:t>
      </w:r>
    </w:p>
    <w:p>
      <w:pPr>
        <w:pStyle w:val="Normal"/>
        <w:spacing w:before="0" w:after="0"/>
        <w:jc w:val="both"/>
        <w:rPr>
          <w:szCs w:val="22"/>
          <w:lang w:val="en-GB"/>
        </w:rPr>
      </w:pPr>
      <w:r>
        <w:rPr>
          <w:szCs w:val="22"/>
          <w:lang w:val="en-GB"/>
        </w:rPr>
      </w:r>
    </w:p>
    <w:p>
      <w:pPr>
        <w:pStyle w:val="Normal"/>
        <w:spacing w:before="0" w:after="0"/>
        <w:ind w:start="720" w:end="0"/>
        <w:jc w:val="both"/>
        <w:rPr>
          <w:szCs w:val="22"/>
          <w:lang w:val="en-GB"/>
        </w:rPr>
      </w:pPr>
      <w:r>
        <w:rPr>
          <w:szCs w:val="22"/>
          <w:lang w:val="en-GB"/>
        </w:rPr>
        <w:t>•</w:t>
      </w:r>
      <w:r>
        <w:rPr>
          <w:szCs w:val="22"/>
          <w:lang w:val="en-GB"/>
        </w:rPr>
        <w:tab/>
        <w:t>Verify and document that service levels are being met.</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w:t>
      </w:r>
      <w:r>
        <w:rPr>
          <w:szCs w:val="22"/>
          <w:lang w:val="en-GB"/>
        </w:rPr>
        <w:tab/>
        <w:t>Proactively identify network related bottlenecks.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w:t>
      </w:r>
      <w:r>
        <w:rPr>
          <w:szCs w:val="22"/>
          <w:lang w:val="en-GB"/>
        </w:rPr>
        <w:tab/>
        <w:t>Establish and report on trends for management decision making and planning.</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w:t>
      </w:r>
      <w:r>
        <w:rPr>
          <w:szCs w:val="22"/>
          <w:lang w:val="en-GB"/>
        </w:rPr>
        <w:tab/>
        <w:t>Populate and maintain the network performance and measurement database.</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w:t>
      </w:r>
      <w:r>
        <w:rPr>
          <w:szCs w:val="22"/>
          <w:lang w:val="en-GB"/>
        </w:rPr>
        <w:tab/>
        <w:t>Establish network baselines for network devices and interfaces (only).</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w:t>
      </w:r>
      <w:r>
        <w:rPr>
          <w:szCs w:val="22"/>
          <w:lang w:val="en-GB"/>
        </w:rPr>
        <w:tab/>
        <w:t>Define measurable performance indicators and collect and analyze the data associated with these indicators on a continual basis in order to support: 1) Service Level management and reporting. 2) Network performance, tuning, and optimization. 3) Simulation and modelling activities related to network re-engineering and technology upgrades.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 xml:space="preserve">Ensuring that all reasonable activities are undertaken to ensure the availability of the service as per the agreed Service Levels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Delivering solutions in accordance with EuroBank BC Plans under the management of 2IM.</w:t>
      </w:r>
    </w:p>
    <w:p>
      <w:pPr>
        <w:pStyle w:val="Heading2Numbered"/>
        <w:numPr>
          <w:ilvl w:val="1"/>
          <w:numId w:val="2"/>
        </w:numPr>
        <w:ind w:hanging="0" w:start="0"/>
        <w:rPr>
          <w:sz w:val="22"/>
          <w:szCs w:val="22"/>
          <w:lang w:val="en-GB"/>
        </w:rPr>
      </w:pPr>
      <w:bookmarkStart w:id="9" w:name="__RefHeading___Toc148540285"/>
      <w:bookmarkEnd w:id="9"/>
      <w:r>
        <w:rPr>
          <w:sz w:val="22"/>
          <w:szCs w:val="22"/>
          <w:lang w:val="en-GB"/>
        </w:rPr>
        <w:t>Specific Performance Optimization</w:t>
      </w:r>
    </w:p>
    <w:p>
      <w:pPr>
        <w:pStyle w:val="Normal"/>
        <w:spacing w:before="0" w:after="0"/>
        <w:jc w:val="both"/>
        <w:rPr>
          <w:szCs w:val="22"/>
          <w:lang w:val="en-GB"/>
        </w:rPr>
      </w:pPr>
      <w:r>
        <w:rPr>
          <w:szCs w:val="22"/>
          <w:lang w:val="en-GB"/>
        </w:rPr>
        <w:t>The PST Supplier works closely with EuroBank on innovation and concentrates on the identification of business needs and the translation of those needs into concrete cost-lowering reduction and quality-enhancing solutions, so that EuroBank can continue to compete in the market.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As part of this continuous effort regular optimisation analyses are performed, leading to proactively optimising cost effectiveness and efficiency, without sacrificing performance or ability to meet the Service Levels.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Input for these analyses/assessments is the data gathered from performance monitoring and forecasting activities.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Using a combination of existing EuroBank tools and PST Supplier tools, PST will proactively manage performances of the network infrastructure. Through the methods of historical data analysis and trending, PST Supplier will make recommendations for the network infrastructure prior to impacting the user community. PST Supplier will store performance-related data for an agreed amount of time for trending purposes. Representatives from all functions will meet at least weekly, as defined in the Change Management process, to discuss all changes for the week and to evaluate the impact of each change.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These optimisation plans/activities will be discussed with 2IM and EuroBank at regular intervals.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Optimizing and improving the performance and design of the Network using data gathered from performance monitoring and forecasting activities.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Performing regular optimization analyses on a regular basis in agreement with 2IM and EuroBank and prior to and following any major transitions or changes.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Proactively optimizing cost effectiveness and efficiency, without sacrificing performance or ability to meet the Service Levels.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Assessing and implementing alternate methods and procedures to reduce Network errors and Network downtime and reporting recommendations to the 2IM and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Reviewing optimization activities and plans with 2IM and EuroBank at an agreed cycle.</w:t>
      </w:r>
    </w:p>
    <w:p>
      <w:pPr>
        <w:pStyle w:val="Heading2Numbered"/>
        <w:numPr>
          <w:ilvl w:val="1"/>
          <w:numId w:val="2"/>
        </w:numPr>
        <w:ind w:hanging="0" w:start="0"/>
        <w:rPr>
          <w:sz w:val="22"/>
          <w:szCs w:val="22"/>
          <w:lang w:val="en-GB"/>
        </w:rPr>
      </w:pPr>
      <w:bookmarkStart w:id="10" w:name="__RefHeading___Toc148540286"/>
      <w:bookmarkEnd w:id="10"/>
      <w:r>
        <w:rPr>
          <w:sz w:val="22"/>
          <w:szCs w:val="22"/>
          <w:lang w:val="en-GB"/>
        </w:rPr>
        <w:t>Network Control and Connectivity Services</w:t>
      </w:r>
    </w:p>
    <w:p>
      <w:pPr>
        <w:pStyle w:val="Normal"/>
        <w:spacing w:before="0" w:after="0"/>
        <w:jc w:val="both"/>
        <w:rPr>
          <w:szCs w:val="22"/>
          <w:lang w:val="en-GB"/>
        </w:rPr>
      </w:pPr>
      <w:r>
        <w:rPr>
          <w:szCs w:val="22"/>
          <w:lang w:val="en-GB"/>
        </w:rPr>
        <w:t>In the event that approval from 2IM and EuroBank is required to connect any Third Party facilities, the Change manager will engage with 2IM and EuroBank to get the required approval. If necessary the change manager will facilitate a meeting to align the request and requirements.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Once the change has been executed, management and operations of the new/added connectivity is part of the ongoing management effort including:</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Setting up agreements with Third Parties Vendors that provide Connectivity services;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Getting in place tooling for domain tracing of incidents;</w:t>
      </w:r>
    </w:p>
    <w:p>
      <w:pPr>
        <w:pStyle w:val="Normal"/>
        <w:spacing w:before="0" w:after="0"/>
        <w:jc w:val="both"/>
        <w:rPr>
          <w:szCs w:val="22"/>
          <w:lang w:val="en-GB"/>
        </w:rPr>
      </w:pPr>
      <w:r>
        <w:rPr>
          <w:szCs w:val="22"/>
          <w:lang w:val="en-GB"/>
        </w:rPr>
      </w:r>
    </w:p>
    <w:p>
      <w:pPr>
        <w:pStyle w:val="Normal"/>
        <w:spacing w:before="0" w:after="0"/>
        <w:rPr/>
      </w:pPr>
      <w:r>
        <w:rPr>
          <w:szCs w:val="22"/>
          <w:lang w:val="en-GB"/>
        </w:rPr>
        <w:t>•</w:t>
      </w:r>
      <w:r>
        <w:rPr>
          <w:szCs w:val="22"/>
          <w:lang w:val="en-GB"/>
        </w:rPr>
        <w:tab/>
        <w:t>Covering SLA- and financial-control mechanisms.</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Remote management</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Bandwidth for remote management is not in Base Charges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To secure the link to the “network operation center”, PST Supplier has included a management fixed line to the Firewall of EuroBank. EuroBank must provide in the following activities:</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Creating a change in the ruleset of the firewall an provide in a physical connection with the firewall;</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Creating a tunnel, within the current bandwidth, through the WAN’s to get a connection to the management addresses of the switches.</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TACACS+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PST Supplier will configure the management VLAN to separate management data in the network of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Obtaining approval from the 2IM and EuroBank prior to establishing Connectivity from EuroBank Network to any Third Party facilities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Managing and operating all Network Equipment and Software necessary to enable Connectivity, within the scope of processes agreed with 2IM, including:</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Configuring Network Equipment, Software, and Cabling.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Installing Network Equipment, Software, and Cabling.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Acceptance, testing Network Equipment, Software, and Cabling.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Implementing Network Equipment, Software, and Cabling.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Supporting Network Equipment, Software, and Cabling.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De-installing and removing Network Equipment, Software, and Cabling as required.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vii)</w:t>
        <w:tab/>
        <w:t>Verifying Connectivity of the Infrastructure and all other directly connected devices.</w:t>
      </w:r>
    </w:p>
    <w:p>
      <w:pPr>
        <w:pStyle w:val="Heading2Numbered"/>
        <w:numPr>
          <w:ilvl w:val="1"/>
          <w:numId w:val="2"/>
        </w:numPr>
        <w:ind w:hanging="0" w:start="0"/>
        <w:rPr>
          <w:sz w:val="22"/>
          <w:szCs w:val="22"/>
          <w:lang w:val="en-GB"/>
        </w:rPr>
      </w:pPr>
      <w:bookmarkStart w:id="11" w:name="__RefHeading___Toc148540287"/>
      <w:bookmarkEnd w:id="11"/>
      <w:r>
        <w:rPr>
          <w:sz w:val="22"/>
          <w:szCs w:val="22"/>
          <w:lang w:val="en-GB"/>
        </w:rPr>
        <w:t>Other Network Operations Services</w:t>
      </w:r>
    </w:p>
    <w:p>
      <w:pPr>
        <w:pStyle w:val="Normal"/>
        <w:spacing w:before="0" w:after="0"/>
        <w:jc w:val="both"/>
        <w:rPr>
          <w:szCs w:val="22"/>
          <w:lang w:val="en-GB"/>
        </w:rPr>
      </w:pPr>
      <w:r>
        <w:rPr>
          <w:szCs w:val="22"/>
          <w:lang w:val="en-GB"/>
        </w:rPr>
        <w:t>Acceptance test procedures for installation and changes to the Network and for verifying restoration of availability following problems with the Network, including back-up procedures, will be developed in conjunction with the 2IM. Where possible current EuroBank procedures will be used (perhaps after a minor change related to the new operations model).</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Naming and addressing of all the network equipment and the address management will be the responsibility of the PST Supplier. The naming and addressing will be based on the schemes approved by 2IM and EuroBank. These schemes and/or names will be part of the relevant DDSD’s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Any changes to these documents will be performed under control of the change management process.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PST Supplier will create a Change request document (including, migration and roll-back scenarios) in the event that changes within the addressing/naming conventions will lead to changes in the network infrastructure.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To provide single point of control, dissemination and rollback capability a central server is used which holds the configuration files of all the active network equipment.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DNS management (application &amp; content) as well as IP address schemes will reside within EuroBank retained organisation. </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Hardware and operating system are within Server management. Procedures for requests need to be defined between EuroBank and PST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Developing acceptance test procedures for installation and changes to the Network, and for verifying restoration of availability following problems with the Network including back-up procedures. This will be undertaken in conjunction with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Managing the naming and addressing of all Network devices based on schemes approved by the 2IM and EuroBank,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Documenting the current addressing scheme.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Implementing, coordinating, and updating new addressing schemes, including developing associated migration plans.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Composing, editing and downloading configuration files to Equipment using administration platforms designed to provide single point of control, dissemination and rollback capability.</w:t>
      </w:r>
    </w:p>
    <w:p>
      <w:pPr>
        <w:pStyle w:val="Heading2Numbered"/>
        <w:numPr>
          <w:ilvl w:val="1"/>
          <w:numId w:val="2"/>
        </w:numPr>
        <w:ind w:hanging="0" w:start="0"/>
        <w:rPr>
          <w:sz w:val="22"/>
          <w:szCs w:val="22"/>
          <w:lang w:val="en-GB"/>
        </w:rPr>
      </w:pPr>
      <w:bookmarkStart w:id="12" w:name="__RefHeading___Toc148540288"/>
      <w:bookmarkEnd w:id="12"/>
      <w:r>
        <w:rPr>
          <w:sz w:val="22"/>
          <w:szCs w:val="22"/>
          <w:lang w:val="en-GB"/>
        </w:rPr>
        <w:t>Additional site Information and Documentation Services</w:t>
      </w:r>
    </w:p>
    <w:p>
      <w:pPr>
        <w:pStyle w:val="Normal"/>
        <w:spacing w:before="0" w:after="0"/>
        <w:jc w:val="both"/>
        <w:rPr>
          <w:szCs w:val="22"/>
          <w:lang w:val="en-GB"/>
        </w:rPr>
      </w:pPr>
      <w:r>
        <w:rPr>
          <w:szCs w:val="22"/>
          <w:lang w:val="en-GB"/>
        </w:rPr>
        <w:t>Before any on-site activities (related to the site survey) are performed the accuracy and quality of site-specific documents provided by EuroBank is assessed. Based on this assessment a choice will be made if conducting the site survey on-site is necessary. If the quality of the available documentation is rated “high”, several random samples will be performed for verification of the data. If the quality is rated “poor”, an on-site site survey will be carried out. To ensure a maximum of synergy, the on-site site survey will be conducted jointly for all the relevant bundles.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If no information regarding the site is available at all, an enquiry will be compiled which should be answered by the site under investigation.</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All findings will be documented in the DDSD as being the as-is configuration.</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Finalized document is under change management control.</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All relevant documentation will be made available to the 2IM and EuroBank for the purposes of managing the Services.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Conducting Site surveys and documenting current the physical environment at the Site, including:</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Network Equipment.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Demarcation of responsibilities and physical environment comprising the LAN and other Network environments.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Power, UPS, and overall space requirements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iv)</w:t>
        <w:tab/>
        <w:t>Cabling and Wiring.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w:t>
        <w:tab/>
        <w:t>Documenting Site survey information and asset information in the Asset Inventory and Management System.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vi)</w:t>
        <w:tab/>
        <w:t>Maintaining locations lists, Network diagrams and other Network documentation and information.</w:t>
      </w:r>
    </w:p>
    <w:p>
      <w:pPr>
        <w:pStyle w:val="Heading2Numbered"/>
        <w:numPr>
          <w:ilvl w:val="1"/>
          <w:numId w:val="2"/>
        </w:numPr>
        <w:ind w:hanging="0" w:start="0"/>
        <w:rPr>
          <w:sz w:val="22"/>
          <w:szCs w:val="22"/>
          <w:lang w:val="en-GB"/>
        </w:rPr>
      </w:pPr>
      <w:bookmarkStart w:id="13" w:name="__RefHeading___Toc148540289"/>
      <w:bookmarkEnd w:id="13"/>
      <w:r>
        <w:rPr>
          <w:sz w:val="22"/>
          <w:szCs w:val="22"/>
          <w:lang w:val="en-GB"/>
        </w:rPr>
        <w:t>Power Supply Services</w:t>
      </w:r>
    </w:p>
    <w:p>
      <w:pPr>
        <w:pStyle w:val="Normal"/>
        <w:spacing w:before="0" w:after="0"/>
        <w:jc w:val="both"/>
        <w:rPr/>
      </w:pPr>
      <w:r>
        <w:rPr>
          <w:szCs w:val="22"/>
          <w:lang w:val="en-GB"/>
        </w:rPr>
        <w:t>Maintenance of the UPS will be managed under control of the bundle supplier as stated above in Section 1.4 (on Third Party Vendor management) of this Exhibit 2.3 (</w:t>
      </w:r>
      <w:r>
        <w:rPr>
          <w:i/>
          <w:szCs w:val="22"/>
          <w:lang w:val="en-GB"/>
        </w:rPr>
        <w:t>Network Services</w:t>
      </w:r>
      <w:r>
        <w:rPr>
          <w:szCs w:val="22"/>
          <w:lang w:val="en-GB"/>
        </w:rPr>
        <w:t>).</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If any changes with regard to power connection should be made, or in the event of installing new UPS equipment, a Request for Change (“RFC”) will be prepared by the bundle supplier. In this RFC it is stated if and how network equipment should connect to UPS equipment and what the requirements to the UPS are.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Installation of UPS will only be performed on a project basis and at additional cost to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Connecting and maintaining Equipment at EuroBank’s, facilities to uninterruptible power supplies (UPS), as required by the 2IM in agreement with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When required, installing UPS on a project basis as defined in the authorized request.</w:t>
      </w:r>
    </w:p>
    <w:p>
      <w:pPr>
        <w:pStyle w:val="Heading2Numbered"/>
        <w:numPr>
          <w:ilvl w:val="1"/>
          <w:numId w:val="2"/>
        </w:numPr>
        <w:ind w:hanging="0" w:start="0"/>
        <w:rPr>
          <w:sz w:val="22"/>
          <w:szCs w:val="22"/>
          <w:lang w:val="en-GB"/>
        </w:rPr>
      </w:pPr>
      <w:bookmarkStart w:id="14" w:name="__RefHeading___Toc148540290"/>
      <w:bookmarkEnd w:id="14"/>
      <w:r>
        <w:rPr>
          <w:sz w:val="22"/>
          <w:szCs w:val="22"/>
          <w:lang w:val="en-GB"/>
        </w:rPr>
        <w:t>Cabling and Wiring Services</w:t>
      </w:r>
    </w:p>
    <w:p>
      <w:pPr>
        <w:pStyle w:val="Normal"/>
        <w:spacing w:before="0" w:after="0"/>
        <w:jc w:val="both"/>
        <w:rPr/>
      </w:pPr>
      <w:r>
        <w:rPr>
          <w:szCs w:val="22"/>
          <w:lang w:val="en-GB"/>
        </w:rPr>
        <w:t>This picture shows the physical scope of the Cabling and Wiring Services. The bundle suppliers’ responsibility covers all the cabling and wiring from main equipment room (“MER”) and satellite equipment room (“SER”) to wall outlet.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b/>
      </w:r>
      <w:r>
        <w:rPr>
          <w:color w:val="000000"/>
          <w:szCs w:val="22"/>
        </w:rPr>
        <w:drawing>
          <wp:inline distT="0" distB="0" distL="0" distR="0">
            <wp:extent cx="3162300" cy="224409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8"/>
                    <a:srcRect l="-11" t="-16" r="-11" b="-16"/>
                    <a:stretch>
                      <a:fillRect/>
                    </a:stretch>
                  </pic:blipFill>
                  <pic:spPr bwMode="auto">
                    <a:xfrm>
                      <a:off x="0" y="0"/>
                      <a:ext cx="3162300" cy="224409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PST Supplier will closely cooperate with EuroBank Real Estate, landlord management; other EuroBank authorized users and contractors. All activities, from planning to management, are thoroughly communicated with the above mentioned authorities. New cabling and wiring is done by the PST Supplier, executed by certified employees according to EuroBank’s requirements and industry standards in addition testing and certifying is executed.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For management of the cabling and wiring PST Supplier will use EuroBank’s software based cable management system, assuming the installed base is up to date. For cost saving reasons PST Supplier proposes to register only the primary vertical and horizontal cabling. Our best practice is that there is no real value in registering the secondary cabling and patches.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Incidents on cabling are in Base Charges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Patches are in Base Charges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Horizontal &amp; vertical cabling in terms of material are not in Base Charges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Coordination activities are in the Base Charges as well as registration of horizontal cabling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Planning, procuring, installing, operating, administering, maintaining and managing the Cabling and intra-floor and inter-floor wiring, within the PST Supplier’s physical demarcation boundaries as depicted in Exhibit 18 (Network Summaries and Topologies – Service Area Demarcation).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Operating and maintaining systems including the physical cable plant, cable plant switching devices, and the various monitoring devices (i.e. FOTs, converters, receivers, cable analyzers).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Managing cable installations, repairs, and removal using a Software-based cable plant management system.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Interacting with the 2IM, EuroBank real estate, landlord management and other EuroBank Authorized Users to ensure Cabling and Wiring requirements are properly communicated and managed.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Ensuring that for each new installation, Cabling specifications and costs are accurately estimated and communicated to EuroBank real estate representatives within a deadline agreed with 2IM and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Documenting changes to the Cabling plan in the Site survey records, and all changes thereto in the Asset Inventory and Management System in accordance with procedures defined by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Complying with 2IM and EuroBank Cabling standards.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In the absence of a defined standard, using industry standards that meet or exceed local or other requirements but with the approval of the 2IM and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Documenting, labelling and mapping cable runs in the appropriate Site survey records in accordance with standards agreed with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Using EuroBank-approved and certified cable and wire installers to perform Cabling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k)</w:t>
        <w:tab/>
        <w:t>Maintaining up-to-date cable records in communications closets, wiring distribution rooms and other areas where a high concentration of Cabling exists.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l)</w:t>
        <w:tab/>
        <w:t>Maintaining a secure, clean, well-lit, clutter-free Cabling environment in all telecom closets and cable plant areas.</w:t>
      </w:r>
    </w:p>
    <w:p>
      <w:pPr>
        <w:pStyle w:val="Heading2Numbered"/>
        <w:numPr>
          <w:ilvl w:val="1"/>
          <w:numId w:val="2"/>
        </w:numPr>
        <w:ind w:hanging="0" w:start="0"/>
        <w:rPr>
          <w:sz w:val="22"/>
          <w:szCs w:val="22"/>
          <w:lang w:val="en-GB"/>
        </w:rPr>
      </w:pPr>
      <w:bookmarkStart w:id="15" w:name="__RefHeading___Toc148540291"/>
      <w:bookmarkEnd w:id="15"/>
      <w:r>
        <w:rPr>
          <w:sz w:val="22"/>
          <w:szCs w:val="22"/>
          <w:lang w:val="en-GB"/>
        </w:rPr>
        <w:t>Software Currency and Support Services</w:t>
      </w:r>
    </w:p>
    <w:p>
      <w:pPr>
        <w:pStyle w:val="Normal"/>
        <w:spacing w:before="0" w:after="0"/>
        <w:jc w:val="both"/>
        <w:rPr/>
      </w:pPr>
      <w:r>
        <w:rPr>
          <w:szCs w:val="22"/>
          <w:lang w:val="en-GB"/>
        </w:rPr>
        <w:t>The PST Supplier will interface with EuroBank Third Party Vendors to promote compatibility of Network systems and manage its subcontractors accordingly.</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Within the Change Management process, actions will be included to ensure that all demarcation equipment has only code revisions that have been fully tested by the PST Supplier and are certified by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The PST Supplier will deploy software maintenance/updates in accordance with the applicable Third Party Vendor’s documentation, recommendations and policies. Subject to the Change Management process all equipment and software is prepared for update/upgrade in a controlled and documented manner, to ensure that no changes are introduced during such activity without the approval of 2IM/EuroBank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general software maintenance policy is to deploy as few changes as possible. Before deployment of new software in the live environment, an acceptance test will be performed in a test bed environment.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Specific software changes/updates upon customers request will be provided at additional cost and are subject to Change Management control.</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Interfacing with other EuroBank Third Party Vendors to promote compatibility of Network systems and managing the subcontractors that provide Software support to Network products for which the PST Supplier is responsible.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For the demarcation equipment; ensuring that all code revisions have been fully tested by the PST Supplier and certified by EuroBank, before installation on the Network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Ensuring that all code revisions have been fully tested by the PST Supplier and used in the commercial marketplace before installation on the Network.</w:t>
      </w:r>
    </w:p>
    <w:p>
      <w:pPr>
        <w:pStyle w:val="Heading2Numbered"/>
        <w:numPr>
          <w:ilvl w:val="1"/>
          <w:numId w:val="2"/>
        </w:numPr>
        <w:ind w:hanging="0" w:start="0"/>
        <w:rPr>
          <w:sz w:val="22"/>
          <w:szCs w:val="22"/>
          <w:lang w:val="en-GB"/>
        </w:rPr>
      </w:pPr>
      <w:bookmarkStart w:id="16" w:name="__RefHeading___Toc148540292"/>
      <w:bookmarkEnd w:id="16"/>
      <w:r>
        <w:rPr>
          <w:sz w:val="22"/>
          <w:szCs w:val="22"/>
          <w:lang w:val="en-GB"/>
        </w:rPr>
        <w:t>Specific Network Security Services</w:t>
      </w:r>
    </w:p>
    <w:p>
      <w:pPr>
        <w:pStyle w:val="Normal"/>
        <w:spacing w:before="0" w:after="0"/>
        <w:jc w:val="both"/>
        <w:rPr/>
      </w:pPr>
      <w:r>
        <w:rPr>
          <w:i/>
          <w:szCs w:val="22"/>
          <w:lang w:val="en-GB"/>
        </w:rPr>
        <w:t>Additional requirements related to physical and logical security requirements are laid down in Exhibit 17 (Policies) and its Attachments.</w:t>
      </w:r>
    </w:p>
    <w:p>
      <w:pPr>
        <w:pStyle w:val="Normal"/>
        <w:spacing w:before="0" w:after="0"/>
        <w:jc w:val="both"/>
        <w:rPr>
          <w:i/>
          <w:i/>
          <w:szCs w:val="22"/>
          <w:lang w:val="en-GB"/>
        </w:rPr>
      </w:pPr>
      <w:r>
        <w:rPr>
          <w:i/>
          <w:szCs w:val="22"/>
          <w:lang w:val="en-GB"/>
        </w:rPr>
      </w:r>
    </w:p>
    <w:p>
      <w:pPr>
        <w:pStyle w:val="Normal"/>
        <w:spacing w:before="0" w:after="0"/>
        <w:jc w:val="both"/>
        <w:rPr>
          <w:szCs w:val="22"/>
          <w:lang w:val="en-GB"/>
        </w:rPr>
      </w:pPr>
      <w:r>
        <w:rPr>
          <w:szCs w:val="22"/>
          <w:lang w:val="en-GB"/>
        </w:rPr>
        <w:t>The PST Supplier will follow the best practices (tools and/or procedures) of either EuroBank or the PST Supplier, whichever requires greater security based on reasonable and prudent standard practices, with approval by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Within the incident management process reasonable and appropriate action are embedded which will include, where appropriate:</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Shutting down the Services to prevent further unauthorized access.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For shutting down services, procedures are to be in place up front and agreed upon. Reporting all attempts at illicit monitoring, interception or eavesdropping to EuroBank to the extent known by the PST Supplier.</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On request of EuroBank the PST Supplier will assist (within the legal restraints) in:</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monitoring usage patterns;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investigating and reporting on significant discrepancies in those patterns after their detection;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Providing support and input for EuroBank’s controlled self-assessment process and system.</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Any cost arising from the fact that EuroBank decides that the security tools, from which consortium it has chosen to use and which comply with EuroBank requirements are subsequently found not acceptable to EuroBank, will be for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Implementing and maintaining security tools, procedures and systems required to protect the integrity, confidentiality and availability of the EuroBank Network and data on the Network.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EuroBank will approve the selection of the security tools.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Complying with EuroBank’s Network security policies (described in Exhibit 17 (Policies) and its Attachments), and Network Architecture and Standards, described in Exhibit 8, whereby the PST Supplier will follow the best practices of either EuroBank or the PST Supplier, whichever requires greater security based on reasonable and prudent standard practices, with approval by EuroBank.</w:t>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Performing quarterly assessments of risk exposure including:</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Gap analyses to indicate exposure to security threats.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Action plans to address gaps.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iii)</w:t>
        <w:tab/>
        <w:t>Ratings to gauge progress against closure of gaps.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Activating appropriate security monitoring tools and backing up the logs from these tools, in accordance with EuroBank security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Taking reasonable and appropriate action designed to prevent unauthorized access to the Network, in accordance with EuroBank’s requirements. This will include, where appropriate: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Shutting down the Services to prevent further unauthorized access.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On request of EuroBank, monitoring usage patterns, investigating and reporting on significant discrepancies in those patterns after their detection.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i)</w:t>
        <w:tab/>
        <w:t>Reporting all attempts at illicit monitoring, interception, eavesdropping or toll-fraud to EuroBank to the extent known by the PST Supplier.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j)</w:t>
        <w:tab/>
        <w:t>Delivering input for EuroBank’s controlled self-assessment process and system.</w:t>
      </w:r>
    </w:p>
    <w:p>
      <w:pPr>
        <w:pStyle w:val="Heading1Numbered"/>
        <w:numPr>
          <w:ilvl w:val="0"/>
          <w:numId w:val="2"/>
        </w:numPr>
        <w:ind w:hanging="0" w:start="0"/>
        <w:rPr>
          <w:sz w:val="22"/>
          <w:szCs w:val="22"/>
          <w:lang w:val="en-GB"/>
        </w:rPr>
      </w:pPr>
      <w:bookmarkStart w:id="17" w:name="__RefHeading___Toc148540293"/>
      <w:bookmarkEnd w:id="17"/>
      <w:r>
        <w:rPr>
          <w:sz w:val="22"/>
          <w:szCs w:val="22"/>
          <w:lang w:val="en-GB"/>
        </w:rPr>
        <w:t>LOCAL AREA NETWORK (LAN) SERVICES</w:t>
      </w:r>
    </w:p>
    <w:p>
      <w:pPr>
        <w:pStyle w:val="Normal"/>
        <w:spacing w:before="0" w:after="0"/>
        <w:jc w:val="both"/>
        <w:rPr/>
      </w:pPr>
      <w:r>
        <w:rPr>
          <w:szCs w:val="22"/>
          <w:lang w:val="en-GB"/>
        </w:rPr>
        <w:t>The PST Supplier shall provide LAN Services for EuroBank’s Network in accordance with Exhibit 8 and in addition to the Common Network Services.</w:t>
      </w:r>
    </w:p>
    <w:p>
      <w:pPr>
        <w:pStyle w:val="Heading2Numbered"/>
        <w:numPr>
          <w:ilvl w:val="1"/>
          <w:numId w:val="2"/>
        </w:numPr>
        <w:ind w:hanging="0" w:start="0"/>
        <w:rPr>
          <w:sz w:val="22"/>
          <w:szCs w:val="22"/>
          <w:lang w:val="en-GB"/>
        </w:rPr>
      </w:pPr>
      <w:bookmarkStart w:id="18" w:name="__RefHeading___Toc148540294"/>
      <w:bookmarkEnd w:id="18"/>
      <w:r>
        <w:rPr>
          <w:sz w:val="22"/>
          <w:szCs w:val="22"/>
          <w:lang w:val="en-GB"/>
        </w:rPr>
        <w:t>LAN Services – Technical Requirements</w:t>
      </w:r>
    </w:p>
    <w:p>
      <w:pPr>
        <w:pStyle w:val="Normal"/>
        <w:spacing w:before="0" w:after="0"/>
        <w:jc w:val="both"/>
        <w:rPr/>
      </w:pPr>
      <w:r>
        <w:rPr>
          <w:szCs w:val="22"/>
          <w:lang w:val="en-GB"/>
        </w:rPr>
        <w:t>LAN Connectivity for EuroBank approved Authorized Users will be installing and maintaining at all applicable sites (as listed in Exhibit 7 (Sites &amp; Local Entities)). New users will be connected to the LAN after a duly authorized change request has been submitted by EuroBank.</w:t>
      </w:r>
      <w:r>
        <w:rPr>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 xml:space="preserve">To comply with the technical LAN requirements the designs for the various building blocks of the network will be in accordance with the manufacture’s documentation, recommendations, policies and design guidelines. To ensure quality, all engineers are trained on a regular basis.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Naming and addressing of all the network equipment and the address management will be the responsibility of the bundle supplier. The naming and addressing will be based on the schemes approved by 2IM and EuroBank. These schemes and/or names will be part of the relevant DDSDs.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For ongoing improvement of the technical environment EuroBank will be provided with a Service improvement plan on a yearly basis. This plan will include improvements for the Services, Critical Service Levels and Key Measurements. Any recommendations from this plan leading to changes in the infrastructure will be carried out under control of the change management process.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implementation of WiFi will offer improvements of flexibility to the roaming users within the buildings of EuroBank.</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Transporting data, voice and video protocols over the 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Installing and maintaining LAN Connectivity for EuroBank approved Authorized Users at all applicable Sites, as listed in Exhibit 7.</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Providing EuroBank with a multi-protocol LAN Network according to requirements defined by the 2IM and EuroBank.</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Managing EuroBank’s layer 3 address spaces, and layer 2 topology used to transport the above traffic</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Ensuring that the PST Supplier transmission Services profile complies with applicable open system standards and specifications (e.g. IETF Standard RFCs, ITU-T, ATM forum recommendations, frame relay forum recommendations, ANSI, and IEEE).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Using intelligent Network devices and systems to enable EuroBank to monitor LANs remotely.</w:t>
      </w:r>
    </w:p>
    <w:p>
      <w:pPr>
        <w:pStyle w:val="Heading2Numbered"/>
        <w:numPr>
          <w:ilvl w:val="1"/>
          <w:numId w:val="2"/>
        </w:numPr>
        <w:ind w:hanging="0" w:start="0"/>
        <w:rPr>
          <w:sz w:val="22"/>
          <w:szCs w:val="22"/>
          <w:lang w:val="en-GB"/>
        </w:rPr>
      </w:pPr>
      <w:bookmarkStart w:id="19" w:name="__RefHeading___Toc148540295"/>
      <w:bookmarkEnd w:id="19"/>
      <w:r>
        <w:rPr>
          <w:sz w:val="22"/>
          <w:szCs w:val="22"/>
          <w:lang w:val="en-GB"/>
        </w:rPr>
        <w:t>LAN Services – Installation and Removal Services</w:t>
      </w:r>
    </w:p>
    <w:p>
      <w:pPr>
        <w:pStyle w:val="Normal"/>
        <w:spacing w:before="0" w:after="0"/>
        <w:jc w:val="both"/>
        <w:rPr>
          <w:szCs w:val="22"/>
          <w:lang w:val="en-GB"/>
        </w:rPr>
      </w:pPr>
      <w:r>
        <w:rPr>
          <w:szCs w:val="22"/>
          <w:lang w:val="en-GB"/>
        </w:rPr>
        <w:t>Any changes carried out in the network are performed under control of the change management process.</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Installation of equipment (new or upgrade)</w:t>
      </w:r>
    </w:p>
    <w:p>
      <w:pPr>
        <w:pStyle w:val="Normal"/>
        <w:spacing w:before="0" w:after="0"/>
        <w:jc w:val="both"/>
        <w:rPr>
          <w:b/>
          <w:szCs w:val="22"/>
          <w:lang w:val="en-GB"/>
        </w:rPr>
      </w:pPr>
      <w:r>
        <w:rPr>
          <w:b/>
          <w:szCs w:val="22"/>
          <w:lang w:val="en-GB"/>
        </w:rPr>
      </w:r>
    </w:p>
    <w:p>
      <w:pPr>
        <w:pStyle w:val="Normal"/>
        <w:spacing w:before="0" w:after="0"/>
        <w:jc w:val="both"/>
        <w:rPr/>
      </w:pPr>
      <w:r>
        <w:rPr>
          <w:szCs w:val="22"/>
          <w:lang w:val="en-GB"/>
        </w:rPr>
        <w:t>On-site activities at the EuroBank site are performed on workdays within the Service window. If required, installation can also take place outside regular office hours. EuroBank should indicate this when it makes an installation request so that the bundle supplier can take account of this during the planning of the work.</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Configuration</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This means the advance determination and installation of the configurations in which the required functionalities can be discussed on a detailed level and processed to make a configuration. This can include:</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w:t>
      </w:r>
      <w:r>
        <w:rPr>
          <w:szCs w:val="22"/>
          <w:lang w:val="en-GB"/>
        </w:rPr>
        <w:tab/>
        <w:t>Consultation about requisite functionalities,</w:t>
      </w:r>
    </w:p>
    <w:p>
      <w:pPr>
        <w:pStyle w:val="Normal"/>
        <w:spacing w:before="0" w:after="0"/>
        <w:ind w:start="720" w:end="0"/>
        <w:jc w:val="both"/>
        <w:rPr>
          <w:szCs w:val="22"/>
          <w:lang w:val="en-GB"/>
        </w:rPr>
      </w:pPr>
      <w:r>
        <w:rPr>
          <w:szCs w:val="22"/>
          <w:lang w:val="en-GB"/>
        </w:rPr>
        <w:t>•</w:t>
      </w:r>
      <w:r>
        <w:rPr>
          <w:szCs w:val="22"/>
          <w:lang w:val="en-GB"/>
        </w:rPr>
        <w:tab/>
        <w:t>Determination of IP numbering,</w:t>
      </w:r>
    </w:p>
    <w:p>
      <w:pPr>
        <w:pStyle w:val="Normal"/>
        <w:spacing w:before="0" w:after="0"/>
        <w:ind w:start="720" w:end="0"/>
        <w:jc w:val="both"/>
        <w:rPr>
          <w:szCs w:val="22"/>
          <w:lang w:val="en-GB"/>
        </w:rPr>
      </w:pPr>
      <w:r>
        <w:rPr>
          <w:szCs w:val="22"/>
          <w:lang w:val="en-GB"/>
        </w:rPr>
        <w:t>•</w:t>
      </w:r>
      <w:r>
        <w:rPr>
          <w:szCs w:val="22"/>
          <w:lang w:val="en-GB"/>
        </w:rPr>
        <w:tab/>
        <w:t>Determination and configuration of VLAN design,</w:t>
      </w:r>
    </w:p>
    <w:p>
      <w:pPr>
        <w:pStyle w:val="Normal"/>
        <w:spacing w:before="0" w:after="0"/>
        <w:ind w:start="720" w:end="0"/>
        <w:jc w:val="both"/>
        <w:rPr>
          <w:szCs w:val="22"/>
          <w:lang w:val="en-GB"/>
        </w:rPr>
      </w:pPr>
      <w:r>
        <w:rPr>
          <w:szCs w:val="22"/>
          <w:lang w:val="en-GB"/>
        </w:rPr>
        <w:t>•</w:t>
      </w:r>
      <w:r>
        <w:rPr>
          <w:szCs w:val="22"/>
          <w:lang w:val="en-GB"/>
        </w:rPr>
        <w:tab/>
        <w:t>Determination and configuration of routing protocols used,</w:t>
      </w:r>
    </w:p>
    <w:p>
      <w:pPr>
        <w:pStyle w:val="Normal"/>
        <w:spacing w:before="0" w:after="0"/>
        <w:ind w:start="720" w:end="0"/>
        <w:jc w:val="both"/>
        <w:rPr>
          <w:szCs w:val="22"/>
          <w:lang w:val="en-GB"/>
        </w:rPr>
      </w:pPr>
      <w:r>
        <w:rPr>
          <w:szCs w:val="22"/>
          <w:lang w:val="en-GB"/>
        </w:rPr>
        <w:t>•</w:t>
      </w:r>
      <w:r>
        <w:rPr>
          <w:szCs w:val="22"/>
          <w:lang w:val="en-GB"/>
        </w:rPr>
        <w:tab/>
        <w:t>Configuration of access lists,</w:t>
      </w:r>
    </w:p>
    <w:p>
      <w:pPr>
        <w:pStyle w:val="Normal"/>
        <w:spacing w:before="0" w:after="0"/>
        <w:ind w:start="720" w:end="0"/>
        <w:jc w:val="both"/>
        <w:rPr>
          <w:szCs w:val="22"/>
          <w:lang w:val="en-GB"/>
        </w:rPr>
      </w:pPr>
      <w:r>
        <w:rPr>
          <w:szCs w:val="22"/>
          <w:lang w:val="en-GB"/>
        </w:rPr>
        <w:t>•</w:t>
      </w:r>
      <w:r>
        <w:rPr>
          <w:szCs w:val="22"/>
          <w:lang w:val="en-GB"/>
        </w:rPr>
        <w:tab/>
        <w:t>Configuration of priorities (QoS/CoS),</w:t>
      </w:r>
    </w:p>
    <w:p>
      <w:pPr>
        <w:pStyle w:val="Normal"/>
        <w:spacing w:before="0" w:after="0"/>
        <w:ind w:start="720" w:end="0"/>
        <w:jc w:val="both"/>
        <w:rPr>
          <w:szCs w:val="22"/>
          <w:lang w:val="en-GB"/>
        </w:rPr>
      </w:pPr>
      <w:r>
        <w:rPr>
          <w:szCs w:val="22"/>
          <w:lang w:val="en-GB"/>
        </w:rPr>
        <w:t>•</w:t>
      </w:r>
      <w:r>
        <w:rPr>
          <w:szCs w:val="22"/>
          <w:lang w:val="en-GB"/>
        </w:rPr>
        <w:tab/>
        <w:t>Configuration of security features.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These configurations, determined in advance, are preferably stored at a central point (TFTP server) so that they can be loaded in the following phase (pre-installation) in a component to be installed.</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Pre-installation</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Activities that are included in the pre-installation are:</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DOA-test;</w:t>
      </w:r>
    </w:p>
    <w:p>
      <w:pPr>
        <w:pStyle w:val="Normal"/>
        <w:spacing w:before="0" w:after="0"/>
        <w:ind w:hanging="720" w:start="1440" w:end="0"/>
        <w:jc w:val="both"/>
        <w:rPr>
          <w:szCs w:val="22"/>
          <w:lang w:val="en-GB"/>
        </w:rPr>
      </w:pPr>
      <w:r>
        <w:rPr>
          <w:szCs w:val="22"/>
          <w:lang w:val="en-GB"/>
        </w:rPr>
        <w:t>•</w:t>
      </w:r>
      <w:r>
        <w:rPr>
          <w:szCs w:val="22"/>
          <w:lang w:val="en-GB"/>
        </w:rPr>
        <w:tab/>
        <w:t>Installation of hardware components;</w:t>
      </w:r>
    </w:p>
    <w:p>
      <w:pPr>
        <w:pStyle w:val="Normal"/>
        <w:spacing w:before="0" w:after="0"/>
        <w:ind w:hanging="720" w:start="1440" w:end="0"/>
        <w:jc w:val="both"/>
        <w:rPr>
          <w:szCs w:val="22"/>
          <w:lang w:val="en-GB"/>
        </w:rPr>
      </w:pPr>
      <w:r>
        <w:rPr>
          <w:szCs w:val="22"/>
          <w:lang w:val="en-GB"/>
        </w:rPr>
        <w:t>•</w:t>
      </w:r>
      <w:r>
        <w:rPr>
          <w:szCs w:val="22"/>
          <w:lang w:val="en-GB"/>
        </w:rPr>
        <w:tab/>
        <w:t>Configuration of the hardware installation;</w:t>
      </w:r>
    </w:p>
    <w:p>
      <w:pPr>
        <w:pStyle w:val="Normal"/>
        <w:spacing w:before="0" w:after="0"/>
        <w:ind w:hanging="720" w:start="1440" w:end="0"/>
        <w:jc w:val="both"/>
        <w:rPr>
          <w:szCs w:val="22"/>
          <w:lang w:val="en-GB"/>
        </w:rPr>
      </w:pPr>
      <w:r>
        <w:rPr>
          <w:szCs w:val="22"/>
          <w:lang w:val="en-GB"/>
        </w:rPr>
        <w:t>•</w:t>
        <w:tab/>
        <w:t>Configuration of the software installation (preloads, firmware). It is assumed that the EuroBank has prepared all the configurations at a central point (TFTP server) so that PST Supplier engineers can load these one by one on the equipment to be installed.</w:t>
      </w: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Staging of the equipment;</w:t>
      </w:r>
    </w:p>
    <w:p>
      <w:pPr>
        <w:pStyle w:val="Normal"/>
        <w:spacing w:before="0" w:after="0"/>
        <w:ind w:hanging="720" w:start="1440" w:end="0"/>
        <w:jc w:val="both"/>
        <w:rPr>
          <w:szCs w:val="22"/>
          <w:lang w:val="en-GB"/>
        </w:rPr>
      </w:pPr>
      <w:r>
        <w:rPr>
          <w:szCs w:val="22"/>
          <w:lang w:val="en-GB"/>
        </w:rPr>
        <w:t>•</w:t>
      </w:r>
      <w:r>
        <w:rPr>
          <w:szCs w:val="22"/>
          <w:lang w:val="en-GB"/>
        </w:rPr>
        <w:tab/>
        <w:t>Asset tagging.</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On-site installation</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On-site installation includes the following work on EuroBank locations:</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Delivery;</w:t>
      </w:r>
    </w:p>
    <w:p>
      <w:pPr>
        <w:pStyle w:val="Normal"/>
        <w:spacing w:before="0" w:after="0"/>
        <w:ind w:hanging="720" w:start="1440" w:end="0"/>
        <w:jc w:val="both"/>
        <w:rPr>
          <w:szCs w:val="22"/>
          <w:lang w:val="en-GB"/>
        </w:rPr>
      </w:pPr>
      <w:r>
        <w:rPr>
          <w:szCs w:val="22"/>
          <w:lang w:val="en-GB"/>
        </w:rPr>
        <w:t>•</w:t>
      </w:r>
      <w:r>
        <w:rPr>
          <w:szCs w:val="22"/>
          <w:lang w:val="en-GB"/>
        </w:rPr>
        <w:tab/>
        <w:t>Unpacking of equipment, checking for damage;</w:t>
      </w:r>
    </w:p>
    <w:p>
      <w:pPr>
        <w:pStyle w:val="Normal"/>
        <w:spacing w:before="0" w:after="0"/>
        <w:ind w:hanging="720" w:start="1440" w:end="0"/>
        <w:jc w:val="both"/>
        <w:rPr>
          <w:szCs w:val="22"/>
          <w:lang w:val="en-GB"/>
        </w:rPr>
      </w:pPr>
      <w:r>
        <w:rPr>
          <w:szCs w:val="22"/>
          <w:lang w:val="en-GB"/>
        </w:rPr>
        <w:t>•</w:t>
      </w:r>
      <w:r>
        <w:rPr>
          <w:szCs w:val="22"/>
          <w:lang w:val="en-GB"/>
        </w:rPr>
        <w:tab/>
        <w:t>Installation/assembly of the equipment;</w:t>
      </w:r>
    </w:p>
    <w:p>
      <w:pPr>
        <w:pStyle w:val="Normal"/>
        <w:spacing w:before="0" w:after="0"/>
        <w:ind w:hanging="720" w:start="1440" w:end="0"/>
        <w:jc w:val="both"/>
        <w:rPr>
          <w:szCs w:val="22"/>
          <w:lang w:val="en-GB"/>
        </w:rPr>
      </w:pPr>
      <w:r>
        <w:rPr>
          <w:szCs w:val="22"/>
          <w:lang w:val="en-GB"/>
        </w:rPr>
        <w:t>•</w:t>
      </w:r>
      <w:r>
        <w:rPr>
          <w:szCs w:val="22"/>
          <w:lang w:val="en-GB"/>
        </w:rPr>
        <w:tab/>
        <w:t>Connection of cables; in other words, the linking of the newly installed active components. This excludes the patching of workplaces to the switches.</w:t>
      </w:r>
    </w:p>
    <w:p>
      <w:pPr>
        <w:pStyle w:val="Normal"/>
        <w:spacing w:before="0" w:after="0"/>
        <w:ind w:hanging="720" w:start="1440" w:end="0"/>
        <w:jc w:val="both"/>
        <w:rPr>
          <w:szCs w:val="22"/>
          <w:lang w:val="en-GB"/>
        </w:rPr>
      </w:pPr>
      <w:r>
        <w:rPr>
          <w:szCs w:val="22"/>
          <w:lang w:val="en-GB"/>
        </w:rPr>
        <w:t>•</w:t>
      </w:r>
      <w:r>
        <w:rPr>
          <w:szCs w:val="22"/>
          <w:lang w:val="en-GB"/>
        </w:rPr>
        <w:tab/>
        <w:t>Customizing specific hardware and software settings;</w:t>
      </w:r>
    </w:p>
    <w:p>
      <w:pPr>
        <w:pStyle w:val="Normal"/>
        <w:spacing w:before="0" w:after="0"/>
        <w:ind w:hanging="720" w:start="1440" w:end="0"/>
        <w:jc w:val="both"/>
        <w:rPr>
          <w:szCs w:val="22"/>
          <w:lang w:val="en-GB"/>
        </w:rPr>
      </w:pPr>
      <w:r>
        <w:rPr>
          <w:szCs w:val="22"/>
          <w:lang w:val="en-GB"/>
        </w:rPr>
        <w:t>•</w:t>
      </w:r>
      <w:r>
        <w:rPr>
          <w:szCs w:val="22"/>
          <w:lang w:val="en-GB"/>
        </w:rPr>
        <w:tab/>
        <w:t>Standard testing is performed on the basis of a IP ping connectivity;</w:t>
      </w:r>
    </w:p>
    <w:p>
      <w:pPr>
        <w:pStyle w:val="Normal"/>
        <w:spacing w:before="0" w:after="0"/>
        <w:ind w:hanging="720" w:start="1440" w:end="0"/>
        <w:jc w:val="both"/>
        <w:rPr>
          <w:szCs w:val="22"/>
          <w:lang w:val="en-GB"/>
        </w:rPr>
      </w:pPr>
      <w:r>
        <w:rPr>
          <w:szCs w:val="22"/>
          <w:lang w:val="en-GB"/>
        </w:rPr>
        <w:t>•</w:t>
      </w:r>
      <w:r>
        <w:rPr>
          <w:szCs w:val="22"/>
          <w:lang w:val="en-GB"/>
        </w:rPr>
        <w:tab/>
        <w:t>Removal of packaging materials.</w:t>
      </w:r>
    </w:p>
    <w:p>
      <w:pPr>
        <w:pStyle w:val="Normal"/>
        <w:spacing w:before="0" w:after="0"/>
        <w:jc w:val="both"/>
        <w:rPr>
          <w:szCs w:val="22"/>
          <w:lang w:val="en-GB"/>
        </w:rPr>
      </w:pPr>
      <w:r>
        <w:rPr>
          <w:szCs w:val="22"/>
          <w:lang w:val="en-GB"/>
        </w:rPr>
      </w:r>
    </w:p>
    <w:p>
      <w:pPr>
        <w:pStyle w:val="Normal"/>
        <w:spacing w:before="0" w:after="0"/>
        <w:jc w:val="both"/>
        <w:rPr>
          <w:b/>
          <w:szCs w:val="22"/>
          <w:lang w:val="en-GB"/>
        </w:rPr>
      </w:pPr>
      <w:r>
        <w:rPr>
          <w:b/>
          <w:szCs w:val="22"/>
          <w:lang w:val="en-GB"/>
        </w:rPr>
        <w:t>New active user ports</w:t>
      </w:r>
    </w:p>
    <w:p>
      <w:pPr>
        <w:pStyle w:val="Normal"/>
        <w:spacing w:before="0" w:after="0"/>
        <w:jc w:val="both"/>
        <w:rPr>
          <w:b/>
          <w:szCs w:val="22"/>
          <w:lang w:val="en-GB"/>
        </w:rPr>
      </w:pPr>
      <w:r>
        <w:rPr>
          <w:b/>
          <w:szCs w:val="22"/>
          <w:lang w:val="en-GB"/>
        </w:rPr>
      </w:r>
    </w:p>
    <w:p>
      <w:pPr>
        <w:pStyle w:val="Normal"/>
        <w:spacing w:before="0" w:after="0"/>
        <w:jc w:val="both"/>
        <w:rPr>
          <w:szCs w:val="22"/>
          <w:lang w:val="en-GB"/>
        </w:rPr>
      </w:pPr>
      <w:r>
        <w:rPr>
          <w:szCs w:val="22"/>
          <w:lang w:val="en-GB"/>
        </w:rPr>
        <w:t>New users will be connected to the LAN after a duly authorized change request has been submitted by EuroBank. In the event that cabling between end-user wall-outlet and switch port is already installed, the switch port is configured and activated by the network management centre and the user should have LAN connectivity. If no cabling is available, patch cables will be installed and then the process as described above is carried out.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PST Supplier’s responsibilities include:</w:t>
      </w:r>
    </w:p>
    <w:p>
      <w:pPr>
        <w:pStyle w:val="Normal"/>
        <w:spacing w:before="0" w:after="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a)</w:t>
        <w:tab/>
        <w:t>Deploying new LAN Equipment and related Software to meet EuroBank’s business and Application requirements.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b)</w:t>
        <w:tab/>
        <w:t>Implementing LAN connections for new Authorized Users.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c)</w:t>
        <w:tab/>
        <w:t>Installing EuroBank-supplied upgrades to the networking environment.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d)</w:t>
        <w:tab/>
        <w:t>Configuring and activating the appropriate LAN Equipment monitoring agent if required by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e)</w:t>
        <w:tab/>
        <w:t>Coordinating and performing testing of LAN Equipment after implementation to include remote monitoring</w:t>
      </w:r>
      <w:r>
        <w:rPr>
          <w:lang w:val="en-GB"/>
        </w:rPr>
        <w:t xml:space="preserve"> through agents and monitoring systems.</w:t>
      </w:r>
    </w:p>
    <w:sectPr>
      <w:headerReference w:type="default" r:id="rId9"/>
      <w:headerReference w:type="first" r:id="rId10"/>
      <w:footerReference w:type="default" r:id="rId11"/>
      <w:footerReference w:type="first" r:id="rId12"/>
      <w:type w:val="nextPage"/>
      <w:pgSz w:w="11906" w:h="16838"/>
      <w:pgMar w:left="1729" w:right="1729" w:gutter="0" w:header="851" w:top="907"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4500" w:leader="none"/>
        <w:tab w:val="right" w:pos="84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21</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2.3 (Network Services) Final v1.5.Doc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drawing>
        <wp:inline distT="0" distB="0" distL="0" distR="0">
          <wp:extent cx="967740" cy="28194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1"/>
                  <a:srcRect l="-28" t="-97" r="-28" b="-97"/>
                  <a:stretch>
                    <a:fillRect/>
                  </a:stretch>
                </pic:blipFill>
                <pic:spPr bwMode="auto">
                  <a:xfrm>
                    <a:off x="0" y="0"/>
                    <a:ext cx="967740" cy="281940"/>
                  </a:xfrm>
                  <a:prstGeom prst="rect">
                    <a:avLst/>
                  </a:prstGeom>
                  <a:noFill/>
                </pic:spPr>
              </pic:pic>
            </a:graphicData>
          </a:graphic>
        </wp:inline>
      </w:drawing>
    </w:r>
    <w:r>
      <w:rPr>
        <w:sz w:val="16"/>
        <w:szCs w:val="16"/>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2.3 (Network Services) Final v1.5.Doc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drawing>
        <wp:inline distT="0" distB="0" distL="0" distR="0">
          <wp:extent cx="967740" cy="28194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1"/>
                  <a:srcRect l="-28" t="-97" r="-28" b="-97"/>
                  <a:stretch>
                    <a:fillRect/>
                  </a:stretch>
                </pic:blipFill>
                <pic:spPr bwMode="auto">
                  <a:xfrm>
                    <a:off x="0" y="0"/>
                    <a:ext cx="967740" cy="281940"/>
                  </a:xfrm>
                  <a:prstGeom prst="rect">
                    <a:avLst/>
                  </a:prstGeom>
                  <a:noFill/>
                </pic:spPr>
              </pic:pic>
            </a:graphicData>
          </a:graphic>
        </wp:inline>
      </w:drawing>
    </w:r>
    <w:r>
      <w:rPr>
        <w:sz w:val="16"/>
        <w:szCs w:val="16"/>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2.3 (Network Services) Final v1.5.Doc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4"/>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Symbol" w:hAnsi="Symbol" w:cs="Symbol"/>
    </w:rPr>
  </w:style>
  <w:style w:type="character" w:styleId="WW8Num5z1">
    <w:name w:val="WW8Num5z1"/>
    <w:qFormat/>
    <w:rPr>
      <w:rFonts w:ascii="Times New Roman" w:hAnsi="Times New Roman" w:eastAsia="Times New Roman" w:cs="Times New Roman"/>
    </w:rPr>
  </w:style>
  <w:style w:type="character" w:styleId="WW8Num5z2">
    <w:name w:val="WW8Num5z2"/>
    <w:qFormat/>
    <w:rPr>
      <w:rFonts w:ascii="Wingdings" w:hAnsi="Wingdings" w:cs="Wingdings"/>
    </w:rPr>
  </w:style>
  <w:style w:type="character" w:styleId="WW8Num5z4">
    <w:name w:val="WW8Num5z4"/>
    <w:qFormat/>
    <w:rPr>
      <w:rFonts w:ascii="Courier New" w:hAnsi="Courier New" w:cs="Courier New"/>
    </w:rPr>
  </w:style>
  <w:style w:type="character" w:styleId="WW8Num6z0">
    <w:name w:val="WW8Num6z0"/>
    <w:qFormat/>
    <w:rPr>
      <w:rFonts w:ascii="Times New Roman" w:hAnsi="Times New Roman" w:cs="Times New Roman"/>
      <w:b w:val="false"/>
      <w:i w:val="false"/>
      <w:color w:val="000000"/>
      <w:sz w:val="22"/>
    </w:rPr>
  </w:style>
  <w:style w:type="character" w:styleId="WW8Num6z1">
    <w:name w:val="WW8Num6z1"/>
    <w:qFormat/>
    <w:rPr>
      <w:rFonts w:ascii="Times New Roman" w:hAnsi="Times New Roman" w:cs="Times New Roman"/>
      <w:b w:val="false"/>
      <w:i w:val="false"/>
      <w:sz w:val="22"/>
    </w:rPr>
  </w:style>
  <w:style w:type="character" w:styleId="WW8Num6z4">
    <w:name w:val="WW8Num6z4"/>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7"/>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6"/>
      </w:numPr>
    </w:pPr>
    <w:rPr>
      <w:bCs/>
    </w:rPr>
  </w:style>
  <w:style w:type="paragraph" w:styleId="TableLevel3Numbered">
    <w:name w:val="Table Level 3 Numbered"/>
    <w:basedOn w:val="Normal"/>
    <w:qFormat/>
    <w:pPr>
      <w:numPr>
        <w:ilvl w:val="0"/>
        <w:numId w:val="6"/>
      </w:numPr>
    </w:pPr>
    <w:rPr/>
  </w:style>
  <w:style w:type="paragraph" w:styleId="TableLevel4Numbered">
    <w:name w:val="Table Level 4 Numbered"/>
    <w:basedOn w:val="Normal"/>
    <w:qFormat/>
    <w:pPr>
      <w:numPr>
        <w:ilvl w:val="0"/>
        <w:numId w:val="6"/>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wmf"/><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2006-11-30T17:32:00Z</dcterms:created>
  <dc:creator> </dc:creator>
  <dc:description/>
  <cp:keywords/>
  <dc:language>en-US</dc:language>
  <cp:lastModifiedBy>Stuart Johnson</cp:lastModifiedBy>
  <cp:lastPrinted>2005-07-04T16:19:00Z</cp:lastPrinted>
  <dcterms:modified xsi:type="dcterms:W3CDTF">2006-11-30T17:42:00Z</dcterms:modified>
  <cp:revision>3</cp:revision>
  <dc:subject/>
  <dc:title> </dc:title>
</cp:coreProperties>
</file>