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240"/>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pStyle w:val="Title"/>
        <w:rPr>
          <w:rFonts w:cs="Times New Roman"/>
          <w:lang w:val="en-GB"/>
        </w:rPr>
      </w:pPr>
      <w:r>
        <w:rPr>
          <w:rFonts w:cs="Times New Roman"/>
          <w:lang w:val="en-GB"/>
        </w:rPr>
        <w:t>EuroBank</w:t>
      </w:r>
    </w:p>
    <w:p>
      <w:pPr>
        <w:pStyle w:val="Title"/>
        <w:rPr>
          <w:rFonts w:cs="Times New Roman"/>
          <w:lang w:val="en-GB"/>
        </w:rPr>
      </w:pPr>
      <w:r>
        <w:rPr>
          <w:rFonts w:cs="Times New Roman"/>
          <w:lang w:val="en-GB"/>
        </w:rPr>
      </w:r>
    </w:p>
    <w:p>
      <w:pPr>
        <w:pStyle w:val="Title"/>
        <w:rPr>
          <w:rFonts w:cs="Times New Roman"/>
          <w:lang w:val="en-GB"/>
        </w:rPr>
      </w:pPr>
      <w:r>
        <w:rPr>
          <w:rFonts w:cs="Times New Roman"/>
          <w:lang w:val="en-GB"/>
        </w:rPr>
        <w:t>exhibit 2.4</w:t>
      </w:r>
    </w:p>
    <w:p>
      <w:pPr>
        <w:pStyle w:val="Title"/>
        <w:rPr>
          <w:rFonts w:cs="Times New Roman"/>
          <w:lang w:val="en-GB"/>
        </w:rPr>
      </w:pPr>
      <w:r>
        <w:rPr>
          <w:rFonts w:cs="Times New Roman"/>
          <w:lang w:val="en-GB"/>
        </w:rPr>
      </w:r>
    </w:p>
    <w:p>
      <w:pPr>
        <w:pStyle w:val="Title"/>
        <w:rPr>
          <w:rFonts w:cs="Times New Roman"/>
          <w:lang w:val="en-GB"/>
        </w:rPr>
      </w:pPr>
      <w:r>
        <w:rPr>
          <w:rFonts w:cs="Times New Roman"/>
          <w:lang w:val="en-GB"/>
        </w:rPr>
        <w:t>Managed Voice Services</w:t>
      </w:r>
    </w:p>
    <w:p>
      <w:pPr>
        <w:pStyle w:val="Title"/>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sectPr>
          <w:headerReference w:type="default" r:id="rId2"/>
          <w:footerReference w:type="default" r:id="rId3"/>
          <w:type w:val="nextPage"/>
          <w:pgSz w:w="11906" w:h="16838"/>
          <w:pgMar w:left="1729" w:right="1729" w:gutter="0" w:header="720" w:top="776" w:footer="720" w:bottom="1094"/>
          <w:pgNumType w:fmt="decimal"/>
          <w:formProt w:val="false"/>
          <w:textDirection w:val="lrTb"/>
          <w:docGrid w:type="default" w:linePitch="360" w:charSpace="0"/>
        </w:sectPr>
        <w:pStyle w:val="Normal"/>
        <w:rPr>
          <w:rFonts w:cs="Times New Roman"/>
          <w:sz w:val="22"/>
          <w:szCs w:val="22"/>
          <w:lang w:val="en-GB"/>
        </w:rPr>
      </w:pPr>
      <w:r>
        <w:rPr>
          <w:rFonts w:cs="Times New Roman"/>
          <w:sz w:val="22"/>
          <w:szCs w:val="22"/>
          <w:lang w:val="en-GB"/>
        </w:rPr>
      </w:r>
    </w:p>
    <w:p>
      <w:pPr>
        <w:pStyle w:val="Title"/>
        <w:rPr/>
      </w:pPr>
      <w:r>
        <w:rPr/>
        <w:t>Table of Contents</w:t>
      </w:r>
    </w:p>
    <w:sdt>
      <w:sdtPr>
        <w:docPartObj>
          <w:docPartGallery w:val="Table of Contents"/>
          <w:docPartUnique w:val="true"/>
        </w:docPartObj>
      </w:sdtPr>
      <w:sdtContent>
        <w:p>
          <w:pPr>
            <w:pStyle w:val="TOC1"/>
            <w:tabs>
              <w:tab w:val="clear" w:pos="720"/>
              <w:tab w:val="left" w:pos="440" w:leader="none"/>
              <w:tab w:val="right" w:pos="8441" w:leader="dot"/>
            </w:tabs>
            <w:rPr>
              <w:b w:val="false"/>
              <w:sz w:val="18"/>
              <w:szCs w:val="18"/>
              <w:lang w:val="en-US" w:eastAsia="en-US"/>
            </w:rPr>
          </w:pPr>
          <w:r>
            <w:fldChar w:fldCharType="begin"/>
          </w:r>
          <w:r>
            <w:rPr>
              <w:sz w:val="18"/>
              <w:szCs w:val="18"/>
              <w:lang w:val="en-GB" w:eastAsia="en-US"/>
            </w:rPr>
            <w:instrText xml:space="preserve"> TOC \o "3-9" \t "Heading,1,Heading 1 Numbered,1,Heading 2 Numbered,2" </w:instrText>
          </w:r>
          <w:r>
            <w:rPr>
              <w:sz w:val="18"/>
              <w:szCs w:val="18"/>
              <w:lang w:val="en-GB" w:eastAsia="en-US"/>
            </w:rPr>
            <w:fldChar w:fldCharType="separate"/>
          </w:r>
          <w:r>
            <w:rPr>
              <w:sz w:val="18"/>
              <w:szCs w:val="18"/>
              <w:lang w:val="en-GB" w:eastAsia="en-US"/>
            </w:rPr>
            <w:t>1.</w:t>
          </w:r>
          <w:r>
            <w:rPr>
              <w:b w:val="false"/>
              <w:sz w:val="18"/>
              <w:szCs w:val="18"/>
              <w:lang w:val="en-US" w:eastAsia="en-US"/>
            </w:rPr>
            <w:tab/>
          </w:r>
          <w:r>
            <w:rPr>
              <w:sz w:val="18"/>
              <w:szCs w:val="18"/>
              <w:lang w:val="en-GB" w:eastAsia="en-US"/>
            </w:rPr>
            <w:t>COMMON VOICE NETWORK SERVICES</w:t>
          </w:r>
          <w:r>
            <w:rPr>
              <w:sz w:val="18"/>
              <w:szCs w:val="18"/>
              <w:lang w:val="en-US" w:eastAsia="en-US"/>
            </w:rPr>
            <w:tab/>
          </w:r>
          <w:hyperlink w:anchor="__RefHeading___Toc150058569">
            <w:r>
              <w:rPr>
                <w:rStyle w:val="IndexLink"/>
                <w:sz w:val="18"/>
                <w:szCs w:val="18"/>
                <w:lang w:val="en-US" w:eastAsia="en-US"/>
              </w:rPr>
              <w:t>3</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1.1</w:t>
          </w:r>
          <w:r>
            <w:rPr>
              <w:b w:val="false"/>
              <w:sz w:val="18"/>
              <w:szCs w:val="18"/>
              <w:lang w:val="en-US" w:eastAsia="en-US"/>
            </w:rPr>
            <w:tab/>
          </w:r>
          <w:r>
            <w:rPr>
              <w:sz w:val="18"/>
              <w:szCs w:val="18"/>
              <w:lang w:val="en-GB" w:eastAsia="en-US"/>
            </w:rPr>
            <w:t>Demarcation Boundaries of the Services and Sites</w:t>
          </w:r>
          <w:r>
            <w:rPr>
              <w:sz w:val="18"/>
              <w:szCs w:val="18"/>
              <w:lang w:val="en-US" w:eastAsia="en-US"/>
            </w:rPr>
            <w:tab/>
          </w:r>
          <w:hyperlink w:anchor="__RefHeading___Toc150058570">
            <w:r>
              <w:rPr>
                <w:rStyle w:val="IndexLink"/>
                <w:sz w:val="18"/>
                <w:szCs w:val="18"/>
                <w:lang w:val="en-US" w:eastAsia="en-US"/>
              </w:rPr>
              <w:t>3</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1.2</w:t>
          </w:r>
          <w:r>
            <w:rPr>
              <w:b w:val="false"/>
              <w:sz w:val="18"/>
              <w:szCs w:val="18"/>
              <w:lang w:val="en-US" w:eastAsia="en-US"/>
            </w:rPr>
            <w:tab/>
          </w:r>
          <w:r>
            <w:rPr>
              <w:sz w:val="18"/>
              <w:szCs w:val="18"/>
              <w:lang w:val="en-GB" w:eastAsia="en-US"/>
            </w:rPr>
            <w:t>General Management Services</w:t>
          </w:r>
          <w:r>
            <w:rPr>
              <w:sz w:val="18"/>
              <w:szCs w:val="18"/>
              <w:lang w:val="en-US" w:eastAsia="en-US"/>
            </w:rPr>
            <w:tab/>
          </w:r>
          <w:hyperlink w:anchor="__RefHeading___Toc150058571">
            <w:r>
              <w:rPr>
                <w:rStyle w:val="IndexLink"/>
                <w:sz w:val="18"/>
                <w:szCs w:val="18"/>
                <w:lang w:val="en-US" w:eastAsia="en-US"/>
              </w:rPr>
              <w:t>3</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1.3</w:t>
          </w:r>
          <w:r>
            <w:rPr>
              <w:b w:val="false"/>
              <w:sz w:val="18"/>
              <w:szCs w:val="18"/>
              <w:lang w:val="en-US" w:eastAsia="en-US"/>
            </w:rPr>
            <w:tab/>
          </w:r>
          <w:r>
            <w:rPr>
              <w:sz w:val="18"/>
              <w:szCs w:val="18"/>
              <w:lang w:val="en-GB" w:eastAsia="en-US"/>
            </w:rPr>
            <w:t>General Administration Services</w:t>
          </w:r>
          <w:r>
            <w:rPr>
              <w:sz w:val="18"/>
              <w:szCs w:val="18"/>
              <w:lang w:val="en-US" w:eastAsia="en-US"/>
            </w:rPr>
            <w:tab/>
          </w:r>
          <w:hyperlink w:anchor="__RefHeading___Toc150058572">
            <w:r>
              <w:rPr>
                <w:rStyle w:val="IndexLink"/>
                <w:sz w:val="18"/>
                <w:szCs w:val="18"/>
                <w:lang w:val="en-US" w:eastAsia="en-US"/>
              </w:rPr>
              <w:t>4</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1.4</w:t>
          </w:r>
          <w:r>
            <w:rPr>
              <w:b w:val="false"/>
              <w:sz w:val="18"/>
              <w:szCs w:val="18"/>
              <w:lang w:val="en-US" w:eastAsia="en-US"/>
            </w:rPr>
            <w:tab/>
          </w:r>
          <w:r>
            <w:rPr>
              <w:sz w:val="18"/>
              <w:szCs w:val="18"/>
              <w:lang w:val="en-GB" w:eastAsia="en-US"/>
            </w:rPr>
            <w:t>Third Party Vendor management and coordination</w:t>
          </w:r>
          <w:r>
            <w:rPr>
              <w:sz w:val="18"/>
              <w:szCs w:val="18"/>
              <w:lang w:val="en-US" w:eastAsia="en-US"/>
            </w:rPr>
            <w:tab/>
          </w:r>
          <w:hyperlink w:anchor="__RefHeading___Toc150058573">
            <w:r>
              <w:rPr>
                <w:rStyle w:val="IndexLink"/>
                <w:sz w:val="18"/>
                <w:szCs w:val="18"/>
                <w:lang w:val="en-US" w:eastAsia="en-US"/>
              </w:rPr>
              <w:t>5</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1.5</w:t>
          </w:r>
          <w:r>
            <w:rPr>
              <w:b w:val="false"/>
              <w:sz w:val="18"/>
              <w:szCs w:val="18"/>
              <w:lang w:val="en-US" w:eastAsia="en-US"/>
            </w:rPr>
            <w:tab/>
          </w:r>
          <w:r>
            <w:rPr>
              <w:sz w:val="18"/>
              <w:szCs w:val="18"/>
              <w:lang w:val="en-GB" w:eastAsia="en-US"/>
            </w:rPr>
            <w:t>Planning Services</w:t>
          </w:r>
          <w:r>
            <w:rPr>
              <w:sz w:val="18"/>
              <w:szCs w:val="18"/>
              <w:lang w:val="en-US" w:eastAsia="en-US"/>
            </w:rPr>
            <w:tab/>
          </w:r>
          <w:hyperlink w:anchor="__RefHeading___Toc150058574">
            <w:r>
              <w:rPr>
                <w:rStyle w:val="IndexLink"/>
                <w:sz w:val="18"/>
                <w:szCs w:val="18"/>
                <w:lang w:val="en-US" w:eastAsia="en-US"/>
              </w:rPr>
              <w:t>6</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1.6</w:t>
          </w:r>
          <w:r>
            <w:rPr>
              <w:b w:val="false"/>
              <w:sz w:val="18"/>
              <w:szCs w:val="18"/>
              <w:lang w:val="en-US" w:eastAsia="en-US"/>
            </w:rPr>
            <w:tab/>
          </w:r>
          <w:r>
            <w:rPr>
              <w:sz w:val="18"/>
              <w:szCs w:val="18"/>
              <w:lang w:val="en-GB" w:eastAsia="en-US"/>
            </w:rPr>
            <w:t>General Monitoring and Management</w:t>
          </w:r>
          <w:r>
            <w:rPr>
              <w:sz w:val="18"/>
              <w:szCs w:val="18"/>
              <w:lang w:val="en-US" w:eastAsia="en-US"/>
            </w:rPr>
            <w:tab/>
          </w:r>
          <w:hyperlink w:anchor="__RefHeading___Toc150058575">
            <w:r>
              <w:rPr>
                <w:rStyle w:val="IndexLink"/>
                <w:sz w:val="18"/>
                <w:szCs w:val="18"/>
                <w:lang w:val="en-US" w:eastAsia="en-US"/>
              </w:rPr>
              <w:t>7</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1.7</w:t>
          </w:r>
          <w:r>
            <w:rPr>
              <w:b w:val="false"/>
              <w:sz w:val="18"/>
              <w:szCs w:val="18"/>
              <w:lang w:val="en-US" w:eastAsia="en-US"/>
            </w:rPr>
            <w:tab/>
          </w:r>
          <w:r>
            <w:rPr>
              <w:sz w:val="18"/>
              <w:szCs w:val="18"/>
              <w:lang w:val="en-GB" w:eastAsia="en-US"/>
            </w:rPr>
            <w:t>Specific Capacity and Configuration Management</w:t>
          </w:r>
          <w:r>
            <w:rPr>
              <w:sz w:val="18"/>
              <w:szCs w:val="18"/>
              <w:lang w:val="en-US" w:eastAsia="en-US"/>
            </w:rPr>
            <w:tab/>
          </w:r>
          <w:hyperlink w:anchor="__RefHeading___Toc150058576">
            <w:r>
              <w:rPr>
                <w:rStyle w:val="IndexLink"/>
                <w:sz w:val="18"/>
                <w:szCs w:val="18"/>
                <w:lang w:val="en-US" w:eastAsia="en-US"/>
              </w:rPr>
              <w:t>8</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1.8</w:t>
          </w:r>
          <w:r>
            <w:rPr>
              <w:b w:val="false"/>
              <w:sz w:val="18"/>
              <w:szCs w:val="18"/>
              <w:lang w:val="en-US" w:eastAsia="en-US"/>
            </w:rPr>
            <w:tab/>
          </w:r>
          <w:r>
            <w:rPr>
              <w:sz w:val="18"/>
              <w:szCs w:val="18"/>
              <w:lang w:val="en-GB" w:eastAsia="en-US"/>
            </w:rPr>
            <w:t>Availability Management</w:t>
          </w:r>
          <w:r>
            <w:rPr>
              <w:sz w:val="18"/>
              <w:szCs w:val="18"/>
              <w:lang w:val="en-US" w:eastAsia="en-US"/>
            </w:rPr>
            <w:tab/>
          </w:r>
          <w:hyperlink w:anchor="__RefHeading___Toc150058577">
            <w:r>
              <w:rPr>
                <w:rStyle w:val="IndexLink"/>
                <w:sz w:val="18"/>
                <w:szCs w:val="18"/>
                <w:lang w:val="en-US" w:eastAsia="en-US"/>
              </w:rPr>
              <w:t>9</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1.9</w:t>
          </w:r>
          <w:r>
            <w:rPr>
              <w:b w:val="false"/>
              <w:sz w:val="18"/>
              <w:szCs w:val="18"/>
              <w:lang w:val="en-US" w:eastAsia="en-US"/>
            </w:rPr>
            <w:tab/>
          </w:r>
          <w:r>
            <w:rPr>
              <w:sz w:val="18"/>
              <w:szCs w:val="18"/>
              <w:lang w:val="en-GB" w:eastAsia="en-US"/>
            </w:rPr>
            <w:t>Performance Optimization</w:t>
          </w:r>
          <w:r>
            <w:rPr>
              <w:sz w:val="18"/>
              <w:szCs w:val="18"/>
              <w:lang w:val="en-US" w:eastAsia="en-US"/>
            </w:rPr>
            <w:tab/>
          </w:r>
          <w:hyperlink w:anchor="__RefHeading___Toc150058578">
            <w:r>
              <w:rPr>
                <w:rStyle w:val="IndexLink"/>
                <w:sz w:val="18"/>
                <w:szCs w:val="18"/>
                <w:lang w:val="en-US" w:eastAsia="en-US"/>
              </w:rPr>
              <w:t>10</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1.10</w:t>
          </w:r>
          <w:r>
            <w:rPr>
              <w:b w:val="false"/>
              <w:sz w:val="18"/>
              <w:szCs w:val="18"/>
              <w:lang w:val="en-US" w:eastAsia="en-US"/>
            </w:rPr>
            <w:tab/>
          </w:r>
          <w:r>
            <w:rPr>
              <w:sz w:val="18"/>
              <w:szCs w:val="18"/>
              <w:lang w:val="en-GB" w:eastAsia="en-US"/>
            </w:rPr>
            <w:t>Voice Network Control and Connectivity Services</w:t>
          </w:r>
          <w:r>
            <w:rPr>
              <w:sz w:val="18"/>
              <w:szCs w:val="18"/>
              <w:lang w:val="en-US" w:eastAsia="en-US"/>
            </w:rPr>
            <w:tab/>
          </w:r>
          <w:hyperlink w:anchor="__RefHeading___Toc150058579">
            <w:r>
              <w:rPr>
                <w:rStyle w:val="IndexLink"/>
                <w:sz w:val="18"/>
                <w:szCs w:val="18"/>
                <w:lang w:val="en-US" w:eastAsia="en-US"/>
              </w:rPr>
              <w:t>11</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1.11</w:t>
          </w:r>
          <w:r>
            <w:rPr>
              <w:b w:val="false"/>
              <w:sz w:val="18"/>
              <w:szCs w:val="18"/>
              <w:lang w:val="en-US" w:eastAsia="en-US"/>
            </w:rPr>
            <w:tab/>
          </w:r>
          <w:r>
            <w:rPr>
              <w:sz w:val="18"/>
              <w:szCs w:val="18"/>
              <w:lang w:val="en-GB" w:eastAsia="en-US"/>
            </w:rPr>
            <w:t>Other Voice network Operations Services</w:t>
          </w:r>
          <w:r>
            <w:rPr>
              <w:sz w:val="18"/>
              <w:szCs w:val="18"/>
              <w:lang w:val="en-US" w:eastAsia="en-US"/>
            </w:rPr>
            <w:tab/>
          </w:r>
          <w:hyperlink w:anchor="__RefHeading___Toc150058580">
            <w:r>
              <w:rPr>
                <w:rStyle w:val="IndexLink"/>
                <w:sz w:val="18"/>
                <w:szCs w:val="18"/>
                <w:lang w:val="en-US" w:eastAsia="en-US"/>
              </w:rPr>
              <w:t>12</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1.12</w:t>
          </w:r>
          <w:r>
            <w:rPr>
              <w:b w:val="false"/>
              <w:sz w:val="18"/>
              <w:szCs w:val="18"/>
              <w:lang w:val="en-US" w:eastAsia="en-US"/>
            </w:rPr>
            <w:tab/>
          </w:r>
          <w:r>
            <w:rPr>
              <w:sz w:val="18"/>
              <w:szCs w:val="18"/>
              <w:lang w:val="en-GB" w:eastAsia="en-US"/>
            </w:rPr>
            <w:t>Specific Installs, Moves, Adds and Changes (IMACs) Services</w:t>
          </w:r>
          <w:r>
            <w:rPr>
              <w:sz w:val="18"/>
              <w:szCs w:val="18"/>
              <w:lang w:val="en-US" w:eastAsia="en-US"/>
            </w:rPr>
            <w:tab/>
          </w:r>
          <w:hyperlink w:anchor="__RefHeading___Toc150058581">
            <w:r>
              <w:rPr>
                <w:rStyle w:val="IndexLink"/>
                <w:sz w:val="18"/>
                <w:szCs w:val="18"/>
                <w:lang w:val="en-US" w:eastAsia="en-US"/>
              </w:rPr>
              <w:t>12</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1.13</w:t>
          </w:r>
          <w:r>
            <w:rPr>
              <w:b w:val="false"/>
              <w:sz w:val="18"/>
              <w:szCs w:val="18"/>
              <w:lang w:val="en-US" w:eastAsia="en-US"/>
            </w:rPr>
            <w:tab/>
          </w:r>
          <w:r>
            <w:rPr>
              <w:sz w:val="18"/>
              <w:szCs w:val="18"/>
              <w:lang w:val="en-GB" w:eastAsia="en-US"/>
            </w:rPr>
            <w:t>Site Info and Documentation Services</w:t>
          </w:r>
          <w:r>
            <w:rPr>
              <w:sz w:val="18"/>
              <w:szCs w:val="18"/>
              <w:lang w:val="en-US" w:eastAsia="en-US"/>
            </w:rPr>
            <w:tab/>
          </w:r>
          <w:hyperlink w:anchor="__RefHeading___Toc150058582">
            <w:r>
              <w:rPr>
                <w:rStyle w:val="IndexLink"/>
                <w:sz w:val="18"/>
                <w:szCs w:val="18"/>
                <w:lang w:val="en-US" w:eastAsia="en-US"/>
              </w:rPr>
              <w:t>14</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1.14</w:t>
          </w:r>
          <w:r>
            <w:rPr>
              <w:b w:val="false"/>
              <w:sz w:val="18"/>
              <w:szCs w:val="18"/>
              <w:lang w:val="en-US" w:eastAsia="en-US"/>
            </w:rPr>
            <w:tab/>
          </w:r>
          <w:r>
            <w:rPr>
              <w:sz w:val="18"/>
              <w:szCs w:val="18"/>
              <w:lang w:val="en-GB" w:eastAsia="en-US"/>
            </w:rPr>
            <w:t>Power Supply</w:t>
          </w:r>
          <w:r>
            <w:rPr>
              <w:sz w:val="18"/>
              <w:szCs w:val="18"/>
              <w:lang w:val="en-US" w:eastAsia="en-US"/>
            </w:rPr>
            <w:tab/>
          </w:r>
          <w:hyperlink w:anchor="__RefHeading___Toc150058583">
            <w:r>
              <w:rPr>
                <w:rStyle w:val="IndexLink"/>
                <w:sz w:val="18"/>
                <w:szCs w:val="18"/>
                <w:lang w:val="en-US" w:eastAsia="en-US"/>
              </w:rPr>
              <w:t>14</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1.15</w:t>
          </w:r>
          <w:r>
            <w:rPr>
              <w:b w:val="false"/>
              <w:sz w:val="18"/>
              <w:szCs w:val="18"/>
              <w:lang w:val="en-US" w:eastAsia="en-US"/>
            </w:rPr>
            <w:tab/>
          </w:r>
          <w:r>
            <w:rPr>
              <w:sz w:val="18"/>
              <w:szCs w:val="18"/>
              <w:lang w:val="en-GB" w:eastAsia="en-US"/>
            </w:rPr>
            <w:t>Cabling and Wiring Services</w:t>
          </w:r>
          <w:r>
            <w:rPr>
              <w:sz w:val="18"/>
              <w:szCs w:val="18"/>
              <w:lang w:val="en-US" w:eastAsia="en-US"/>
            </w:rPr>
            <w:tab/>
          </w:r>
          <w:hyperlink w:anchor="__RefHeading___Toc150058584">
            <w:r>
              <w:rPr>
                <w:rStyle w:val="IndexLink"/>
                <w:sz w:val="18"/>
                <w:szCs w:val="18"/>
                <w:lang w:val="en-US" w:eastAsia="en-US"/>
              </w:rPr>
              <w:t>15</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1.16</w:t>
          </w:r>
          <w:r>
            <w:rPr>
              <w:b w:val="false"/>
              <w:sz w:val="18"/>
              <w:szCs w:val="18"/>
              <w:lang w:val="en-US" w:eastAsia="en-US"/>
            </w:rPr>
            <w:tab/>
          </w:r>
          <w:r>
            <w:rPr>
              <w:sz w:val="18"/>
              <w:szCs w:val="18"/>
              <w:lang w:val="en-GB" w:eastAsia="en-US"/>
            </w:rPr>
            <w:t>Software Currency and Support Services</w:t>
          </w:r>
          <w:r>
            <w:rPr>
              <w:sz w:val="18"/>
              <w:szCs w:val="18"/>
              <w:lang w:val="en-US" w:eastAsia="en-US"/>
            </w:rPr>
            <w:tab/>
          </w:r>
          <w:hyperlink w:anchor="__RefHeading___Toc150058585">
            <w:r>
              <w:rPr>
                <w:rStyle w:val="IndexLink"/>
                <w:sz w:val="18"/>
                <w:szCs w:val="18"/>
                <w:lang w:val="en-US" w:eastAsia="en-US"/>
              </w:rPr>
              <w:t>15</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1.17</w:t>
          </w:r>
          <w:r>
            <w:rPr>
              <w:b w:val="false"/>
              <w:sz w:val="18"/>
              <w:szCs w:val="18"/>
              <w:lang w:val="en-US" w:eastAsia="en-US"/>
            </w:rPr>
            <w:tab/>
          </w:r>
          <w:r>
            <w:rPr>
              <w:sz w:val="18"/>
              <w:szCs w:val="18"/>
              <w:lang w:val="en-GB" w:eastAsia="en-US"/>
            </w:rPr>
            <w:t>Voice network Security Services</w:t>
          </w:r>
          <w:r>
            <w:rPr>
              <w:sz w:val="18"/>
              <w:szCs w:val="18"/>
              <w:lang w:val="en-US" w:eastAsia="en-US"/>
            </w:rPr>
            <w:tab/>
          </w:r>
          <w:hyperlink w:anchor="__RefHeading___Toc150058586">
            <w:r>
              <w:rPr>
                <w:rStyle w:val="IndexLink"/>
                <w:sz w:val="18"/>
                <w:szCs w:val="18"/>
                <w:lang w:val="en-US" w:eastAsia="en-US"/>
              </w:rPr>
              <w:t>16</w:t>
            </w:r>
          </w:hyperlink>
        </w:p>
        <w:p>
          <w:pPr>
            <w:pStyle w:val="TOC1"/>
            <w:tabs>
              <w:tab w:val="clear" w:pos="720"/>
              <w:tab w:val="left" w:pos="440" w:leader="none"/>
              <w:tab w:val="right" w:pos="8441" w:leader="dot"/>
            </w:tabs>
            <w:rPr>
              <w:b w:val="false"/>
              <w:sz w:val="18"/>
              <w:szCs w:val="18"/>
              <w:lang w:val="en-US" w:eastAsia="en-US"/>
            </w:rPr>
          </w:pPr>
          <w:r>
            <w:rPr>
              <w:sz w:val="18"/>
              <w:szCs w:val="18"/>
              <w:lang w:val="en-GB" w:eastAsia="en-US"/>
            </w:rPr>
            <w:t>2.</w:t>
          </w:r>
          <w:r>
            <w:rPr>
              <w:b w:val="false"/>
              <w:sz w:val="18"/>
              <w:szCs w:val="18"/>
              <w:lang w:val="en-US" w:eastAsia="en-US"/>
            </w:rPr>
            <w:tab/>
          </w:r>
          <w:r>
            <w:rPr>
              <w:sz w:val="18"/>
              <w:szCs w:val="18"/>
              <w:lang w:val="en-GB" w:eastAsia="en-US"/>
            </w:rPr>
            <w:t>VOICE SERVICES</w:t>
          </w:r>
          <w:r>
            <w:rPr>
              <w:sz w:val="18"/>
              <w:szCs w:val="18"/>
              <w:lang w:val="en-US" w:eastAsia="en-US"/>
            </w:rPr>
            <w:tab/>
          </w:r>
          <w:hyperlink w:anchor="__RefHeading___Toc150058587">
            <w:r>
              <w:rPr>
                <w:rStyle w:val="IndexLink"/>
                <w:sz w:val="18"/>
                <w:szCs w:val="18"/>
                <w:lang w:val="en-US" w:eastAsia="en-US"/>
              </w:rPr>
              <w:t>17</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2.1</w:t>
          </w:r>
          <w:r>
            <w:rPr>
              <w:b w:val="false"/>
              <w:sz w:val="18"/>
              <w:szCs w:val="18"/>
              <w:lang w:val="en-US" w:eastAsia="en-US"/>
            </w:rPr>
            <w:tab/>
          </w:r>
          <w:r>
            <w:rPr>
              <w:sz w:val="18"/>
              <w:szCs w:val="18"/>
              <w:lang w:val="en-GB" w:eastAsia="en-US"/>
            </w:rPr>
            <w:t>General voice services</w:t>
          </w:r>
          <w:r>
            <w:rPr>
              <w:sz w:val="18"/>
              <w:szCs w:val="18"/>
              <w:lang w:val="en-US" w:eastAsia="en-US"/>
            </w:rPr>
            <w:tab/>
          </w:r>
          <w:hyperlink w:anchor="__RefHeading___Toc150058588">
            <w:r>
              <w:rPr>
                <w:rStyle w:val="IndexLink"/>
                <w:sz w:val="18"/>
                <w:szCs w:val="18"/>
                <w:lang w:val="en-US" w:eastAsia="en-US"/>
              </w:rPr>
              <w:t>17</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2.2</w:t>
          </w:r>
          <w:r>
            <w:rPr>
              <w:b w:val="false"/>
              <w:sz w:val="18"/>
              <w:szCs w:val="18"/>
              <w:lang w:val="en-US" w:eastAsia="en-US"/>
            </w:rPr>
            <w:tab/>
          </w:r>
          <w:r>
            <w:rPr>
              <w:sz w:val="18"/>
              <w:szCs w:val="18"/>
              <w:lang w:val="en-GB" w:eastAsia="en-US"/>
            </w:rPr>
            <w:t>Call Accounting Services</w:t>
          </w:r>
          <w:r>
            <w:rPr>
              <w:sz w:val="18"/>
              <w:szCs w:val="18"/>
              <w:lang w:val="en-US" w:eastAsia="en-US"/>
            </w:rPr>
            <w:tab/>
          </w:r>
          <w:hyperlink w:anchor="__RefHeading___Toc150058589">
            <w:r>
              <w:rPr>
                <w:rStyle w:val="IndexLink"/>
                <w:sz w:val="18"/>
                <w:szCs w:val="18"/>
                <w:lang w:val="en-US" w:eastAsia="en-US"/>
              </w:rPr>
              <w:t>19</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2.3</w:t>
          </w:r>
          <w:r>
            <w:rPr>
              <w:b w:val="false"/>
              <w:sz w:val="18"/>
              <w:szCs w:val="18"/>
              <w:lang w:val="en-US" w:eastAsia="en-US"/>
            </w:rPr>
            <w:tab/>
          </w:r>
          <w:r>
            <w:rPr>
              <w:sz w:val="18"/>
              <w:szCs w:val="18"/>
              <w:lang w:val="en-GB" w:eastAsia="en-US"/>
            </w:rPr>
            <w:t>Toll Services</w:t>
          </w:r>
          <w:r>
            <w:rPr>
              <w:sz w:val="18"/>
              <w:szCs w:val="18"/>
              <w:lang w:val="en-US" w:eastAsia="en-US"/>
            </w:rPr>
            <w:tab/>
          </w:r>
          <w:hyperlink w:anchor="__RefHeading___Toc150058590">
            <w:r>
              <w:rPr>
                <w:rStyle w:val="IndexLink"/>
                <w:sz w:val="18"/>
                <w:szCs w:val="18"/>
                <w:lang w:val="en-US" w:eastAsia="en-US"/>
              </w:rPr>
              <w:t>20</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2.4</w:t>
          </w:r>
          <w:r>
            <w:rPr>
              <w:b w:val="false"/>
              <w:sz w:val="18"/>
              <w:szCs w:val="18"/>
              <w:lang w:val="en-US" w:eastAsia="en-US"/>
            </w:rPr>
            <w:tab/>
          </w:r>
          <w:r>
            <w:rPr>
              <w:sz w:val="18"/>
              <w:szCs w:val="18"/>
              <w:lang w:val="en-GB" w:eastAsia="en-US"/>
            </w:rPr>
            <w:t>Toll Fraud Services</w:t>
          </w:r>
          <w:r>
            <w:rPr>
              <w:sz w:val="18"/>
              <w:szCs w:val="18"/>
              <w:lang w:val="en-US" w:eastAsia="en-US"/>
            </w:rPr>
            <w:tab/>
          </w:r>
          <w:hyperlink w:anchor="__RefHeading___Toc150058591">
            <w:r>
              <w:rPr>
                <w:rStyle w:val="IndexLink"/>
                <w:sz w:val="18"/>
                <w:szCs w:val="18"/>
                <w:lang w:val="en-US" w:eastAsia="en-US"/>
              </w:rPr>
              <w:t>21</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2.5</w:t>
          </w:r>
          <w:r>
            <w:rPr>
              <w:b w:val="false"/>
              <w:sz w:val="18"/>
              <w:szCs w:val="18"/>
              <w:lang w:val="en-US" w:eastAsia="en-US"/>
            </w:rPr>
            <w:tab/>
          </w:r>
          <w:r>
            <w:rPr>
              <w:sz w:val="18"/>
              <w:szCs w:val="18"/>
              <w:lang w:val="en-GB" w:eastAsia="en-US"/>
            </w:rPr>
            <w:t>Standard Technical Voice Services</w:t>
          </w:r>
          <w:r>
            <w:rPr>
              <w:sz w:val="18"/>
              <w:szCs w:val="18"/>
              <w:lang w:val="en-US" w:eastAsia="en-US"/>
            </w:rPr>
            <w:tab/>
          </w:r>
          <w:hyperlink w:anchor="__RefHeading___Toc150058592">
            <w:r>
              <w:rPr>
                <w:rStyle w:val="IndexLink"/>
                <w:sz w:val="18"/>
                <w:szCs w:val="18"/>
                <w:lang w:val="en-US" w:eastAsia="en-US"/>
              </w:rPr>
              <w:t>22</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2.6</w:t>
          </w:r>
          <w:r>
            <w:rPr>
              <w:b w:val="false"/>
              <w:sz w:val="18"/>
              <w:szCs w:val="18"/>
              <w:lang w:val="en-US" w:eastAsia="en-US"/>
            </w:rPr>
            <w:tab/>
          </w:r>
          <w:r>
            <w:rPr>
              <w:sz w:val="18"/>
              <w:szCs w:val="18"/>
              <w:lang w:val="en-GB" w:eastAsia="en-US"/>
            </w:rPr>
            <w:t>Standard Voice Services Monitoring and Operations</w:t>
          </w:r>
          <w:r>
            <w:rPr>
              <w:sz w:val="18"/>
              <w:szCs w:val="18"/>
              <w:lang w:val="en-US" w:eastAsia="en-US"/>
            </w:rPr>
            <w:tab/>
          </w:r>
          <w:hyperlink w:anchor="__RefHeading___Toc150058593">
            <w:r>
              <w:rPr>
                <w:rStyle w:val="IndexLink"/>
                <w:sz w:val="18"/>
                <w:szCs w:val="18"/>
                <w:lang w:val="en-US" w:eastAsia="en-US"/>
              </w:rPr>
              <w:t>22</w:t>
            </w:r>
          </w:hyperlink>
        </w:p>
        <w:p>
          <w:pPr>
            <w:pStyle w:val="TOC1"/>
            <w:tabs>
              <w:tab w:val="clear" w:pos="720"/>
              <w:tab w:val="left" w:pos="440" w:leader="none"/>
              <w:tab w:val="right" w:pos="8441" w:leader="dot"/>
            </w:tabs>
            <w:rPr>
              <w:b w:val="false"/>
              <w:sz w:val="18"/>
              <w:szCs w:val="18"/>
              <w:lang w:val="en-US" w:eastAsia="en-US"/>
            </w:rPr>
          </w:pPr>
          <w:r>
            <w:rPr>
              <w:sz w:val="18"/>
              <w:szCs w:val="18"/>
              <w:lang w:val="en-GB" w:eastAsia="en-US"/>
            </w:rPr>
            <w:t>3.</w:t>
          </w:r>
          <w:r>
            <w:rPr>
              <w:b w:val="false"/>
              <w:sz w:val="18"/>
              <w:szCs w:val="18"/>
              <w:lang w:val="en-US" w:eastAsia="en-US"/>
            </w:rPr>
            <w:tab/>
          </w:r>
          <w:r>
            <w:rPr>
              <w:sz w:val="18"/>
              <w:szCs w:val="18"/>
              <w:lang w:val="en-GB" w:eastAsia="en-US"/>
            </w:rPr>
            <w:t>SPECIAL VOICE SERVICES</w:t>
          </w:r>
          <w:r>
            <w:rPr>
              <w:sz w:val="18"/>
              <w:szCs w:val="18"/>
              <w:lang w:val="en-US" w:eastAsia="en-US"/>
            </w:rPr>
            <w:tab/>
          </w:r>
          <w:hyperlink w:anchor="__RefHeading___Toc150058594">
            <w:r>
              <w:rPr>
                <w:rStyle w:val="IndexLink"/>
                <w:sz w:val="18"/>
                <w:szCs w:val="18"/>
                <w:lang w:val="en-US" w:eastAsia="en-US"/>
              </w:rPr>
              <w:t>23</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3.1</w:t>
          </w:r>
          <w:r>
            <w:rPr>
              <w:b w:val="false"/>
              <w:sz w:val="18"/>
              <w:szCs w:val="18"/>
              <w:lang w:val="en-US" w:eastAsia="en-US"/>
            </w:rPr>
            <w:tab/>
          </w:r>
          <w:r>
            <w:rPr>
              <w:sz w:val="18"/>
              <w:szCs w:val="18"/>
              <w:lang w:val="en-GB" w:eastAsia="en-US"/>
            </w:rPr>
            <w:t>Call Centre</w:t>
          </w:r>
          <w:r>
            <w:rPr>
              <w:sz w:val="18"/>
              <w:szCs w:val="18"/>
              <w:lang w:val="en-US" w:eastAsia="en-US"/>
            </w:rPr>
            <w:tab/>
          </w:r>
          <w:hyperlink w:anchor="__RefHeading___Toc150058595">
            <w:r>
              <w:rPr>
                <w:rStyle w:val="IndexLink"/>
                <w:sz w:val="18"/>
                <w:szCs w:val="18"/>
                <w:lang w:val="en-US" w:eastAsia="en-US"/>
              </w:rPr>
              <w:t>23</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3.2</w:t>
          </w:r>
          <w:r>
            <w:rPr>
              <w:b w:val="false"/>
              <w:sz w:val="18"/>
              <w:szCs w:val="18"/>
              <w:lang w:val="en-US" w:eastAsia="en-US"/>
            </w:rPr>
            <w:tab/>
          </w:r>
          <w:r>
            <w:rPr>
              <w:sz w:val="18"/>
              <w:szCs w:val="18"/>
              <w:lang w:val="en-GB" w:eastAsia="en-US"/>
            </w:rPr>
            <w:t>Branch offices</w:t>
          </w:r>
          <w:r>
            <w:rPr>
              <w:sz w:val="18"/>
              <w:szCs w:val="18"/>
              <w:lang w:val="en-US" w:eastAsia="en-US"/>
            </w:rPr>
            <w:tab/>
          </w:r>
          <w:hyperlink w:anchor="__RefHeading___Toc150058596">
            <w:r>
              <w:rPr>
                <w:rStyle w:val="IndexLink"/>
                <w:sz w:val="18"/>
                <w:szCs w:val="18"/>
                <w:lang w:val="en-US" w:eastAsia="en-US"/>
              </w:rPr>
              <w:t>24</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3.3</w:t>
          </w:r>
          <w:r>
            <w:rPr>
              <w:b w:val="false"/>
              <w:sz w:val="18"/>
              <w:szCs w:val="18"/>
              <w:lang w:val="en-US" w:eastAsia="en-US"/>
            </w:rPr>
            <w:tab/>
          </w:r>
          <w:r>
            <w:rPr>
              <w:b w:val="false"/>
              <w:i/>
              <w:sz w:val="18"/>
              <w:szCs w:val="18"/>
              <w:lang w:val="en-GB" w:eastAsia="en-US"/>
            </w:rPr>
            <w:t>Chapter deleted (intentionally left blank)</w:t>
          </w:r>
          <w:r>
            <w:rPr>
              <w:sz w:val="18"/>
              <w:szCs w:val="18"/>
              <w:lang w:val="en-US" w:eastAsia="en-US"/>
            </w:rPr>
            <w:tab/>
          </w:r>
          <w:hyperlink w:anchor="__RefHeading___Toc150058597">
            <w:r>
              <w:rPr>
                <w:rStyle w:val="IndexLink"/>
                <w:sz w:val="18"/>
                <w:szCs w:val="18"/>
                <w:lang w:val="en-US" w:eastAsia="en-US"/>
              </w:rPr>
              <w:t>25</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3.4</w:t>
          </w:r>
          <w:r>
            <w:rPr>
              <w:b w:val="false"/>
              <w:sz w:val="18"/>
              <w:szCs w:val="18"/>
              <w:lang w:val="en-US" w:eastAsia="en-US"/>
            </w:rPr>
            <w:tab/>
          </w:r>
          <w:r>
            <w:rPr>
              <w:b w:val="false"/>
              <w:i/>
              <w:sz w:val="18"/>
              <w:szCs w:val="18"/>
              <w:lang w:val="en-GB" w:eastAsia="en-US"/>
            </w:rPr>
            <w:t>Chapter deleted (intentionally left blank)</w:t>
          </w:r>
          <w:r>
            <w:rPr>
              <w:sz w:val="18"/>
              <w:szCs w:val="18"/>
              <w:lang w:val="en-US" w:eastAsia="en-US"/>
            </w:rPr>
            <w:tab/>
          </w:r>
          <w:hyperlink w:anchor="__RefHeading___Toc150058598">
            <w:r>
              <w:rPr>
                <w:rStyle w:val="IndexLink"/>
                <w:sz w:val="18"/>
                <w:szCs w:val="18"/>
                <w:lang w:val="en-US" w:eastAsia="en-US"/>
              </w:rPr>
              <w:t>26</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3.5</w:t>
          </w:r>
          <w:r>
            <w:rPr>
              <w:b w:val="false"/>
              <w:sz w:val="18"/>
              <w:szCs w:val="18"/>
              <w:lang w:val="en-US" w:eastAsia="en-US"/>
            </w:rPr>
            <w:tab/>
          </w:r>
          <w:r>
            <w:rPr>
              <w:b w:val="false"/>
              <w:i/>
              <w:sz w:val="18"/>
              <w:szCs w:val="18"/>
              <w:lang w:val="en-GB" w:eastAsia="en-US"/>
            </w:rPr>
            <w:t>Chapter deleted (intentionally left blank)</w:t>
          </w:r>
          <w:r>
            <w:rPr>
              <w:sz w:val="18"/>
              <w:szCs w:val="18"/>
              <w:lang w:val="en-US" w:eastAsia="en-US"/>
            </w:rPr>
            <w:tab/>
          </w:r>
          <w:hyperlink w:anchor="__RefHeading___Toc150058599">
            <w:r>
              <w:rPr>
                <w:rStyle w:val="IndexLink"/>
                <w:sz w:val="18"/>
                <w:szCs w:val="18"/>
                <w:lang w:val="en-US" w:eastAsia="en-US"/>
              </w:rPr>
              <w:t>26</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3.6</w:t>
          </w:r>
          <w:r>
            <w:rPr>
              <w:b w:val="false"/>
              <w:sz w:val="18"/>
              <w:szCs w:val="18"/>
              <w:lang w:val="en-US" w:eastAsia="en-US"/>
            </w:rPr>
            <w:tab/>
          </w:r>
          <w:r>
            <w:rPr>
              <w:b w:val="false"/>
              <w:i/>
              <w:sz w:val="18"/>
              <w:szCs w:val="18"/>
              <w:lang w:val="en-GB" w:eastAsia="en-US"/>
            </w:rPr>
            <w:t>Chapter deleted (intentionally left blank)</w:t>
          </w:r>
          <w:r>
            <w:rPr>
              <w:sz w:val="18"/>
              <w:szCs w:val="18"/>
              <w:lang w:val="en-US" w:eastAsia="en-US"/>
            </w:rPr>
            <w:tab/>
          </w:r>
          <w:hyperlink w:anchor="__RefHeading___Toc150058600">
            <w:r>
              <w:rPr>
                <w:rStyle w:val="IndexLink"/>
                <w:sz w:val="18"/>
                <w:szCs w:val="18"/>
                <w:lang w:val="en-US" w:eastAsia="en-US"/>
              </w:rPr>
              <w:t>26</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3.7</w:t>
          </w:r>
          <w:r>
            <w:rPr>
              <w:b w:val="false"/>
              <w:sz w:val="18"/>
              <w:szCs w:val="18"/>
              <w:lang w:val="en-US" w:eastAsia="en-US"/>
            </w:rPr>
            <w:tab/>
          </w:r>
          <w:r>
            <w:rPr>
              <w:sz w:val="18"/>
              <w:szCs w:val="18"/>
              <w:lang w:val="en-GB" w:eastAsia="en-US"/>
            </w:rPr>
            <w:t>Conferencing Services</w:t>
          </w:r>
          <w:r>
            <w:rPr>
              <w:sz w:val="18"/>
              <w:szCs w:val="18"/>
              <w:lang w:val="en-US" w:eastAsia="en-US"/>
            </w:rPr>
            <w:tab/>
          </w:r>
          <w:hyperlink w:anchor="__RefHeading___Toc150058601">
            <w:r>
              <w:rPr>
                <w:rStyle w:val="IndexLink"/>
                <w:sz w:val="18"/>
                <w:szCs w:val="18"/>
                <w:lang w:val="en-US" w:eastAsia="en-US"/>
              </w:rPr>
              <w:t>26</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3.8</w:t>
          </w:r>
          <w:r>
            <w:rPr>
              <w:b w:val="false"/>
              <w:sz w:val="18"/>
              <w:szCs w:val="18"/>
              <w:lang w:val="en-US" w:eastAsia="en-US"/>
            </w:rPr>
            <w:tab/>
          </w:r>
          <w:r>
            <w:rPr>
              <w:sz w:val="18"/>
              <w:szCs w:val="18"/>
              <w:lang w:val="en-GB" w:eastAsia="en-US"/>
            </w:rPr>
            <w:t>Mobile Data Communications    (MDC) Services</w:t>
          </w:r>
          <w:r>
            <w:rPr>
              <w:sz w:val="18"/>
              <w:szCs w:val="18"/>
              <w:lang w:val="en-US" w:eastAsia="en-US"/>
            </w:rPr>
            <w:tab/>
          </w:r>
          <w:hyperlink w:anchor="__RefHeading___Toc150058602">
            <w:r>
              <w:rPr>
                <w:rStyle w:val="IndexLink"/>
                <w:sz w:val="18"/>
                <w:szCs w:val="18"/>
                <w:lang w:val="en-US" w:eastAsia="en-US"/>
              </w:rPr>
              <w:t>27</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3.9</w:t>
          </w:r>
          <w:r>
            <w:rPr>
              <w:b w:val="false"/>
              <w:sz w:val="18"/>
              <w:szCs w:val="18"/>
              <w:lang w:val="en-US" w:eastAsia="en-US"/>
            </w:rPr>
            <w:tab/>
          </w:r>
          <w:r>
            <w:rPr>
              <w:sz w:val="18"/>
              <w:szCs w:val="18"/>
              <w:lang w:val="en-GB" w:eastAsia="en-US"/>
            </w:rPr>
            <w:t>GSM (Mobile Telephony)</w:t>
          </w:r>
          <w:r>
            <w:rPr>
              <w:sz w:val="18"/>
              <w:szCs w:val="18"/>
              <w:lang w:val="en-US" w:eastAsia="en-US"/>
            </w:rPr>
            <w:tab/>
          </w:r>
          <w:hyperlink w:anchor="__RefHeading___Toc150058603">
            <w:r>
              <w:rPr>
                <w:rStyle w:val="IndexLink"/>
                <w:sz w:val="18"/>
                <w:szCs w:val="18"/>
                <w:lang w:val="en-US" w:eastAsia="en-US"/>
              </w:rPr>
              <w:t>27</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3.10</w:t>
          </w:r>
          <w:r>
            <w:rPr>
              <w:b w:val="false"/>
              <w:sz w:val="18"/>
              <w:szCs w:val="18"/>
              <w:lang w:val="en-US" w:eastAsia="en-US"/>
            </w:rPr>
            <w:tab/>
          </w:r>
          <w:r>
            <w:rPr>
              <w:sz w:val="18"/>
              <w:szCs w:val="18"/>
              <w:lang w:val="en-GB" w:eastAsia="en-US"/>
            </w:rPr>
            <w:t>Blackberry</w:t>
          </w:r>
          <w:r>
            <w:rPr>
              <w:sz w:val="18"/>
              <w:szCs w:val="18"/>
              <w:lang w:val="en-US" w:eastAsia="en-US"/>
            </w:rPr>
            <w:tab/>
          </w:r>
          <w:hyperlink w:anchor="__RefHeading___Toc150058604">
            <w:r>
              <w:rPr>
                <w:rStyle w:val="IndexLink"/>
                <w:sz w:val="18"/>
                <w:szCs w:val="18"/>
                <w:lang w:val="en-US" w:eastAsia="en-US"/>
              </w:rPr>
              <w:t>28</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3.11</w:t>
          </w:r>
          <w:r>
            <w:rPr>
              <w:b w:val="false"/>
              <w:sz w:val="18"/>
              <w:szCs w:val="18"/>
              <w:lang w:val="en-US" w:eastAsia="en-US"/>
            </w:rPr>
            <w:tab/>
          </w:r>
          <w:r>
            <w:rPr>
              <w:sz w:val="18"/>
              <w:szCs w:val="18"/>
              <w:lang w:val="en-GB" w:eastAsia="en-US"/>
            </w:rPr>
            <w:t>Short Messaging Services (SMS) Technical and Operational Services</w:t>
          </w:r>
          <w:r>
            <w:rPr>
              <w:sz w:val="18"/>
              <w:szCs w:val="18"/>
              <w:lang w:val="en-US" w:eastAsia="en-US"/>
            </w:rPr>
            <w:tab/>
          </w:r>
          <w:hyperlink w:anchor="__RefHeading___Toc150058605">
            <w:r>
              <w:rPr>
                <w:rStyle w:val="IndexLink"/>
                <w:sz w:val="18"/>
                <w:szCs w:val="18"/>
                <w:lang w:val="en-US" w:eastAsia="en-US"/>
              </w:rPr>
              <w:t>29</w:t>
            </w:r>
          </w:hyperlink>
        </w:p>
        <w:p>
          <w:pPr>
            <w:pStyle w:val="TOC2"/>
            <w:tabs>
              <w:tab w:val="clear" w:pos="720"/>
              <w:tab w:val="left" w:pos="880" w:leader="none"/>
              <w:tab w:val="right" w:pos="8441" w:leader="dot"/>
            </w:tabs>
            <w:rPr>
              <w:sz w:val="18"/>
              <w:szCs w:val="18"/>
              <w:lang w:val="en-US" w:eastAsia="en-US"/>
            </w:rPr>
          </w:pPr>
          <w:r>
            <w:rPr>
              <w:b w:val="false"/>
              <w:sz w:val="18"/>
              <w:szCs w:val="18"/>
              <w:lang w:val="en-GB" w:eastAsia="en-US"/>
            </w:rPr>
            <w:t>3.12</w:t>
          </w:r>
          <w:r>
            <w:rPr>
              <w:b w:val="false"/>
              <w:sz w:val="18"/>
              <w:szCs w:val="18"/>
              <w:lang w:val="en-US" w:eastAsia="en-US"/>
            </w:rPr>
            <w:tab/>
          </w:r>
          <w:r>
            <w:rPr>
              <w:b w:val="false"/>
              <w:sz w:val="18"/>
              <w:szCs w:val="18"/>
              <w:lang w:val="en-GB" w:eastAsia="en-US"/>
            </w:rPr>
            <w:t>SMS Services – Features and Options</w:t>
          </w:r>
          <w:r>
            <w:rPr>
              <w:b w:val="false"/>
              <w:sz w:val="18"/>
              <w:szCs w:val="18"/>
              <w:lang w:val="en-US" w:eastAsia="en-US"/>
            </w:rPr>
            <w:tab/>
          </w:r>
          <w:hyperlink w:anchor="__RefHeading___Toc150058606">
            <w:r>
              <w:rPr>
                <w:rStyle w:val="IndexLink"/>
                <w:b w:val="false"/>
                <w:sz w:val="18"/>
                <w:szCs w:val="18"/>
                <w:lang w:val="en-US" w:eastAsia="en-US"/>
              </w:rPr>
              <w:t>31</w:t>
            </w:r>
          </w:hyperlink>
          <w:r>
            <w:rPr>
              <w:rStyle w:val="IndexLink"/>
              <w:sz w:val="18"/>
              <w:b w:val="false"/>
              <w:szCs w:val="18"/>
              <w:lang w:val="en-US" w:eastAsia="en-US"/>
            </w:rPr>
            <w:fldChar w:fldCharType="end"/>
          </w:r>
        </w:p>
      </w:sdtContent>
    </w:sdt>
    <w:p>
      <w:pPr>
        <w:pStyle w:val="Normal"/>
        <w:rPr>
          <w:b/>
          <w:caps/>
          <w:sz w:val="18"/>
          <w:szCs w:val="18"/>
          <w:lang w:val="en-GB" w:eastAsia="en-US"/>
        </w:rPr>
      </w:pPr>
      <w:r>
        <w:rPr>
          <w:b/>
          <w:caps/>
          <w:sz w:val="18"/>
          <w:szCs w:val="18"/>
          <w:lang w:val="en-GB" w:eastAsia="en-US"/>
        </w:rPr>
      </w:r>
    </w:p>
    <w:p>
      <w:pPr>
        <w:sectPr>
          <w:headerReference w:type="default" r:id="rId4"/>
          <w:headerReference w:type="first" r:id="rId5"/>
          <w:footerReference w:type="default" r:id="rId6"/>
          <w:footerReference w:type="first" r:id="rId7"/>
          <w:type w:val="nextPage"/>
          <w:pgSz w:w="11906" w:h="16838"/>
          <w:pgMar w:left="1729" w:right="1729" w:gutter="0" w:header="720" w:top="776" w:footer="720" w:bottom="1094"/>
          <w:pgNumType w:start="1" w:fmt="lowerRoman"/>
          <w:formProt w:val="false"/>
          <w:textDirection w:val="lrTb"/>
          <w:docGrid w:type="default" w:linePitch="360" w:charSpace="0"/>
        </w:sectPr>
        <w:pStyle w:val="Normal"/>
        <w:rPr>
          <w:b/>
          <w:caps/>
          <w:sz w:val="18"/>
          <w:szCs w:val="18"/>
          <w:lang w:val="en-GB"/>
        </w:rPr>
      </w:pPr>
      <w:r>
        <w:rPr>
          <w:b/>
          <w:caps/>
          <w:sz w:val="18"/>
          <w:szCs w:val="18"/>
          <w:lang w:val="en-GB"/>
        </w:rPr>
      </w:r>
    </w:p>
    <w:p>
      <w:pPr>
        <w:pStyle w:val="Normal"/>
        <w:spacing w:before="0" w:after="0"/>
        <w:jc w:val="both"/>
        <w:rPr>
          <w:sz w:val="18"/>
          <w:szCs w:val="22"/>
          <w:lang w:val="en-GB"/>
        </w:rPr>
      </w:pPr>
      <w:r>
        <w:rPr>
          <w:sz w:val="18"/>
          <w:szCs w:val="22"/>
          <w:lang w:val="en-GB"/>
        </w:rPr>
      </w:r>
    </w:p>
    <w:p>
      <w:pPr>
        <w:pStyle w:val="Normal"/>
        <w:spacing w:before="0" w:after="0"/>
        <w:jc w:val="center"/>
        <w:rPr>
          <w:b/>
          <w:szCs w:val="22"/>
          <w:lang w:val="en-GB"/>
        </w:rPr>
      </w:pPr>
      <w:r>
        <w:rPr>
          <w:b/>
          <w:szCs w:val="22"/>
          <w:lang w:val="en-GB"/>
        </w:rPr>
        <w:t>EuroBank Requirements</w:t>
      </w:r>
    </w:p>
    <w:p>
      <w:pPr>
        <w:pStyle w:val="Heading1Numbered"/>
        <w:numPr>
          <w:ilvl w:val="0"/>
          <w:numId w:val="2"/>
        </w:numPr>
        <w:ind w:hanging="0" w:start="0"/>
        <w:rPr>
          <w:sz w:val="22"/>
          <w:szCs w:val="22"/>
          <w:lang w:val="en-GB"/>
        </w:rPr>
      </w:pPr>
      <w:bookmarkStart w:id="0" w:name="__RefHeading___Toc150058569"/>
      <w:bookmarkEnd w:id="0"/>
      <w:r>
        <w:rPr>
          <w:sz w:val="22"/>
          <w:szCs w:val="22"/>
          <w:lang w:val="en-GB"/>
        </w:rPr>
        <w:t>COMMON VOICE NETWORK SERVICES</w:t>
      </w:r>
    </w:p>
    <w:p>
      <w:pPr>
        <w:pStyle w:val="Heading2Numbered"/>
        <w:numPr>
          <w:ilvl w:val="1"/>
          <w:numId w:val="2"/>
        </w:numPr>
        <w:ind w:hanging="0" w:start="0"/>
        <w:rPr>
          <w:sz w:val="22"/>
          <w:szCs w:val="22"/>
          <w:lang w:val="en-GB"/>
        </w:rPr>
      </w:pPr>
      <w:bookmarkStart w:id="1" w:name="__RefHeading___Toc150058570"/>
      <w:bookmarkEnd w:id="1"/>
      <w:r>
        <w:rPr>
          <w:sz w:val="22"/>
          <w:szCs w:val="22"/>
          <w:lang w:val="en-GB"/>
        </w:rPr>
        <w:t>Demarcation Boundaries of the Services and Sites</w:t>
      </w:r>
    </w:p>
    <w:p>
      <w:pPr>
        <w:pStyle w:val="Normal"/>
        <w:spacing w:before="0" w:after="0"/>
        <w:ind w:hanging="720" w:start="720" w:end="0"/>
        <w:jc w:val="both"/>
        <w:rPr/>
      </w:pPr>
      <w:r>
        <w:rPr>
          <w:szCs w:val="22"/>
          <w:lang w:val="en-GB"/>
        </w:rPr>
        <w:t>a)</w:t>
        <w:tab/>
        <w:t>The PST Supplier will perform the Services within the physical boundaries of the Voice Network, as depicted in Exhibit 18 (</w:t>
      </w:r>
      <w:r>
        <w:rPr>
          <w:i/>
          <w:szCs w:val="22"/>
          <w:lang w:val="en-GB"/>
        </w:rPr>
        <w:t>Network Services Demarcation</w:t>
      </w:r>
      <w:r>
        <w:rPr>
          <w:szCs w:val="22"/>
          <w:lang w:val="en-GB"/>
        </w:rPr>
        <w:t>) that depicts the typical physical configurations, components, and boundaries of these Network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b)</w:t>
        <w:tab/>
        <w:t>The PST Supplier will undertake the Services across the Sites as indicated in Exhibit 7 (</w:t>
      </w:r>
      <w:r>
        <w:rPr>
          <w:i/>
          <w:szCs w:val="22"/>
          <w:lang w:val="en-GB"/>
        </w:rPr>
        <w:t>Sites &amp; Local Entities</w:t>
      </w:r>
      <w:r>
        <w:rPr>
          <w:szCs w:val="22"/>
          <w:lang w:val="en-GB"/>
        </w:rPr>
        <w:t>).</w:t>
      </w:r>
    </w:p>
    <w:p>
      <w:pPr>
        <w:pStyle w:val="Heading2Numbered"/>
        <w:numPr>
          <w:ilvl w:val="1"/>
          <w:numId w:val="2"/>
        </w:numPr>
        <w:ind w:hanging="0" w:start="0"/>
        <w:rPr>
          <w:sz w:val="22"/>
          <w:szCs w:val="22"/>
          <w:lang w:val="en-GB"/>
        </w:rPr>
      </w:pPr>
      <w:bookmarkStart w:id="2" w:name="__RefHeading___Toc150058571"/>
      <w:bookmarkEnd w:id="2"/>
      <w:r>
        <w:rPr>
          <w:sz w:val="22"/>
          <w:szCs w:val="22"/>
          <w:lang w:val="en-GB"/>
        </w:rPr>
        <w:t>General Management Services</w:t>
      </w:r>
    </w:p>
    <w:p>
      <w:pPr>
        <w:pStyle w:val="Normal"/>
        <w:spacing w:before="0" w:after="0"/>
        <w:jc w:val="both"/>
        <w:rPr>
          <w:szCs w:val="22"/>
          <w:lang w:val="en-GB"/>
        </w:rPr>
      </w:pPr>
      <w:r>
        <w:rPr>
          <w:szCs w:val="22"/>
          <w:lang w:val="en-GB"/>
        </w:rPr>
        <w:t xml:space="preserve">The general network services as described in this Exhibit are a part of the “Management Services” as the PST Supplier distinguishes. At the Global Management Centre a dedicated Service Level Manager is available for the sole purpose to act as a single point of contact for the EuroBank (via 2IM). Therefore the Service Level Manager is also SPOC for the management of the voice network.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The Customer Units will proactively and reactively provide Authorized Users with technical support and advice regarding the proper use and functionality of the Voice Network Services. Through analysing and comparing the use of the network, the trends and the business needs the PST Supplier will advice and propose cost alternatives or functional effective network service alternatives. </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The PST Supplier will pro-actively monitor relevant developments that might influence the IT roadmap. This includes first identifying relevant developments outside EuroBank, such as: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w:t>
      </w:r>
      <w:r>
        <w:rPr>
          <w:szCs w:val="22"/>
          <w:lang w:val="en-GB"/>
        </w:rPr>
        <w:tab/>
        <w:t>Identifying relevant technological, social and market trends;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w:t>
      </w:r>
      <w:r>
        <w:rPr>
          <w:szCs w:val="22"/>
          <w:lang w:val="en-GB"/>
        </w:rPr>
        <w:tab/>
        <w:t>Continuous monitoring of emerging technologies;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w:t>
      </w:r>
      <w:r>
        <w:rPr>
          <w:szCs w:val="22"/>
          <w:lang w:val="en-GB"/>
        </w:rPr>
        <w:tab/>
        <w:t>Continuous monitoring of new services and products.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Also, relevant changes within the EuroBank environment will be pro-actively monitored, such as: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w:t>
      </w:r>
      <w:r>
        <w:rPr>
          <w:szCs w:val="22"/>
          <w:lang w:val="en-GB"/>
        </w:rPr>
        <w:tab/>
        <w:t>Major geographical changes;</w:t>
      </w:r>
    </w:p>
    <w:p>
      <w:pPr>
        <w:pStyle w:val="Normal"/>
        <w:spacing w:before="0" w:after="0"/>
        <w:jc w:val="both"/>
        <w:rPr>
          <w:szCs w:val="22"/>
          <w:lang w:val="en-GB"/>
        </w:rPr>
      </w:pPr>
      <w:r>
        <w:rPr>
          <w:szCs w:val="22"/>
          <w:lang w:val="en-GB"/>
        </w:rPr>
        <w:t>•</w:t>
      </w:r>
      <w:r>
        <w:rPr>
          <w:szCs w:val="22"/>
          <w:lang w:val="en-GB"/>
        </w:rPr>
        <w:tab/>
        <w:t>Changes in business needs;</w:t>
      </w:r>
    </w:p>
    <w:p>
      <w:pPr>
        <w:pStyle w:val="Normal"/>
        <w:spacing w:before="0" w:after="0"/>
        <w:jc w:val="both"/>
        <w:rPr>
          <w:szCs w:val="22"/>
          <w:lang w:val="en-GB"/>
        </w:rPr>
      </w:pPr>
      <w:r>
        <w:rPr>
          <w:szCs w:val="22"/>
          <w:lang w:val="en-GB"/>
        </w:rPr>
        <w:t>•</w:t>
      </w:r>
      <w:r>
        <w:rPr>
          <w:szCs w:val="22"/>
          <w:lang w:val="en-GB"/>
        </w:rPr>
        <w:tab/>
        <w:t>Changes in the way and where people work.</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Based on the EuroBank’s functional requirements, market trends developments and the long-term plans the PST Supplier will develop an EuroBank and 2IM approved Voice Network Strategy on a yearly basis. </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The governance model covers the way that communication between EuroBank, PST and PST Supplier will take place. As a part of strategic management, the opportunities and developments will be discussed on a regular basis and the impact on the Long Range IT Plan will be evaluated. Furthermore, PST Supplier will provide additional consultant activity to supply the relevant knowledge and expertise needed to support these activities.</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This approved Voice Network Strategy will be implemented in accordance with the Change Control Procedure.</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 xml:space="preserve">EuroBank can advice the IT Architecture Board with technologies/products where, at that particular moment, the PST has no knowledge of.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a)</w:t>
        <w:tab/>
        <w:t xml:space="preserve">Acting as single point of contact (“SPOC”) for the management of the Voice Network via the 2IM.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Based on EuroBank functional requirements and market trends develop an EuroBank and 2IM approved Voice Network strategy on a yearly basis and implement it in accordance with Change Control procedures.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Providing EuroBank Authorized Users with technical support and advice regarding the proper use and functionality of Voice Network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Analyzing and proposing cost effective Voice Network Service alternatives.</w:t>
      </w:r>
    </w:p>
    <w:p>
      <w:pPr>
        <w:pStyle w:val="Heading2Numbered"/>
        <w:numPr>
          <w:ilvl w:val="1"/>
          <w:numId w:val="2"/>
        </w:numPr>
        <w:ind w:hanging="0" w:start="0"/>
        <w:rPr>
          <w:sz w:val="22"/>
          <w:szCs w:val="22"/>
          <w:lang w:val="en-GB"/>
        </w:rPr>
      </w:pPr>
      <w:bookmarkStart w:id="3" w:name="__RefHeading___Toc150058572"/>
      <w:bookmarkEnd w:id="3"/>
      <w:r>
        <w:rPr>
          <w:sz w:val="22"/>
          <w:szCs w:val="22"/>
          <w:lang w:val="en-GB"/>
        </w:rPr>
        <w:t>General Administration Services</w:t>
      </w:r>
    </w:p>
    <w:p>
      <w:pPr>
        <w:pStyle w:val="Normal"/>
        <w:spacing w:before="0" w:after="0"/>
        <w:jc w:val="both"/>
        <w:rPr/>
      </w:pPr>
      <w:r>
        <w:rPr>
          <w:szCs w:val="22"/>
          <w:lang w:val="en-GB"/>
        </w:rPr>
        <w:t>Most of the general administration services as described in this Exhibit are provided through the PST Supplier’s Service Management system (In Dutch: Diensten Management Systeem, “DMS”). With DMS the PST Supplier will register, administrate, monitor and report items like the usage of consumables, ordering, storage keeping, licensing etc. Every order, change and other relevant fact is stored in DMS. Through monitoring, trend reporting and the use of a dedicated Service Level Manager, the PST Supplier will give a solid advice on a regular basis. DMS contains the CMDB, the Agreed Service Levels, all the requested changes (internal and external) and orders and has the ability to report on that. PST Supplier will report and work against the agreed Service Levels. Through the use of DMS, PST Supplier has all relevant information available in a structured way. Therefore, PST Supplier has a full overview of all Voice network activities.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PST Supplier will document, keep and maintain within the Customer Unit all aspects of the Voice Network Services including:</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w:t>
      </w:r>
      <w:r>
        <w:rPr>
          <w:szCs w:val="22"/>
          <w:lang w:val="en-GB"/>
        </w:rPr>
        <w:tab/>
        <w:t>Design criteria, strategy and standards and the topology documents,</w:t>
      </w:r>
    </w:p>
    <w:p>
      <w:pPr>
        <w:pStyle w:val="Normal"/>
        <w:spacing w:before="0" w:after="0"/>
        <w:jc w:val="both"/>
        <w:rPr>
          <w:szCs w:val="22"/>
          <w:lang w:val="en-GB"/>
        </w:rPr>
      </w:pPr>
      <w:r>
        <w:rPr>
          <w:szCs w:val="22"/>
          <w:lang w:val="en-GB"/>
        </w:rPr>
        <w:t>•</w:t>
      </w:r>
      <w:r>
        <w:rPr>
          <w:szCs w:val="22"/>
          <w:lang w:val="en-GB"/>
        </w:rPr>
        <w:tab/>
        <w:t>Escalation procedures,</w:t>
      </w:r>
    </w:p>
    <w:p>
      <w:pPr>
        <w:pStyle w:val="Normal"/>
        <w:spacing w:before="0" w:after="0"/>
        <w:jc w:val="both"/>
        <w:rPr>
          <w:szCs w:val="22"/>
          <w:lang w:val="en-GB"/>
        </w:rPr>
      </w:pPr>
      <w:r>
        <w:rPr>
          <w:szCs w:val="22"/>
          <w:lang w:val="en-GB"/>
        </w:rPr>
        <w:t>•</w:t>
      </w:r>
      <w:r>
        <w:rPr>
          <w:szCs w:val="22"/>
          <w:lang w:val="en-GB"/>
        </w:rPr>
        <w:tab/>
        <w:t>Service acceptance procedures,</w:t>
      </w:r>
    </w:p>
    <w:p>
      <w:pPr>
        <w:pStyle w:val="Normal"/>
        <w:spacing w:before="0" w:after="0"/>
        <w:jc w:val="both"/>
        <w:rPr>
          <w:szCs w:val="22"/>
          <w:lang w:val="en-GB"/>
        </w:rPr>
      </w:pPr>
      <w:r>
        <w:rPr>
          <w:szCs w:val="22"/>
          <w:lang w:val="en-GB"/>
        </w:rPr>
        <w:t>•</w:t>
      </w:r>
      <w:r>
        <w:rPr>
          <w:szCs w:val="22"/>
          <w:lang w:val="en-GB"/>
        </w:rPr>
        <w:tab/>
        <w:t>Topology documentation,</w:t>
      </w:r>
    </w:p>
    <w:p>
      <w:pPr>
        <w:pStyle w:val="Normal"/>
        <w:spacing w:before="0" w:after="0"/>
        <w:jc w:val="both"/>
        <w:rPr>
          <w:szCs w:val="22"/>
          <w:lang w:val="en-GB"/>
        </w:rPr>
      </w:pPr>
      <w:r>
        <w:rPr>
          <w:szCs w:val="22"/>
          <w:lang w:val="en-GB"/>
        </w:rPr>
        <w:t>•</w:t>
      </w:r>
      <w:r>
        <w:rPr>
          <w:szCs w:val="22"/>
          <w:lang w:val="en-GB"/>
        </w:rPr>
        <w:tab/>
        <w:t>Contact information,</w:t>
      </w:r>
    </w:p>
    <w:p>
      <w:pPr>
        <w:pStyle w:val="Normal"/>
        <w:spacing w:before="0" w:after="0"/>
        <w:jc w:val="both"/>
        <w:rPr>
          <w:szCs w:val="22"/>
          <w:lang w:val="en-GB"/>
        </w:rPr>
      </w:pPr>
      <w:r>
        <w:rPr>
          <w:szCs w:val="22"/>
          <w:lang w:val="en-GB"/>
        </w:rPr>
        <w:t>•</w:t>
      </w:r>
      <w:r>
        <w:rPr>
          <w:szCs w:val="22"/>
          <w:lang w:val="en-GB"/>
        </w:rPr>
        <w:tab/>
        <w:t>Configuration management information,</w:t>
      </w:r>
    </w:p>
    <w:p>
      <w:pPr>
        <w:pStyle w:val="Normal"/>
        <w:spacing w:before="0" w:after="0"/>
        <w:jc w:val="both"/>
        <w:rPr>
          <w:szCs w:val="22"/>
          <w:lang w:val="en-GB"/>
        </w:rPr>
      </w:pPr>
      <w:r>
        <w:rPr>
          <w:szCs w:val="22"/>
          <w:lang w:val="en-GB"/>
        </w:rPr>
        <w:t>•</w:t>
      </w:r>
      <w:r>
        <w:rPr>
          <w:szCs w:val="22"/>
          <w:lang w:val="en-GB"/>
        </w:rPr>
        <w:tab/>
        <w:t>Operational procedures and services,</w:t>
      </w:r>
    </w:p>
    <w:p>
      <w:pPr>
        <w:pStyle w:val="Normal"/>
        <w:spacing w:before="0" w:after="0"/>
        <w:jc w:val="both"/>
        <w:rPr>
          <w:szCs w:val="22"/>
          <w:lang w:val="en-GB"/>
        </w:rPr>
      </w:pPr>
      <w:r>
        <w:rPr>
          <w:szCs w:val="22"/>
          <w:lang w:val="en-GB"/>
        </w:rPr>
        <w:t>•</w:t>
      </w:r>
      <w:r>
        <w:rPr>
          <w:szCs w:val="22"/>
          <w:lang w:val="en-GB"/>
        </w:rPr>
        <w:tab/>
        <w:t>CMDB.</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 will document all operational procedures and services according to EuroBank standards.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 will store and update all relevant site logs within their central service centre.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Monitoring usage of consumables, ordering and storing consumables for the environment (e.g. hand sets, cabling, desk phones, etc.)</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Monitoring usage and procurement of licensing where necessary to support the Voice network Services and updating the relevant management systems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Administering all Voice Network requirements and activities including processing internal and external (third party) IMACs and other authorized changes.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Documenting all aspects of the Voice Network Services for EuroBank, including:</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Administering all Voice Network Requirements and activities including processing internal and external (third party) IMACs and other authorized changes.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Documenting all aspects of the Voice network Services for EuroBank, including:</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Design criteria, strategy and standards.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Escalation procedures.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Service acceptance procedures.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Topology documentation.</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w:t>
        <w:tab/>
        <w:t>Contact information.</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w:t>
        <w:tab/>
        <w:t>Configuration management information.</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vii)</w:t>
        <w:tab/>
        <w:t>Documenting operations procedures and services in accordance with EuroBank standards.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viii)</w:t>
        <w:tab/>
        <w:t>Configuration Management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ix)</w:t>
        <w:tab/>
        <w:t xml:space="preserve">Working to and reporting against SLA in agreement with EuroBank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x)</w:t>
        <w:tab/>
        <w:t>Updating any relevant site logs or other.</w:t>
      </w:r>
    </w:p>
    <w:p>
      <w:pPr>
        <w:pStyle w:val="Heading2Numbered"/>
        <w:numPr>
          <w:ilvl w:val="1"/>
          <w:numId w:val="2"/>
        </w:numPr>
        <w:ind w:hanging="0" w:start="0"/>
        <w:rPr>
          <w:sz w:val="22"/>
          <w:szCs w:val="22"/>
          <w:lang w:val="en-GB"/>
        </w:rPr>
      </w:pPr>
      <w:bookmarkStart w:id="4" w:name="__RefHeading___Toc150058573"/>
      <w:bookmarkEnd w:id="4"/>
      <w:r>
        <w:rPr>
          <w:sz w:val="22"/>
          <w:szCs w:val="22"/>
          <w:lang w:val="en-GB"/>
        </w:rPr>
        <w:t>Third Party Vendor management and coordination</w:t>
      </w:r>
    </w:p>
    <w:p>
      <w:pPr>
        <w:pStyle w:val="Normal"/>
        <w:spacing w:before="0" w:after="0"/>
        <w:jc w:val="both"/>
        <w:rPr>
          <w:szCs w:val="22"/>
          <w:lang w:val="en-GB"/>
        </w:rPr>
      </w:pPr>
      <w:r>
        <w:rPr>
          <w:szCs w:val="22"/>
          <w:lang w:val="en-GB"/>
        </w:rPr>
        <w:t>Transfer of Third Party Vendor contract will be managed according to the following process:</w:t>
      </w:r>
    </w:p>
    <w:p>
      <w:pPr>
        <w:pStyle w:val="Normal"/>
        <w:spacing w:before="0" w:after="0"/>
        <w:ind w:start="720" w:end="0"/>
        <w:jc w:val="both"/>
        <w:rPr>
          <w:szCs w:val="22"/>
          <w:lang w:val="en-GB"/>
        </w:rPr>
      </w:pPr>
      <w:r>
        <w:rPr>
          <w:szCs w:val="22"/>
          <w:lang w:val="en-GB"/>
        </w:rPr>
      </w:r>
    </w:p>
    <w:p>
      <w:pPr>
        <w:pStyle w:val="Normal"/>
        <w:spacing w:before="0" w:after="0"/>
        <w:ind w:start="720" w:end="0"/>
        <w:jc w:val="both"/>
        <w:rPr/>
      </w:pPr>
      <w:r>
        <w:rPr>
          <w:szCs w:val="22"/>
          <w:lang w:val="en-GB"/>
        </w:rPr>
        <w:t xml:space="preserve">The PST Supplier personnel will be responsible for maintaining contact with the Third Party Vendor for having the Third Party Vendor improve its services through amongst others improvement of processes and lowering its prices, </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If renewal or prolonging a Third Party Vendor Contract is necessary, the PST Supplier will renegotiate. Otherwise a Third Party Vendor Contract will end by law and replacement services are offered by PST Supplier.</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All Third Party Vendor Contracts will be reviewed and, if necessary, be adapted to meet the agreed upon Service Levels.</w:t>
      </w:r>
    </w:p>
    <w:p>
      <w:pPr>
        <w:pStyle w:val="Normal"/>
        <w:spacing w:before="0" w:after="0"/>
        <w:ind w:start="720" w:end="0"/>
        <w:jc w:val="both"/>
        <w:rPr>
          <w:szCs w:val="22"/>
          <w:lang w:val="en-GB"/>
        </w:rPr>
      </w:pPr>
      <w:r>
        <w:rPr>
          <w:szCs w:val="22"/>
          <w:lang w:val="en-GB"/>
        </w:rPr>
        <w:t>For Third Party Vendor Contracts that involve delivery of equipment, PST Supplier is able to keep material in stock in order to meet corresponding service levels.</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The PST Supplier will raise purchase orders for the assigned Third Party Vendor’s contracts within the agreed period.</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Managing and coordinating the activities of all Third Party Vendors where:</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The Third Party Vendor provides services to EuroBank in direct support of the Network.</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 xml:space="preserve">The activities of the Third Party Vendor directly impacting the performance or availability of the Network.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Maintaining technical support relationships with Third Party Vendors to resolve Incidents with the Network and to provide answers to technical questions and requirements related to the use of Third Party Vendor products or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Monitoring Third Party Vendor service delivery and performance in regard to the Voice network including:</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Monitoring the Third Party Vendor’s compliance with any service levels contained in any agreement between EuroBank and the Third Party Vendor.</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Notifying EuroBank and the Third Party Vendor of each Third Party Vendor failure to perform in accordance with the provisions of its agreement.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Evaluating and recommending retention, modification, or termination of a Third Party Vendor based on the performance or cost benefits to EuroBank as tracked by the PST Supplier.</w:t>
      </w:r>
    </w:p>
    <w:p>
      <w:pPr>
        <w:pStyle w:val="Heading2Numbered"/>
        <w:numPr>
          <w:ilvl w:val="1"/>
          <w:numId w:val="2"/>
        </w:numPr>
        <w:ind w:hanging="0" w:start="0"/>
        <w:rPr>
          <w:sz w:val="22"/>
          <w:szCs w:val="22"/>
          <w:lang w:val="en-GB"/>
        </w:rPr>
      </w:pPr>
      <w:bookmarkStart w:id="5" w:name="__RefHeading___Toc150058574"/>
      <w:bookmarkEnd w:id="5"/>
      <w:r>
        <w:rPr>
          <w:sz w:val="22"/>
          <w:szCs w:val="22"/>
          <w:lang w:val="en-GB"/>
        </w:rPr>
        <w:t>Planning Services</w:t>
      </w:r>
    </w:p>
    <w:p>
      <w:pPr>
        <w:pStyle w:val="Normal"/>
        <w:spacing w:before="0" w:after="0"/>
        <w:jc w:val="both"/>
        <w:rPr/>
      </w:pPr>
      <w:r>
        <w:rPr>
          <w:szCs w:val="22"/>
          <w:lang w:val="en-GB"/>
        </w:rPr>
        <w:t>The governance model as defined in Exhibit 6 (Governance) covers the way that communication between EuroBank, PST and the PST Supplier will take place. As a part of strategic management, the opportunities and developments will be discussed on a regular basis.</w:t>
      </w:r>
      <w:r>
        <w:rPr>
          <w:i/>
          <w:szCs w:val="22"/>
          <w:lang w:val="en-GB"/>
        </w:rPr>
      </w: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PST Supplier will provide input for the Architecture Board for the EuroBank voice environment as part of the Innovation requirement.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 Voice will pro-actively spot opportunities related to:</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1)</w:t>
        <w:tab/>
        <w:t>Creation of Value Add for EuroBank</w:t>
      </w:r>
    </w:p>
    <w:p>
      <w:pPr>
        <w:pStyle w:val="Normal"/>
        <w:spacing w:before="0" w:after="0"/>
        <w:jc w:val="both"/>
        <w:rPr>
          <w:szCs w:val="22"/>
          <w:lang w:val="en-GB"/>
        </w:rPr>
      </w:pPr>
      <w:r>
        <w:rPr>
          <w:szCs w:val="22"/>
          <w:lang w:val="en-GB"/>
        </w:rPr>
        <w:t>2)</w:t>
        <w:tab/>
        <w:t>Optimisation of processes, services, networks and improving efficiency</w:t>
      </w:r>
    </w:p>
    <w:p>
      <w:pPr>
        <w:pStyle w:val="Normal"/>
        <w:spacing w:before="0" w:after="0"/>
        <w:jc w:val="both"/>
        <w:rPr>
          <w:szCs w:val="22"/>
          <w:lang w:val="en-GB"/>
        </w:rPr>
      </w:pPr>
      <w:r>
        <w:rPr>
          <w:szCs w:val="22"/>
          <w:lang w:val="en-GB"/>
        </w:rPr>
        <w:t>3)</w:t>
        <w:tab/>
        <w:t>Reduction of Total Cost of Ownership (“TCO”)</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As a part of strategic management the opportunities and developments will be discussed on a regular basis and further steps will be discussed with EuroBank.</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For each specific EuroBank environment the PST Supplier will gather EuroBank business requirements and propose detailed design, criteria and standards consistent with the strategic direction of EuroBank. As a part of tactical management the voice network is evaluated on a regular basis.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Upon approval from EuroBank, and in accordance with agreed Change Management procedures, The PST Supplier will incorporate approved design criteria into the appropriate service manuals. Thereafter it will comply with such design standards in performing the services. The PST Supplier will propose standardised design criteria and standards for all the components of the system infrastructure</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A project manager will make a detailed Transition and Transformation Plan that contains among other things a timeline, needed recourses (by the PST Supplier as well as by EuroBank or other suppliers), test scenarios, fall back plans, the removal of obsolete equipment, etc. When the detailed plans are approved by EuroBank, the project manager will execute the plans. There will be regular updates and meetings with EuroBank, over the development of the execution of the plan. Any necessary adjustments to the plan will be discussed with, and must be approved by, EuroBank.</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Developing and proposing new or enhanced Voice Network plans on an ongoing basis and in conjunction with the Long Range IT Plan.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Providing plans for the following non-exhaustive list of components:</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Overall Voice network topology, including the physical layout of the Voice Network.</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Voice Network Equipment.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Voice network Software (i.e. switch operating system).</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iv)</w:t>
        <w:tab/>
        <w:t xml:space="preserve">Transport systems.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w:t>
        <w:tab/>
        <w:t>Cabling &amp; patching</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w:t>
        <w:tab/>
        <w:t>Documenting the criteria and assumptions used to develop plans, including:</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(1)</w:t>
        <w:tab/>
        <w:t>Interoperability considerations and assumptions for all Equipment and Software potentially affected by the Voice network plans, including Equipment and Software in other Bundles.</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(2)</w:t>
        <w:tab/>
        <w:t>Voice network bandwidth and/or volume assumptions and projections.</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(3)</w:t>
        <w:tab/>
        <w:t>Expected Voice network performance and quality of service based on designs and plans, and minimum performance and quality of service expectations.</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vii)</w:t>
        <w:tab/>
        <w:t>Utilizing Voice network design techniques to appropriately prevent broadcast congestion and outages, including:</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(1)</w:t>
        <w:tab/>
        <w:t>Designing segmentation of Equipment, Voice network traffic, and features to sufficiently control and contain Voice network traffic levels.</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(2)</w:t>
        <w:tab/>
        <w:t>Designing sufficient redundancy and alternative routing to meet the Service Levels and EuroBank’s security and Disaster Recovery requirements.</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(3)</w:t>
        <w:tab/>
        <w:t>Working cooperatively with Third Party Vendors and EuroBank staff to facilitate effective planning and design of the Voice Network Services.</w:t>
      </w:r>
    </w:p>
    <w:p>
      <w:pPr>
        <w:pStyle w:val="Heading2Numbered"/>
        <w:numPr>
          <w:ilvl w:val="1"/>
          <w:numId w:val="2"/>
        </w:numPr>
        <w:ind w:hanging="0" w:start="0"/>
        <w:rPr>
          <w:sz w:val="22"/>
          <w:szCs w:val="22"/>
          <w:lang w:val="en-GB"/>
        </w:rPr>
      </w:pPr>
      <w:bookmarkStart w:id="6" w:name="__RefHeading___Toc150058575"/>
      <w:bookmarkEnd w:id="6"/>
      <w:r>
        <w:rPr>
          <w:sz w:val="22"/>
          <w:szCs w:val="22"/>
          <w:lang w:val="en-GB"/>
        </w:rPr>
        <w:t>General Monitoring and Management</w:t>
      </w:r>
    </w:p>
    <w:p>
      <w:pPr>
        <w:pStyle w:val="Normal"/>
        <w:spacing w:before="0" w:after="0"/>
        <w:jc w:val="both"/>
        <w:rPr/>
      </w:pPr>
      <w:r>
        <w:rPr>
          <w:szCs w:val="22"/>
          <w:lang w:val="en-GB"/>
        </w:rPr>
        <w:t xml:space="preserve">The PST Supplier will actively monitor all systems end-to-end if technical possible. The PST Supplier or the service / maintenance supplier will monitor the system and will act on any major or minor alarm. Daily diagnostic routines will provide the necessary data of the performance of the network. Monthly performance reports will be provided towards EuroBank which will included an outline of all alarms as well as a trend report. Possible future bottlenecks and problems will be addressed and possible solutions will be presented to EuroBank. Defined problems and their current status will be reported on a weekly base. If, for whatever reason, the systems do not perform as required of as should, direct and appropriate measures will be taken. These measures include technical and operational solutions as well as the agreed communication towards EuroBank.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In the event that a connection isn’t available, a design threshold is exceeded or a scheduled or unscheduled interruption is needed EuroBank will be notified at once with the notification of the impact. Procedures must be defined in coordination with and approved by EuroBank. These procedures must define how to handle in case of service degradation.</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Monitoring and managing continuous end-to-end performance of the Voice network and: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In time signalling to EuroBank on available connections.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Supporting and managing the Voice network for service degradation including detection, isolation, diagnosis and correction of problems to maintain the service as defined by the SLAs and Exhibits 2.1 to 2.7 including this Exhibit.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Providing EuroBank Authorised Users access to the voice servers.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Supporting Voice Network remote operations and monitoring including remote diagnostics; remote administration; and remote problem resolution and, if necessary, travelling to remote sites.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Identifying actual and potential Voice network bottlenecks.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Performing necessary daily diagnostic routines.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Defining and executing on reporting and corrective action procedures approved by EuroBank in the event design thresholds are exceeded.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i)</w:t>
        <w:tab/>
        <w:t>Notifying EuroBank of any need for an unscheduled and scheduled interruption with notification of the impact.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j)</w:t>
        <w:tab/>
        <w:t>Proactively reporting to EuroBank on Voice network performance, resource shortages, utilization statistics, and trends on at least a monthly basis.</w:t>
      </w:r>
    </w:p>
    <w:p>
      <w:pPr>
        <w:pStyle w:val="Heading2Numbered"/>
        <w:numPr>
          <w:ilvl w:val="1"/>
          <w:numId w:val="2"/>
        </w:numPr>
        <w:ind w:hanging="0" w:start="0"/>
        <w:rPr>
          <w:sz w:val="22"/>
          <w:szCs w:val="22"/>
          <w:lang w:val="en-GB"/>
        </w:rPr>
      </w:pPr>
      <w:bookmarkStart w:id="7" w:name="__RefHeading___Toc150058576"/>
      <w:bookmarkEnd w:id="7"/>
      <w:r>
        <w:rPr>
          <w:sz w:val="22"/>
          <w:szCs w:val="22"/>
          <w:lang w:val="en-GB"/>
        </w:rPr>
        <w:t>Specific Capacity and Configuration Management</w:t>
      </w:r>
    </w:p>
    <w:p>
      <w:pPr>
        <w:pStyle w:val="Normal"/>
        <w:spacing w:before="0" w:after="0"/>
        <w:jc w:val="both"/>
        <w:rPr>
          <w:szCs w:val="22"/>
          <w:lang w:val="en-GB"/>
        </w:rPr>
      </w:pPr>
      <w:r>
        <w:rPr>
          <w:szCs w:val="22"/>
          <w:lang w:val="en-GB"/>
        </w:rPr>
        <w:t>Through measuring and active Configuration Management the PST Supplier is able to hold the current capacity to the agreed threshold. Through regularly measurement on the traffic load the needed capacity of the lines will be determined. Through active Configuration Management the needed equipment on each site (including the stored equipment) will be monitored. Trends, proposed projects and the EuroBank policies will be taken into account in the reporting and advisement over the capacity.  These actions will result in an appropriate sized Voice network whereby issues as equipment, software and transport systems including cable and wiring are taken into account. The configuration standards that are approved by EuroBank will be developed, maintained and adhered by the PST Supplier according to Voice network capacity based on current usage and forecasted demand.</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The PST Supplier will, when EuroBank requires, participate in joint capacity planning reviews with EuroBank and any Third Party Vendor designated by EuroBank.</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Managing Voice network capacity based on current usage and forecasted demand, including:</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Monitoring Voice network capacity utilization as it relates to established capacity thresholds.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Proposing to EuroBank for its approval, changes to improve performance in anticipation of such future loads, including performance improvement expectations.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d)</w:t>
        <w:tab/>
        <w:t>Appropriately sizing Voice network Equipment, System Software, and transport systems cabling, wiring, etc.</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Upgrading, removing, or adding capacity as otherwise necessary to meet EuroBank’s requirements, or proactively recommending capacity changes where PST Supplier is not financially responsible for a specific Voice network component.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Developing, maintaining and adhering to configuration standards as approved by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Participating in joint at least quarterly capacity planning reviews with EuroBank and any Third Party Vendor designated by EuroBank</w:t>
      </w:r>
    </w:p>
    <w:p>
      <w:pPr>
        <w:pStyle w:val="Heading2Numbered"/>
        <w:numPr>
          <w:ilvl w:val="1"/>
          <w:numId w:val="2"/>
        </w:numPr>
        <w:ind w:hanging="0" w:start="0"/>
        <w:rPr>
          <w:sz w:val="22"/>
          <w:szCs w:val="22"/>
          <w:lang w:val="en-GB"/>
        </w:rPr>
      </w:pPr>
      <w:bookmarkStart w:id="8" w:name="__RefHeading___Toc150058577"/>
      <w:bookmarkEnd w:id="8"/>
      <w:r>
        <w:rPr>
          <w:sz w:val="22"/>
          <w:szCs w:val="22"/>
          <w:lang w:val="en-GB"/>
        </w:rPr>
        <w:t>Availability Management</w:t>
      </w:r>
    </w:p>
    <w:p>
      <w:pPr>
        <w:pStyle w:val="Normal"/>
        <w:spacing w:before="0" w:after="0"/>
        <w:jc w:val="both"/>
        <w:rPr>
          <w:szCs w:val="22"/>
          <w:lang w:val="en-GB"/>
        </w:rPr>
      </w:pPr>
      <w:r>
        <w:rPr>
          <w:szCs w:val="22"/>
          <w:lang w:val="en-GB"/>
        </w:rPr>
        <w:t>To meet EuroBank’s requirements the PST Supplier will ensure availability by combining proven processes and procedures with a proper technical design.</w:t>
      </w:r>
    </w:p>
    <w:p>
      <w:pPr>
        <w:pStyle w:val="Normal"/>
        <w:spacing w:before="0" w:after="0"/>
        <w:jc w:val="both"/>
        <w:rPr>
          <w:szCs w:val="22"/>
          <w:lang w:val="en-GB"/>
        </w:rPr>
      </w:pPr>
      <w:r>
        <w:rPr>
          <w:szCs w:val="22"/>
          <w:lang w:val="en-GB"/>
        </w:rPr>
      </w:r>
    </w:p>
    <w:p>
      <w:pPr>
        <w:pStyle w:val="Normal"/>
        <w:spacing w:before="0" w:after="0"/>
        <w:ind w:start="720" w:end="0"/>
        <w:jc w:val="both"/>
        <w:rPr>
          <w:b/>
          <w:szCs w:val="22"/>
          <w:lang w:val="en-GB"/>
        </w:rPr>
      </w:pPr>
      <w:r>
        <w:rPr>
          <w:b/>
          <w:szCs w:val="22"/>
          <w:lang w:val="en-GB"/>
        </w:rPr>
        <w:t>Processes and procedures</w:t>
      </w:r>
    </w:p>
    <w:p>
      <w:pPr>
        <w:pStyle w:val="Normal"/>
        <w:spacing w:before="0" w:after="0"/>
        <w:ind w:start="720" w:end="0"/>
        <w:jc w:val="both"/>
        <w:rPr>
          <w:b/>
          <w:szCs w:val="22"/>
          <w:lang w:val="en-GB"/>
        </w:rPr>
      </w:pPr>
      <w:r>
        <w:rPr>
          <w:b/>
          <w:szCs w:val="22"/>
          <w:lang w:val="en-GB"/>
        </w:rPr>
      </w:r>
    </w:p>
    <w:p>
      <w:pPr>
        <w:pStyle w:val="Normal"/>
        <w:spacing w:before="0" w:after="0"/>
        <w:ind w:start="720" w:end="0"/>
        <w:jc w:val="both"/>
        <w:rPr>
          <w:szCs w:val="22"/>
          <w:lang w:val="en-GB"/>
        </w:rPr>
      </w:pPr>
      <w:r>
        <w:rPr>
          <w:szCs w:val="22"/>
          <w:lang w:val="en-GB"/>
        </w:rPr>
        <w:t>PST Supplier’s solid process implementation will prevent availability Incidents. Aligning all processes will prevent any Incidents. For example, a proper Change Management process supported by back-out plans will prevent unavailability.</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 xml:space="preserve">In case of unavailability proper procedures will restore functionality. The PST Supplier matches the requested availability with required service levels for Incident resolution. </w:t>
      </w:r>
    </w:p>
    <w:p>
      <w:pPr>
        <w:pStyle w:val="Normal"/>
        <w:spacing w:before="0" w:after="0"/>
        <w:ind w:start="720" w:end="0"/>
        <w:jc w:val="both"/>
        <w:rPr>
          <w:szCs w:val="22"/>
          <w:lang w:val="en-GB"/>
        </w:rPr>
      </w:pPr>
      <w:r>
        <w:rPr>
          <w:szCs w:val="22"/>
          <w:lang w:val="en-GB"/>
        </w:rPr>
      </w:r>
    </w:p>
    <w:p>
      <w:pPr>
        <w:pStyle w:val="Normal"/>
        <w:spacing w:before="0" w:after="0"/>
        <w:ind w:start="720" w:end="0"/>
        <w:jc w:val="both"/>
        <w:rPr>
          <w:b/>
          <w:szCs w:val="22"/>
          <w:lang w:val="en-GB"/>
        </w:rPr>
      </w:pPr>
      <w:r>
        <w:rPr>
          <w:b/>
          <w:szCs w:val="22"/>
          <w:lang w:val="en-GB"/>
        </w:rPr>
        <w:t>Activities of PST Supplier</w:t>
      </w:r>
    </w:p>
    <w:p>
      <w:pPr>
        <w:pStyle w:val="Normal"/>
        <w:spacing w:before="0" w:after="0"/>
        <w:ind w:start="720" w:end="0"/>
        <w:jc w:val="both"/>
        <w:rPr>
          <w:b/>
          <w:szCs w:val="22"/>
          <w:lang w:val="en-GB"/>
        </w:rPr>
      </w:pPr>
      <w:r>
        <w:rPr>
          <w:b/>
          <w:szCs w:val="22"/>
          <w:lang w:val="en-GB"/>
        </w:rPr>
      </w:r>
    </w:p>
    <w:p>
      <w:pPr>
        <w:pStyle w:val="Normal"/>
        <w:spacing w:before="0" w:after="0"/>
        <w:ind w:start="720" w:end="0"/>
        <w:jc w:val="both"/>
        <w:rPr>
          <w:szCs w:val="22"/>
          <w:lang w:val="en-GB"/>
        </w:rPr>
      </w:pPr>
      <w:r>
        <w:rPr>
          <w:szCs w:val="22"/>
          <w:lang w:val="en-GB"/>
        </w:rPr>
        <w:t>•</w:t>
      </w:r>
      <w:r>
        <w:rPr>
          <w:szCs w:val="22"/>
          <w:lang w:val="en-GB"/>
        </w:rPr>
        <w:tab/>
        <w:t>Definition of users availability and business availability;</w:t>
      </w:r>
    </w:p>
    <w:p>
      <w:pPr>
        <w:pStyle w:val="Normal"/>
        <w:spacing w:before="0" w:after="0"/>
        <w:ind w:start="720" w:end="0"/>
        <w:jc w:val="both"/>
        <w:rPr>
          <w:szCs w:val="22"/>
          <w:lang w:val="en-GB"/>
        </w:rPr>
      </w:pPr>
      <w:r>
        <w:rPr>
          <w:szCs w:val="22"/>
          <w:lang w:val="en-GB"/>
        </w:rPr>
        <w:t>•</w:t>
      </w:r>
      <w:r>
        <w:rPr>
          <w:szCs w:val="22"/>
          <w:lang w:val="en-GB"/>
        </w:rPr>
        <w:tab/>
        <w:t>Determining availability requirements;</w:t>
      </w:r>
    </w:p>
    <w:p>
      <w:pPr>
        <w:pStyle w:val="Normal"/>
        <w:spacing w:before="0" w:after="0"/>
        <w:ind w:start="720" w:end="0"/>
        <w:jc w:val="both"/>
        <w:rPr>
          <w:szCs w:val="22"/>
          <w:lang w:val="en-GB"/>
        </w:rPr>
      </w:pPr>
      <w:r>
        <w:rPr>
          <w:szCs w:val="22"/>
          <w:lang w:val="en-GB"/>
        </w:rPr>
        <w:t>•</w:t>
      </w:r>
      <w:r>
        <w:rPr>
          <w:szCs w:val="22"/>
          <w:lang w:val="en-GB"/>
        </w:rPr>
        <w:tab/>
        <w:t>Translate requirements into infrastructure, organisation and contracts design;</w:t>
      </w:r>
    </w:p>
    <w:p>
      <w:pPr>
        <w:pStyle w:val="Normal"/>
        <w:spacing w:before="0" w:after="0"/>
        <w:ind w:start="720" w:end="0"/>
        <w:jc w:val="both"/>
        <w:rPr>
          <w:szCs w:val="22"/>
          <w:lang w:val="en-GB"/>
        </w:rPr>
      </w:pPr>
      <w:r>
        <w:rPr>
          <w:szCs w:val="22"/>
          <w:lang w:val="en-GB"/>
        </w:rPr>
        <w:t>•</w:t>
      </w:r>
      <w:r>
        <w:rPr>
          <w:szCs w:val="22"/>
          <w:lang w:val="en-GB"/>
        </w:rPr>
        <w:tab/>
        <w:t>Measurement, reporting and communication.</w:t>
      </w:r>
    </w:p>
    <w:p>
      <w:pPr>
        <w:pStyle w:val="Normal"/>
        <w:spacing w:before="0" w:after="0"/>
        <w:ind w:start="720" w:end="0"/>
        <w:jc w:val="both"/>
        <w:rPr>
          <w:szCs w:val="22"/>
          <w:lang w:val="en-GB"/>
        </w:rPr>
      </w:pPr>
      <w:r>
        <w:rPr>
          <w:szCs w:val="22"/>
          <w:lang w:val="en-GB"/>
        </w:rPr>
      </w:r>
    </w:p>
    <w:p>
      <w:pPr>
        <w:pStyle w:val="Normal"/>
        <w:spacing w:before="0" w:after="0"/>
        <w:ind w:start="720" w:end="0"/>
        <w:jc w:val="both"/>
        <w:rPr>
          <w:b/>
          <w:szCs w:val="22"/>
          <w:lang w:val="en-GB"/>
        </w:rPr>
      </w:pPr>
      <w:r>
        <w:rPr>
          <w:b/>
          <w:szCs w:val="22"/>
          <w:lang w:val="en-GB"/>
        </w:rPr>
        <w:t>Activities of EuroBank</w:t>
      </w:r>
    </w:p>
    <w:p>
      <w:pPr>
        <w:pStyle w:val="Normal"/>
        <w:spacing w:before="0" w:after="0"/>
        <w:ind w:start="720" w:end="0"/>
        <w:jc w:val="both"/>
        <w:rPr>
          <w:b/>
          <w:szCs w:val="22"/>
          <w:lang w:val="en-GB"/>
        </w:rPr>
      </w:pPr>
      <w:r>
        <w:rPr>
          <w:b/>
          <w:szCs w:val="22"/>
          <w:lang w:val="en-GB"/>
        </w:rPr>
      </w:r>
    </w:p>
    <w:p>
      <w:pPr>
        <w:pStyle w:val="Normal"/>
        <w:spacing w:before="0" w:after="0"/>
        <w:ind w:start="720" w:end="0"/>
        <w:jc w:val="both"/>
        <w:rPr>
          <w:szCs w:val="22"/>
          <w:lang w:val="en-GB"/>
        </w:rPr>
      </w:pPr>
      <w:r>
        <w:rPr>
          <w:szCs w:val="22"/>
          <w:lang w:val="en-GB"/>
        </w:rPr>
        <w:t>•</w:t>
      </w:r>
      <w:r>
        <w:rPr>
          <w:szCs w:val="22"/>
          <w:lang w:val="en-GB"/>
        </w:rPr>
        <w:tab/>
        <w:t>Determining vital business functions;</w:t>
      </w:r>
    </w:p>
    <w:p>
      <w:pPr>
        <w:pStyle w:val="Normal"/>
        <w:spacing w:before="0" w:after="0"/>
        <w:ind w:start="720" w:end="0"/>
        <w:jc w:val="both"/>
        <w:rPr>
          <w:szCs w:val="22"/>
          <w:lang w:val="en-GB"/>
        </w:rPr>
      </w:pPr>
      <w:r>
        <w:rPr>
          <w:szCs w:val="22"/>
          <w:lang w:val="en-GB"/>
        </w:rPr>
        <w:t>•</w:t>
      </w:r>
      <w:r>
        <w:rPr>
          <w:szCs w:val="22"/>
          <w:lang w:val="en-GB"/>
        </w:rPr>
        <w:tab/>
        <w:t>Definition of users availability and business availability;</w:t>
      </w:r>
    </w:p>
    <w:p>
      <w:pPr>
        <w:pStyle w:val="Normal"/>
        <w:spacing w:before="0" w:after="0"/>
        <w:ind w:start="720" w:end="0"/>
        <w:jc w:val="both"/>
        <w:rPr>
          <w:szCs w:val="22"/>
          <w:lang w:val="en-GB"/>
        </w:rPr>
      </w:pPr>
      <w:r>
        <w:rPr>
          <w:szCs w:val="22"/>
          <w:lang w:val="en-GB"/>
        </w:rPr>
        <w:t>•</w:t>
      </w:r>
      <w:r>
        <w:rPr>
          <w:szCs w:val="22"/>
          <w:lang w:val="en-GB"/>
        </w:rPr>
        <w:tab/>
        <w:t>Determining availability requirements.</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r>
    </w:p>
    <w:p>
      <w:pPr>
        <w:pStyle w:val="Normal"/>
        <w:spacing w:before="0" w:after="0"/>
        <w:ind w:start="720" w:end="0"/>
        <w:jc w:val="both"/>
        <w:rPr>
          <w:b/>
          <w:szCs w:val="22"/>
          <w:lang w:val="en-GB"/>
        </w:rPr>
      </w:pPr>
      <w:r>
        <w:rPr>
          <w:b/>
          <w:szCs w:val="22"/>
          <w:lang w:val="en-GB"/>
        </w:rPr>
        <w:t>Technical design</w:t>
      </w:r>
    </w:p>
    <w:p>
      <w:pPr>
        <w:pStyle w:val="Normal"/>
        <w:spacing w:before="0" w:after="0"/>
        <w:ind w:start="720" w:end="0"/>
        <w:jc w:val="both"/>
        <w:rPr>
          <w:b/>
          <w:szCs w:val="22"/>
          <w:lang w:val="en-GB"/>
        </w:rPr>
      </w:pPr>
      <w:r>
        <w:rPr>
          <w:b/>
          <w:szCs w:val="22"/>
          <w:lang w:val="en-GB"/>
        </w:rPr>
      </w:r>
    </w:p>
    <w:p>
      <w:pPr>
        <w:pStyle w:val="Normal"/>
        <w:spacing w:before="0" w:after="0"/>
        <w:ind w:start="720" w:end="0"/>
        <w:jc w:val="both"/>
        <w:rPr>
          <w:szCs w:val="22"/>
          <w:lang w:val="en-GB"/>
        </w:rPr>
      </w:pPr>
      <w:r>
        <w:rPr>
          <w:szCs w:val="22"/>
          <w:lang w:val="en-GB"/>
        </w:rPr>
        <w:t xml:space="preserve">PST Supplier understands that availability of voice services is of major importance to EuroBank.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 xml:space="preserve">Ensuring availability of the service as per the agreed Service Levels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 xml:space="preserve">Delivering solutions in accordance with EuroBank Business Continuity Plan (‘BCP’) </w:t>
      </w:r>
    </w:p>
    <w:p>
      <w:pPr>
        <w:pStyle w:val="Heading2Numbered"/>
        <w:numPr>
          <w:ilvl w:val="1"/>
          <w:numId w:val="2"/>
        </w:numPr>
        <w:ind w:hanging="0" w:start="0"/>
        <w:rPr>
          <w:sz w:val="22"/>
          <w:szCs w:val="22"/>
          <w:lang w:val="en-GB"/>
        </w:rPr>
      </w:pPr>
      <w:bookmarkStart w:id="9" w:name="__RefHeading___Toc150058578"/>
      <w:bookmarkEnd w:id="9"/>
      <w:r>
        <w:rPr>
          <w:sz w:val="22"/>
          <w:szCs w:val="22"/>
          <w:lang w:val="en-GB"/>
        </w:rPr>
        <w:t>Performance Optimization</w:t>
      </w:r>
    </w:p>
    <w:p>
      <w:pPr>
        <w:pStyle w:val="Normal"/>
        <w:spacing w:before="0" w:after="0"/>
        <w:jc w:val="both"/>
        <w:rPr>
          <w:szCs w:val="22"/>
          <w:lang w:val="en-GB"/>
        </w:rPr>
      </w:pPr>
      <w:r>
        <w:rPr>
          <w:szCs w:val="22"/>
          <w:lang w:val="en-GB"/>
        </w:rPr>
        <w:t>The Innovation group works closely with EuroBank and concentrates on the identification of business needs and the translation of those needs into concrete cost-lowering reduction and quality-enhancing solutions, so that EuroBank can continue to compete in the market.</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As part of this continuous effort, regular optimisation analyses are performed leading to proactively optimising cost effectiveness and efficiency, without sacrificing performance or ability to meet the Service Levels.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Input for these analyses/assessments is the data gathered from performance monitoring and forecasting activities.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These optimisation plans/activities will be discussed with 2IM and EuroBank at regular intervals.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Performance of the network can be measured from different angles, such as:</w:t>
      </w:r>
    </w:p>
    <w:p>
      <w:pPr>
        <w:pStyle w:val="Normal"/>
        <w:spacing w:before="0" w:after="0"/>
        <w:jc w:val="both"/>
        <w:rPr>
          <w:szCs w:val="22"/>
          <w:lang w:val="en-GB"/>
        </w:rPr>
      </w:pPr>
      <w:r>
        <w:rPr>
          <w:szCs w:val="22"/>
          <w:lang w:val="en-GB"/>
        </w:rPr>
      </w:r>
    </w:p>
    <w:p>
      <w:pPr>
        <w:pStyle w:val="Normal"/>
        <w:spacing w:before="0" w:after="0"/>
        <w:ind w:start="720" w:end="0"/>
        <w:jc w:val="both"/>
        <w:rPr/>
      </w:pPr>
      <w:r>
        <w:rPr>
          <w:szCs w:val="22"/>
          <w:u w:val="single"/>
          <w:lang w:val="en-GB"/>
        </w:rPr>
        <w:t>Users</w:t>
      </w:r>
      <w:r>
        <w:rPr>
          <w:szCs w:val="22"/>
          <w:lang w:val="en-GB"/>
        </w:rPr>
        <w:t>:</w:t>
      </w:r>
    </w:p>
    <w:p>
      <w:pPr>
        <w:pStyle w:val="Normal"/>
        <w:spacing w:before="0" w:after="0"/>
        <w:ind w:start="720" w:end="0"/>
        <w:jc w:val="both"/>
        <w:rPr>
          <w:szCs w:val="22"/>
          <w:lang w:val="en-GB"/>
        </w:rPr>
      </w:pPr>
      <w:r>
        <w:rPr>
          <w:szCs w:val="22"/>
          <w:lang w:val="en-GB"/>
        </w:rPr>
        <w:t>•</w:t>
      </w:r>
      <w:r>
        <w:rPr>
          <w:szCs w:val="22"/>
          <w:lang w:val="en-GB"/>
        </w:rPr>
        <w:tab/>
        <w:t>Call completion (capacity and connectivity);</w:t>
      </w:r>
    </w:p>
    <w:p>
      <w:pPr>
        <w:pStyle w:val="Normal"/>
        <w:spacing w:before="0" w:after="0"/>
        <w:ind w:start="720" w:end="0"/>
        <w:jc w:val="both"/>
        <w:rPr>
          <w:szCs w:val="22"/>
          <w:lang w:val="en-GB"/>
        </w:rPr>
      </w:pPr>
      <w:r>
        <w:rPr>
          <w:szCs w:val="22"/>
          <w:lang w:val="en-GB"/>
        </w:rPr>
        <w:t>•</w:t>
      </w:r>
      <w:r>
        <w:rPr>
          <w:szCs w:val="22"/>
          <w:lang w:val="en-GB"/>
        </w:rPr>
        <w:tab/>
        <w:t>Speech quality;</w:t>
      </w:r>
    </w:p>
    <w:p>
      <w:pPr>
        <w:pStyle w:val="Normal"/>
        <w:spacing w:before="0" w:after="0"/>
        <w:ind w:start="720" w:end="0"/>
        <w:jc w:val="both"/>
        <w:rPr>
          <w:szCs w:val="22"/>
          <w:lang w:val="en-GB"/>
        </w:rPr>
      </w:pPr>
      <w:r>
        <w:rPr>
          <w:szCs w:val="22"/>
          <w:lang w:val="en-GB"/>
        </w:rPr>
        <w:t>•</w:t>
      </w:r>
      <w:r>
        <w:rPr>
          <w:szCs w:val="22"/>
          <w:lang w:val="en-GB"/>
        </w:rPr>
        <w:tab/>
        <w:t>Up time of the service (in fact, availability).</w:t>
      </w:r>
    </w:p>
    <w:p>
      <w:pPr>
        <w:pStyle w:val="Normal"/>
        <w:spacing w:before="0" w:after="0"/>
        <w:ind w:start="720" w:end="0"/>
        <w:jc w:val="both"/>
        <w:rPr>
          <w:szCs w:val="22"/>
          <w:lang w:val="en-GB"/>
        </w:rPr>
      </w:pPr>
      <w:r>
        <w:rPr>
          <w:szCs w:val="22"/>
          <w:lang w:val="en-GB"/>
        </w:rPr>
      </w:r>
    </w:p>
    <w:p>
      <w:pPr>
        <w:pStyle w:val="Normal"/>
        <w:spacing w:before="0" w:after="0"/>
        <w:ind w:start="720" w:end="0"/>
        <w:jc w:val="both"/>
        <w:rPr/>
      </w:pPr>
      <w:r>
        <w:rPr>
          <w:szCs w:val="22"/>
          <w:u w:val="single"/>
          <w:lang w:val="en-GB"/>
        </w:rPr>
        <w:t>Functional</w:t>
      </w:r>
      <w:r>
        <w:rPr>
          <w:szCs w:val="22"/>
          <w:lang w:val="en-GB"/>
        </w:rPr>
        <w:t>:</w:t>
      </w:r>
    </w:p>
    <w:p>
      <w:pPr>
        <w:pStyle w:val="Normal"/>
        <w:spacing w:before="0" w:after="0"/>
        <w:ind w:hanging="720" w:start="1440" w:end="0"/>
        <w:jc w:val="both"/>
        <w:rPr>
          <w:szCs w:val="22"/>
          <w:lang w:val="en-GB"/>
        </w:rPr>
      </w:pPr>
      <w:r>
        <w:rPr>
          <w:szCs w:val="22"/>
          <w:lang w:val="en-GB"/>
        </w:rPr>
        <w:t>•</w:t>
      </w:r>
      <w:r>
        <w:rPr>
          <w:szCs w:val="22"/>
          <w:lang w:val="en-GB"/>
        </w:rPr>
        <w:tab/>
        <w:t>Providing services that increase efficiency of the users (e.g. (including but not limited to) call back, missed calls, etc.);</w:t>
      </w:r>
    </w:p>
    <w:p>
      <w:pPr>
        <w:pStyle w:val="Normal"/>
        <w:spacing w:before="0" w:after="0"/>
        <w:ind w:hanging="720" w:start="1440" w:end="0"/>
        <w:jc w:val="both"/>
        <w:rPr>
          <w:szCs w:val="22"/>
          <w:lang w:val="en-GB"/>
        </w:rPr>
      </w:pPr>
      <w:r>
        <w:rPr>
          <w:szCs w:val="22"/>
          <w:lang w:val="en-GB"/>
        </w:rPr>
        <w:t>•</w:t>
      </w:r>
      <w:r>
        <w:rPr>
          <w:szCs w:val="22"/>
          <w:lang w:val="en-GB"/>
        </w:rPr>
        <w:tab/>
        <w:t>Routing mechanisms;</w:t>
      </w:r>
    </w:p>
    <w:p>
      <w:pPr>
        <w:pStyle w:val="Normal"/>
        <w:spacing w:before="0" w:after="0"/>
        <w:ind w:hanging="720" w:start="1440" w:end="0"/>
        <w:jc w:val="both"/>
        <w:rPr>
          <w:szCs w:val="22"/>
          <w:lang w:val="en-GB"/>
        </w:rPr>
      </w:pPr>
      <w:r>
        <w:rPr>
          <w:szCs w:val="22"/>
          <w:lang w:val="en-GB"/>
        </w:rPr>
        <w:t>•</w:t>
      </w:r>
      <w:r>
        <w:rPr>
          <w:szCs w:val="22"/>
          <w:lang w:val="en-GB"/>
        </w:rPr>
        <w:tab/>
        <w:t>Directory services.</w:t>
      </w:r>
    </w:p>
    <w:p>
      <w:pPr>
        <w:pStyle w:val="Normal"/>
        <w:spacing w:before="0" w:after="0"/>
        <w:ind w:start="720" w:end="0"/>
        <w:jc w:val="both"/>
        <w:rPr>
          <w:szCs w:val="22"/>
          <w:lang w:val="en-GB"/>
        </w:rPr>
      </w:pPr>
      <w:r>
        <w:rPr>
          <w:szCs w:val="22"/>
          <w:lang w:val="en-GB"/>
        </w:rPr>
      </w:r>
    </w:p>
    <w:p>
      <w:pPr>
        <w:pStyle w:val="Normal"/>
        <w:spacing w:before="0" w:after="0"/>
        <w:ind w:start="720" w:end="0"/>
        <w:jc w:val="both"/>
        <w:rPr/>
      </w:pPr>
      <w:r>
        <w:rPr>
          <w:szCs w:val="22"/>
          <w:u w:val="single"/>
          <w:lang w:val="en-GB"/>
        </w:rPr>
        <w:t>Financial</w:t>
      </w:r>
      <w:r>
        <w:rPr>
          <w:szCs w:val="22"/>
          <w:lang w:val="en-GB"/>
        </w:rPr>
        <w:t>:</w:t>
      </w:r>
    </w:p>
    <w:p>
      <w:pPr>
        <w:pStyle w:val="Normal"/>
        <w:spacing w:before="0" w:after="0"/>
        <w:ind w:hanging="720" w:start="1440" w:end="0"/>
        <w:jc w:val="both"/>
        <w:rPr>
          <w:szCs w:val="22"/>
          <w:lang w:val="en-GB"/>
        </w:rPr>
      </w:pPr>
      <w:r>
        <w:rPr>
          <w:szCs w:val="22"/>
          <w:lang w:val="en-GB"/>
        </w:rPr>
        <w:t>•</w:t>
      </w:r>
      <w:r>
        <w:rPr>
          <w:szCs w:val="22"/>
          <w:lang w:val="en-GB"/>
        </w:rPr>
        <w:tab/>
        <w:t>Exploitation cost in accordance to level of provided service, capacity, availability;</w:t>
      </w:r>
    </w:p>
    <w:p>
      <w:pPr>
        <w:pStyle w:val="Normal"/>
        <w:spacing w:before="0" w:after="0"/>
        <w:ind w:hanging="720" w:start="1440" w:end="0"/>
        <w:jc w:val="both"/>
        <w:rPr>
          <w:szCs w:val="22"/>
          <w:lang w:val="en-GB"/>
        </w:rPr>
      </w:pPr>
      <w:r>
        <w:rPr>
          <w:szCs w:val="22"/>
          <w:lang w:val="en-GB"/>
        </w:rPr>
        <w:t>•</w:t>
      </w:r>
      <w:r>
        <w:rPr>
          <w:szCs w:val="22"/>
          <w:lang w:val="en-GB"/>
        </w:rPr>
        <w:tab/>
        <w:t>Trade off between leased lines and dial-up connections;</w:t>
      </w:r>
    </w:p>
    <w:p>
      <w:pPr>
        <w:pStyle w:val="Normal"/>
        <w:spacing w:before="0" w:after="0"/>
        <w:ind w:hanging="720" w:start="1440" w:end="0"/>
        <w:jc w:val="both"/>
        <w:rPr>
          <w:szCs w:val="22"/>
          <w:lang w:val="en-GB"/>
        </w:rPr>
      </w:pPr>
      <w:r>
        <w:rPr>
          <w:szCs w:val="22"/>
          <w:lang w:val="en-GB"/>
        </w:rPr>
        <w:t>•</w:t>
      </w:r>
      <w:r>
        <w:rPr>
          <w:szCs w:val="22"/>
          <w:lang w:val="en-GB"/>
        </w:rPr>
        <w:tab/>
        <w:t>Trade off between leased lines and LAN/WAN connections.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With EuroBank, a set of key performance indicators will be agreed</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PST Suppliers optimisation proposals will be based on analysis of the data gathered from a-select sample Sites.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 first approach is to compare and relate the key figures of these locations (provider costs, incidents, traffic costs).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Optimizing and improving the performance and design of the Voice network using data gathered from performance monitoring and forecasting activities.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Performing regular optimization analyses on at least a quarterly basis, and prior to and following any major transitions or changes.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Optimizing cost effectiveness and efficiency, without sacrificing performance or ability to meet the Service Levels.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Using modelling and other analysis tools where applicable to determine methods of improving the performance.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Assessing and implementing alternate methods and procedures to reduce Voice network errors and Voice network downtime.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Reviewing optimization activities and plans with EuroBank on at least a quarterly basis.</w:t>
      </w:r>
    </w:p>
    <w:p>
      <w:pPr>
        <w:pStyle w:val="Heading2Numbered"/>
        <w:numPr>
          <w:ilvl w:val="1"/>
          <w:numId w:val="2"/>
        </w:numPr>
        <w:ind w:hanging="0" w:start="0"/>
        <w:rPr>
          <w:sz w:val="22"/>
          <w:szCs w:val="22"/>
          <w:lang w:val="en-GB"/>
        </w:rPr>
      </w:pPr>
      <w:bookmarkStart w:id="10" w:name="__RefHeading___Toc150058579"/>
      <w:bookmarkEnd w:id="10"/>
      <w:r>
        <w:rPr>
          <w:sz w:val="22"/>
          <w:szCs w:val="22"/>
          <w:lang w:val="en-GB"/>
        </w:rPr>
        <w:t>Voice Network Control and Connectivity Services</w:t>
      </w:r>
    </w:p>
    <w:p>
      <w:pPr>
        <w:pStyle w:val="Normal"/>
        <w:spacing w:before="0" w:after="0"/>
        <w:jc w:val="both"/>
        <w:rPr>
          <w:szCs w:val="22"/>
          <w:u w:val="single"/>
          <w:lang w:val="en-GB"/>
        </w:rPr>
      </w:pPr>
      <w:r>
        <w:rPr>
          <w:szCs w:val="22"/>
          <w:u w:val="single"/>
          <w:lang w:val="en-GB"/>
        </w:rPr>
        <w:t>General</w:t>
      </w:r>
    </w:p>
    <w:p>
      <w:pPr>
        <w:pStyle w:val="Normal"/>
        <w:spacing w:before="0" w:after="0"/>
        <w:jc w:val="both"/>
        <w:rPr>
          <w:szCs w:val="22"/>
          <w:u w:val="single"/>
          <w:lang w:val="en-GB"/>
        </w:rPr>
      </w:pPr>
      <w:r>
        <w:rPr>
          <w:szCs w:val="22"/>
          <w:u w:val="single"/>
          <w:lang w:val="en-GB"/>
        </w:rPr>
      </w:r>
    </w:p>
    <w:p>
      <w:pPr>
        <w:pStyle w:val="Normal"/>
        <w:spacing w:before="0" w:after="0"/>
        <w:jc w:val="both"/>
        <w:rPr>
          <w:szCs w:val="22"/>
          <w:lang w:val="en-GB"/>
        </w:rPr>
      </w:pPr>
      <w:r>
        <w:rPr>
          <w:szCs w:val="22"/>
          <w:lang w:val="en-GB"/>
        </w:rPr>
        <w:t xml:space="preserve">The PST Supplier has a dedicated department for management of large/complex voice communication networks. The expert know-how available at the PST Supplier will provide EuroBank with a solution and services that will not only generate a positive result in the short term but also enable EuroBank to make maximum long-term use of the communication network.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 will also keeps close track of new developments and trends to provide EuroBank with the latest options.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 will deliver a defined voice network control and connectivity service. Voice network control will be (preferably) centralized. The monitoring of the network will be implemented in such a way that major alarms are signalled and acted upon. Where applicable, logging and measurement functions will be activated in the network equipment in order to obtain objective figures that can be used in capacity management end performance management.</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a)</w:t>
        <w:tab/>
        <w:t>Obtaining approval from EuroBank prior to establishing Connectivity from EuroBank Voice network to the PST Supplier’s facilities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Managing and operating all Voice Network Equipment and Software necessary to enable Connectivity, including:</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Configuring Voice Network Equipment, Software, and Cabling.</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Installing Voice Network Equipment, Software, and Cabling.</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Acceptance, testing Voice network Equipment, Software, and Cabling.</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Implementing Voice network Equipment, Software, and Cabling.</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w:t>
        <w:tab/>
        <w:t>Supporting Voice network Equipment, Software, and Cabling.</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w:t>
        <w:tab/>
        <w:t>De-installing and removing Voice network Equipment, Software, and Cabling as required.</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vii.</w:t>
        <w:tab/>
        <w:t>Verifying Connectivity of the Infrastructure and all other directly connected devices.</w:t>
      </w:r>
    </w:p>
    <w:p>
      <w:pPr>
        <w:pStyle w:val="Heading2Numbered"/>
        <w:numPr>
          <w:ilvl w:val="1"/>
          <w:numId w:val="2"/>
        </w:numPr>
        <w:ind w:hanging="0" w:start="0"/>
        <w:rPr>
          <w:sz w:val="22"/>
          <w:szCs w:val="22"/>
          <w:lang w:val="en-GB"/>
        </w:rPr>
      </w:pPr>
      <w:bookmarkStart w:id="11" w:name="__RefHeading___Toc150058580"/>
      <w:bookmarkEnd w:id="11"/>
      <w:r>
        <w:rPr>
          <w:sz w:val="22"/>
          <w:szCs w:val="22"/>
          <w:lang w:val="en-GB"/>
        </w:rPr>
        <w:t>Other Voice network Operations Services</w:t>
      </w:r>
    </w:p>
    <w:p>
      <w:pPr>
        <w:pStyle w:val="Normal"/>
        <w:spacing w:before="0" w:after="0"/>
        <w:jc w:val="both"/>
        <w:rPr>
          <w:szCs w:val="22"/>
          <w:lang w:val="en-GB"/>
        </w:rPr>
      </w:pPr>
      <w:r>
        <w:rPr>
          <w:szCs w:val="22"/>
          <w:lang w:val="en-GB"/>
        </w:rPr>
        <w:t>The PST Supplier will use relevant test procedures for installation. Those procedures will be developed in conjunction with the 2IM and EuroBank. Where possible current EuroBank procedures will be used or slightly altered. A fair amount of these test procedures will cover the back up and recovery of availability procedures and implemented protection against lightning strikes (in accordance with industry practices), electric noise; power surges and unauthorized access in accordance with the Change Management procedures and EuroBank’s security requirements.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Managing the numbering plans, naming and addressing schemes will be done with the PST Supplier Service Management system. With every change that has an effect on these plans and schemes it will become clear what that impact will be. Therefore PST Supplier will manage and analyze these plans and schemes so EuroBank will be assured of advisement over possible cost savings. The proposed changes will be subjected to the agreed Change Control procedures.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For rollback, restoration and dissemination purposes, PST Supplier will make a back up of the configuration files of the voice network equipment, regularly and after every relevant change. PST Supplier will use the technical and administrative platforms that are designed and installed for this purpose.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Developing acceptance test procedures for installation and changes to the Voice network, and for verifying restoration of availability following problems with the Voice network including back-up procedures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Managing the numbering plans, naming and addressing of all Voice network devices based on schemes approved by EuroBank, including:</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Documenting the current numbering plans and addressing scheme.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Implementing, coordinating, and updating new numbering plans and addressing schemes, including developing associated migration plans.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Composing, editing and downloading configuration files to Equipment using administration platforms designed to provide single point of control, dissemination and rollback capability.</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When installing or conducting changes to Voice network Equipment and Software at Sites, implementing protection against lightning strikes (in accordance with industry practices); electric noise; power surges; and unauthorized access in accordance with the Change Management procedures and EuroBank’s security requirements.</w:t>
      </w:r>
    </w:p>
    <w:p>
      <w:pPr>
        <w:pStyle w:val="Heading2Numbered"/>
        <w:numPr>
          <w:ilvl w:val="1"/>
          <w:numId w:val="2"/>
        </w:numPr>
        <w:ind w:hanging="0" w:start="0"/>
        <w:rPr>
          <w:sz w:val="22"/>
          <w:szCs w:val="22"/>
          <w:lang w:val="en-GB"/>
        </w:rPr>
      </w:pPr>
      <w:bookmarkStart w:id="12" w:name="__RefHeading___Toc150058581"/>
      <w:bookmarkEnd w:id="12"/>
      <w:r>
        <w:rPr>
          <w:sz w:val="22"/>
          <w:szCs w:val="22"/>
          <w:lang w:val="en-GB"/>
        </w:rPr>
        <w:t>Specific Installs, Moves, Adds and Changes (IMACs) Services</w:t>
      </w:r>
    </w:p>
    <w:p>
      <w:pPr>
        <w:pStyle w:val="Normal"/>
        <w:spacing w:before="0" w:after="0"/>
        <w:jc w:val="both"/>
        <w:rPr>
          <w:szCs w:val="22"/>
          <w:lang w:val="en-GB"/>
        </w:rPr>
      </w:pPr>
      <w:r>
        <w:rPr>
          <w:szCs w:val="22"/>
          <w:lang w:val="en-GB"/>
        </w:rPr>
        <w:t>PST Supplier will perform all IMAC, standard and non-standard, according to the described statements within this SOW. The PST Supplier will use DMS for configuration management, reporting &amp; billing purposes. The PST Suppliers Customer Unit will perform all remote activities. For local activities PST Supplier will use the PST Supplier that provides the local support. All activities, actions, contacts, etc will be done according to the agreed services and procedures.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For the majority of IMACs, efficient and low cost procedures will be installed. The other IMACs need more care and security or flexibility and therefore more control by EuroBank. Through the distinctions PST Supplier makes in regard to the kind of IMACs EuroBank requires, PST Supplier is able to provide EuroBank with this service.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Executing IMACs as requested and approved by EuroBank via the process defined by the 2IM, at the Sites and PST Supplier-managed locations, including:</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Hard IMACs.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Soft IMACs, where such Soft IMACs will not be counted against any Resource Baseline for IMACs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Receiving, validating and tracking all IMAC orders from Authorized Users as necessary within the process defined by the 2IM.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Installing, maintaining and upgrading connections. This will include connections (PSTN &amp; ISDN2) installed at the home address of Named Users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Using an automated system accessible to Authorized Users via an online browser to track IMAC activity and produce reports on these activities.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Monitoring client satisfaction and closely monitoring Service Levels throughout the IMAC activity.</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From the voice network service perspective; With respect to authorized IMAC requests, executing the IMAC following 2IM planning and procedures including:</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Coordinating PST Supplier, EuroBank and any Third Party Vendors to achieve high quality execution of all IMACs.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Obtaining or procuring all required components and services necessary to perform IMAC Services.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Coordinating space requirements and logistics.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Ensuring that installation site is properly surveyed and prepared to prevent delays in IMAC activities.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w:t>
        <w:tab/>
        <w:t>Coordinating and installing changes to the Cabling and other Infrastructure or Equipment for which the PST Supplier is responsible.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w:t>
        <w:tab/>
        <w:t>Scheduling and dispatching technicians.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vii)</w:t>
        <w:tab/>
        <w:t>Performing related Software installs and upgrades.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viii)</w:t>
        <w:tab/>
        <w:t>Performing backups and reloads of data and Software.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ix)</w:t>
        <w:tab/>
        <w:t>Performing and coordinating configuration functions.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x)</w:t>
        <w:tab/>
        <w:t>Performing and coordinating onsite operational testing and ensuring appropriate back-out procedures as required.</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xi)</w:t>
        <w:tab/>
        <w:t>Providing on-site support as required resolving problems associated with large-scale installations or moves.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xii)</w:t>
        <w:tab/>
        <w:t xml:space="preserve">Updating the Asset Inventory and Management System, as defined by the 2IM, in a timely manner when any Voice Network Equipment or Software changes are made by the PST Supplier or reported by EuroBank.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xiii)</w:t>
        <w:tab/>
        <w:t>Setting up security, file access and other administrative procedures associated with any IMACs.</w:t>
      </w:r>
    </w:p>
    <w:p>
      <w:pPr>
        <w:pStyle w:val="Heading2Numbered"/>
        <w:numPr>
          <w:ilvl w:val="1"/>
          <w:numId w:val="2"/>
        </w:numPr>
        <w:ind w:hanging="0" w:start="0"/>
        <w:rPr>
          <w:sz w:val="22"/>
          <w:szCs w:val="22"/>
          <w:lang w:val="en-GB"/>
        </w:rPr>
      </w:pPr>
      <w:bookmarkStart w:id="13" w:name="__RefHeading___Toc150058582"/>
      <w:bookmarkEnd w:id="13"/>
      <w:r>
        <w:rPr>
          <w:sz w:val="22"/>
          <w:szCs w:val="22"/>
          <w:lang w:val="en-GB"/>
        </w:rPr>
        <w:t>Site Info and Documentation Services</w:t>
      </w:r>
    </w:p>
    <w:p>
      <w:pPr>
        <w:pStyle w:val="Normal"/>
        <w:spacing w:before="0" w:after="0"/>
        <w:jc w:val="both"/>
        <w:rPr>
          <w:szCs w:val="22"/>
          <w:lang w:val="en-GB"/>
        </w:rPr>
      </w:pPr>
      <w:r>
        <w:rPr>
          <w:szCs w:val="22"/>
          <w:lang w:val="en-GB"/>
        </w:rPr>
        <w:t xml:space="preserve"> </w:t>
      </w:r>
      <w:r>
        <w:rPr>
          <w:szCs w:val="22"/>
          <w:lang w:val="en-GB"/>
        </w:rPr>
        <w:t>PST Supplier will obtain the site info and documentation required in this Exhibit in two ways; the first and most important way will be remote accessing of equipment in order to gather the needed information. The second way is by using the PST Supplier that is responsible for local support on that particularly site. All relevant information and documentation will be kept with PST Supplier Service Management system (DMS) or within PST Supplier’s special technical department. The Customer Unit is always capable of delivering and using this information.</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Conducting Site surveys and documenting current the physical environment at the Site, including:</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Voice network Equipment.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Demarcation of responsibilities and physical environment comprising the Voice network environments.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Power, UPS, and overall space requirements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Cabling and Wiring.</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v)</w:t>
        <w:tab/>
        <w:t>Transport vendor point of entry.</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w:t>
        <w:tab/>
        <w:t>Documenting Site survey information and asset information in the Asset Inventory and Management System.</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vii)</w:t>
        <w:tab/>
        <w:t>Maintaining locations lists, Voice network diagrams and other Voice network documentation and information.</w:t>
      </w:r>
    </w:p>
    <w:p>
      <w:pPr>
        <w:pStyle w:val="Heading2Numbered"/>
        <w:numPr>
          <w:ilvl w:val="1"/>
          <w:numId w:val="2"/>
        </w:numPr>
        <w:ind w:hanging="0" w:start="0"/>
        <w:rPr>
          <w:sz w:val="22"/>
          <w:szCs w:val="22"/>
          <w:lang w:val="en-GB"/>
        </w:rPr>
      </w:pPr>
      <w:bookmarkStart w:id="14" w:name="__RefHeading___Toc150058583"/>
      <w:bookmarkEnd w:id="14"/>
      <w:r>
        <w:rPr>
          <w:sz w:val="22"/>
          <w:szCs w:val="22"/>
          <w:lang w:val="en-GB"/>
        </w:rPr>
        <w:t>Power Supply</w:t>
      </w:r>
    </w:p>
    <w:p>
      <w:pPr>
        <w:pStyle w:val="Normal"/>
        <w:spacing w:before="0" w:after="0"/>
        <w:jc w:val="both"/>
        <w:rPr/>
      </w:pPr>
      <w:r>
        <w:rPr>
          <w:szCs w:val="22"/>
          <w:lang w:val="en-GB"/>
        </w:rPr>
        <w:t>The PST Supplier will manage these power systems through regular site visits. By each site visited it is determined if the batteries of the system used are charged and if everything is still in good working order. The PST Supplier will advise EuroBank if a replacement or another change is needed and the PST Supplier will replace these batteries If new equipment is installed, the PST Supplier will meet the design criteria of EuroBank, which means that Power Systems will be used where applicable. Where EuroBank requires it, the PST Supplier is able to install the right Power System for that particular situation on a project basis.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Connecting and maintaining Equipment at EuroBank’s facilities to uninterruptible power supplies (UPS), as required by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When required, installing UPS on a project basis.</w:t>
      </w:r>
    </w:p>
    <w:p>
      <w:pPr>
        <w:pStyle w:val="Heading2Numbered"/>
        <w:numPr>
          <w:ilvl w:val="1"/>
          <w:numId w:val="2"/>
        </w:numPr>
        <w:ind w:hanging="0" w:start="0"/>
        <w:rPr>
          <w:sz w:val="22"/>
          <w:szCs w:val="22"/>
          <w:lang w:val="en-GB"/>
        </w:rPr>
      </w:pPr>
      <w:bookmarkStart w:id="15" w:name="__RefHeading___Toc150058584"/>
      <w:bookmarkEnd w:id="15"/>
      <w:r>
        <w:rPr>
          <w:sz w:val="22"/>
          <w:szCs w:val="22"/>
          <w:lang w:val="en-GB"/>
        </w:rPr>
        <w:t>Cabling and Wiring Services</w:t>
      </w:r>
    </w:p>
    <w:p>
      <w:pPr>
        <w:pStyle w:val="Normal"/>
        <w:spacing w:before="0" w:after="0"/>
        <w:jc w:val="both"/>
        <w:rPr/>
      </w:pPr>
      <w:r>
        <w:rPr>
          <w:szCs w:val="22"/>
          <w:lang w:val="en-GB"/>
        </w:rPr>
        <w:t>Cabling and Wiring Services are included from and to devices up to the demarcation point as defined in Exhibit 18.</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New cabling and wiring is done by the PST Supplier, executed by certified employees according to EuroBank’s requirements and industry standards in addition testing and certifying is executed.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a)</w:t>
        <w:tab/>
        <w:t>Planning, procuring, installing, operating, administering, maintaining and managing the Cabling and intra-floor and inter-floor Wiring, within the PST Supplier physical demarcation boundaries as depicted in Exhibit 18 (</w:t>
      </w:r>
      <w:r>
        <w:rPr>
          <w:i/>
          <w:szCs w:val="22"/>
          <w:lang w:val="en-GB"/>
        </w:rPr>
        <w:t>Network Services Demarcation</w:t>
      </w:r>
      <w:r>
        <w:rPr>
          <w:szCs w:val="22"/>
          <w:lang w:val="en-GB"/>
        </w:rPr>
        <w:t>).</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b)</w:t>
        <w:tab/>
        <w:t>Operating and maintaining voice network cabling and wiring related systems.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c)</w:t>
        <w:tab/>
        <w:t>Managing cable installations, repairs, and removal using a Software-based cable plant management system.</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d)</w:t>
        <w:tab/>
        <w:t>Interacting with EuroBank real estate, landlord management and other EuroBank Authorized Users to ensure Cabling and Wiring requirements are properly communicated and managed.</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e)</w:t>
        <w:tab/>
        <w:t>Ensuring that for each new installation, Cabling specifications and costs are accurately estimated and communicated to EuroBank real estate representatives no less than four (4) weeks, or another agreed time limit, in advance of installation.</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f)</w:t>
        <w:tab/>
        <w:t>Documenting changes to the Cabling plan in the Site survey records, and all changes thereto in the Asset Inventory and Management System.</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g)</w:t>
        <w:tab/>
        <w:t>Complying with EuroBank Cabling standards.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h)</w:t>
        <w:tab/>
        <w:t>In the absence of an EuroBank standard, using industry standards that meet or exceed local code or other requirements of applicable authorities with the approval of EuroBank.</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i)</w:t>
        <w:tab/>
        <w:t>Documenting, labelling and mapping cable runs in the appropriate Site survey records.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j)</w:t>
        <w:tab/>
        <w:t>Using EuroBank-approved and certified cable and wire installers to perform Cabling Services.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k)</w:t>
        <w:tab/>
        <w:t>Maintaining up-to-date cable records in communications closets, wiring distribution rooms and other areas where a high concentration of Cabling exists.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l)</w:t>
        <w:tab/>
        <w:t>Maintaining a secure, clean, well-lit, clutter-free Cabling environment in all telecom closets and cable plant areas.</w:t>
      </w:r>
    </w:p>
    <w:p>
      <w:pPr>
        <w:pStyle w:val="Heading2Numbered"/>
        <w:numPr>
          <w:ilvl w:val="1"/>
          <w:numId w:val="2"/>
        </w:numPr>
        <w:ind w:hanging="0" w:start="0"/>
        <w:rPr>
          <w:sz w:val="22"/>
          <w:szCs w:val="22"/>
          <w:lang w:val="en-GB"/>
        </w:rPr>
      </w:pPr>
      <w:bookmarkStart w:id="16" w:name="__RefHeading___Toc150058585"/>
      <w:bookmarkEnd w:id="16"/>
      <w:r>
        <w:rPr>
          <w:sz w:val="22"/>
          <w:szCs w:val="22"/>
          <w:lang w:val="en-GB"/>
        </w:rPr>
        <w:t>Software Currency and Support Services</w:t>
      </w:r>
    </w:p>
    <w:p>
      <w:pPr>
        <w:pStyle w:val="Normal"/>
        <w:spacing w:before="0" w:after="0"/>
        <w:jc w:val="both"/>
        <w:rPr>
          <w:szCs w:val="22"/>
          <w:lang w:val="en-GB"/>
        </w:rPr>
      </w:pPr>
      <w:r>
        <w:rPr>
          <w:szCs w:val="22"/>
          <w:lang w:val="en-GB"/>
        </w:rPr>
        <w:t>The Customer Unit will interface with EuroBank Third Party Vendors to promote compatibility of Network Systems and manage is subcontractors accordingly.</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Within the Change Management process actions will be included to ensure that all demarcation equipment only has code revisions that have been fully tested by the PST Supplier and are certified by EuroBank.</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The CU will deploy software maintenance/updates in accordance with the applicable software vendor's documentation, recommendations and policies. Under control of the Change Management process all equipment and software is prepared for update/upgrade in a controlled and documented manner, to ensure that no changes are introduced into the during such activity without the approval of 2IM/EuroBank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general software maintenance policy is to deploy as little changes as possible, but will comply with the Life Cycle Management and maintenance policies of the 2IM. Before deployment of new software in the live environment, acceptance test will be performed in a test bed environment.</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Specific software changes/updates to provide new functionality on customers request, will be provided at additional cost, and are subject to Change Control process.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Interfacing with other EuroBank Third Party Vendors to promote compatibility of Voice network Systems and managing the subcontractors that provide Software support to Voice network products for which the PST Supplier is responsible.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Ensuring that all code revisions have been fully tested by the PST Supplier and used in the commercial marketplace before installation on the Voice network.</w:t>
      </w:r>
    </w:p>
    <w:p>
      <w:pPr>
        <w:pStyle w:val="Heading2Numbered"/>
        <w:numPr>
          <w:ilvl w:val="1"/>
          <w:numId w:val="2"/>
        </w:numPr>
        <w:ind w:hanging="0" w:start="0"/>
        <w:rPr>
          <w:sz w:val="22"/>
          <w:szCs w:val="22"/>
          <w:lang w:val="en-GB"/>
        </w:rPr>
      </w:pPr>
      <w:bookmarkStart w:id="17" w:name="__RefHeading___Toc150058586"/>
      <w:bookmarkEnd w:id="17"/>
      <w:r>
        <w:rPr>
          <w:sz w:val="22"/>
          <w:szCs w:val="22"/>
          <w:lang w:val="en-GB"/>
        </w:rPr>
        <w:t>Voice network Security Services</w:t>
      </w:r>
    </w:p>
    <w:p>
      <w:pPr>
        <w:pStyle w:val="Normal"/>
        <w:spacing w:before="0" w:after="0"/>
        <w:jc w:val="both"/>
        <w:rPr>
          <w:szCs w:val="22"/>
          <w:lang w:val="en-GB"/>
        </w:rPr>
      </w:pPr>
      <w:r>
        <w:rPr>
          <w:szCs w:val="22"/>
          <w:lang w:val="en-GB"/>
        </w:rPr>
        <w:t>Additional requirements related to physical and logical security requirements, are laid down in Exhibit 17.</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The PST Supplier will contribute to the overall PST security plan. The contribution of the PST Supplier concerns the telecommunication-voice environment.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For a telecommunication environment major threats can be: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w:t>
      </w:r>
      <w:r>
        <w:rPr>
          <w:szCs w:val="22"/>
          <w:lang w:val="en-GB"/>
        </w:rPr>
        <w:tab/>
        <w:t>listening in;</w:t>
      </w:r>
    </w:p>
    <w:p>
      <w:pPr>
        <w:pStyle w:val="Normal"/>
        <w:spacing w:before="0" w:after="0"/>
        <w:jc w:val="both"/>
        <w:rPr>
          <w:szCs w:val="22"/>
          <w:lang w:val="en-GB"/>
        </w:rPr>
      </w:pPr>
      <w:r>
        <w:rPr>
          <w:szCs w:val="22"/>
          <w:lang w:val="en-GB"/>
        </w:rPr>
        <w:t>•</w:t>
      </w:r>
      <w:r>
        <w:rPr>
          <w:szCs w:val="22"/>
          <w:lang w:val="en-GB"/>
        </w:rPr>
        <w:tab/>
        <w:t>falsification of identity;</w:t>
      </w:r>
    </w:p>
    <w:p>
      <w:pPr>
        <w:pStyle w:val="Normal"/>
        <w:spacing w:before="0" w:after="0"/>
        <w:jc w:val="both"/>
        <w:rPr>
          <w:szCs w:val="22"/>
          <w:lang w:val="en-GB"/>
        </w:rPr>
      </w:pPr>
      <w:r>
        <w:rPr>
          <w:szCs w:val="22"/>
          <w:lang w:val="en-GB"/>
        </w:rPr>
        <w:t>•</w:t>
      </w:r>
      <w:r>
        <w:rPr>
          <w:szCs w:val="22"/>
          <w:lang w:val="en-GB"/>
        </w:rPr>
        <w:tab/>
        <w:t>denial of service (systems not available);</w:t>
      </w:r>
    </w:p>
    <w:p>
      <w:pPr>
        <w:pStyle w:val="Normal"/>
        <w:spacing w:before="0" w:after="0"/>
        <w:jc w:val="both"/>
        <w:rPr>
          <w:szCs w:val="22"/>
          <w:lang w:val="en-GB"/>
        </w:rPr>
      </w:pPr>
      <w:r>
        <w:rPr>
          <w:szCs w:val="22"/>
          <w:lang w:val="en-GB"/>
        </w:rPr>
        <w:t>•</w:t>
      </w:r>
      <w:r>
        <w:rPr>
          <w:szCs w:val="22"/>
          <w:lang w:val="en-GB"/>
        </w:rPr>
        <w:tab/>
        <w:t>changing information by not authorized persons;</w:t>
      </w:r>
    </w:p>
    <w:p>
      <w:pPr>
        <w:pStyle w:val="Normal"/>
        <w:spacing w:before="0" w:after="0"/>
        <w:jc w:val="both"/>
        <w:rPr>
          <w:szCs w:val="22"/>
          <w:lang w:val="en-GB"/>
        </w:rPr>
      </w:pPr>
      <w:r>
        <w:rPr>
          <w:szCs w:val="22"/>
          <w:lang w:val="en-GB"/>
        </w:rPr>
        <w:t>•</w:t>
      </w:r>
      <w:r>
        <w:rPr>
          <w:szCs w:val="22"/>
          <w:lang w:val="en-GB"/>
        </w:rPr>
        <w:tab/>
        <w:t>disowning the use of the voice service;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For the issues mentioned above a security plan will be made in cooperation with EuroBank. This plan contains among other things the following subjects:</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tab/>
        <w:t>EuroBank’s security policies;</w:t>
      </w: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available tools in the current situation;</w:t>
      </w:r>
    </w:p>
    <w:p>
      <w:pPr>
        <w:pStyle w:val="Normal"/>
        <w:spacing w:before="0" w:after="0"/>
        <w:ind w:hanging="720" w:start="720" w:end="0"/>
        <w:jc w:val="both"/>
        <w:rPr>
          <w:szCs w:val="22"/>
          <w:lang w:val="en-GB"/>
        </w:rPr>
      </w:pPr>
      <w:r>
        <w:rPr>
          <w:szCs w:val="22"/>
          <w:lang w:val="en-GB"/>
        </w:rPr>
        <w:t>•</w:t>
      </w:r>
      <w:r>
        <w:rPr>
          <w:szCs w:val="22"/>
          <w:lang w:val="en-GB"/>
        </w:rPr>
        <w:tab/>
        <w:t xml:space="preserve">risks (physical access to equipment rooms, logical access to systems, remote access, back ups for recovery, toll fraud, incidents with security impact, authentication, listen in) </w:t>
      </w:r>
    </w:p>
    <w:p>
      <w:pPr>
        <w:pStyle w:val="Normal"/>
        <w:spacing w:before="0" w:after="0"/>
        <w:ind w:hanging="720" w:start="720" w:end="0"/>
        <w:jc w:val="both"/>
        <w:rPr>
          <w:szCs w:val="22"/>
          <w:lang w:val="en-GB"/>
        </w:rPr>
      </w:pPr>
      <w:r>
        <w:rPr>
          <w:szCs w:val="22"/>
          <w:lang w:val="en-GB"/>
        </w:rPr>
        <w:t>•</w:t>
      </w:r>
      <w:r>
        <w:rPr>
          <w:szCs w:val="22"/>
          <w:lang w:val="en-GB"/>
        </w:rPr>
        <w:tab/>
        <w:t xml:space="preserve">measures and action plans to prevent risks; </w:t>
      </w:r>
    </w:p>
    <w:p>
      <w:pPr>
        <w:pStyle w:val="Normal"/>
        <w:spacing w:before="0" w:after="0"/>
        <w:ind w:hanging="720" w:start="720" w:end="0"/>
        <w:jc w:val="both"/>
        <w:rPr>
          <w:szCs w:val="22"/>
          <w:lang w:val="en-GB"/>
        </w:rPr>
      </w:pPr>
      <w:r>
        <w:rPr>
          <w:szCs w:val="22"/>
          <w:lang w:val="en-GB"/>
        </w:rPr>
        <w:t>•</w:t>
      </w:r>
      <w:r>
        <w:rPr>
          <w:szCs w:val="22"/>
          <w:lang w:val="en-GB"/>
        </w:rPr>
        <w:tab/>
        <w:t>responsibilities;</w:t>
      </w:r>
    </w:p>
    <w:p>
      <w:pPr>
        <w:pStyle w:val="Normal"/>
        <w:spacing w:before="0" w:after="0"/>
        <w:ind w:hanging="720" w:start="720" w:end="0"/>
        <w:jc w:val="both"/>
        <w:rPr>
          <w:szCs w:val="22"/>
          <w:lang w:val="en-GB"/>
        </w:rPr>
      </w:pPr>
      <w:r>
        <w:rPr>
          <w:szCs w:val="22"/>
          <w:lang w:val="en-GB"/>
        </w:rPr>
        <w:t>•</w:t>
      </w:r>
      <w:r>
        <w:rPr>
          <w:szCs w:val="22"/>
          <w:lang w:val="en-GB"/>
        </w:rPr>
        <w:tab/>
        <w:t>Communication in the organisation (network managers, users, facility management).</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Processes and procedures as result of the security plan will be implemented as part of the overall security service of the PST.</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Implementing and maintaining security tools, procedures and systems required to protect the integrity, confidentiality and availability of the EuroBank Voice network and any data on the Voice network.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EuroBank will approve the selection of the security tools.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c)</w:t>
        <w:tab/>
        <w:t>Complying with the Policies, and Voice network Architecture and Standards, whereby the PST Supplier will follow the best practices of either EuroBank or the PST Supplier, whichever requires greater security based on reasonable and prudent standard practices, with approval by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Performing quarterly assessments of risk exposure including:</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Gap analyses to indicate exposure to security threats.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Action plans to address gaps.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Ratings to gauge progress against closure of gaps.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Activating appropriate security monitoring tools and backing up the logs from these tools, in accordance with EuroBank security requirements.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Taking reasonable and appropriate action designed to prevent unauthorized access to the Voice network, in accordance with EuroBank’s requirements. This will include, where appropriate:</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Shutting down the Services to prevent further unauthorized access.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Reporting all attempts at illicit monitoring, interception, eavesdropping or toll-fraud to EuroBank to the extent known by the PST Supplier.</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Delivering input for EuroBank’s controlled self-assessment process and system.</w:t>
      </w:r>
    </w:p>
    <w:p>
      <w:pPr>
        <w:pStyle w:val="Heading1Numbered"/>
        <w:numPr>
          <w:ilvl w:val="0"/>
          <w:numId w:val="2"/>
        </w:numPr>
        <w:ind w:hanging="0" w:start="0"/>
        <w:rPr>
          <w:sz w:val="22"/>
          <w:szCs w:val="22"/>
          <w:lang w:val="en-GB"/>
        </w:rPr>
      </w:pPr>
      <w:bookmarkStart w:id="18" w:name="__RefHeading___Toc150058587"/>
      <w:bookmarkEnd w:id="18"/>
      <w:r>
        <w:rPr>
          <w:sz w:val="22"/>
          <w:szCs w:val="22"/>
          <w:lang w:val="en-GB"/>
        </w:rPr>
        <w:t>VOICE SERVICES</w:t>
      </w:r>
    </w:p>
    <w:p>
      <w:pPr>
        <w:pStyle w:val="Heading2Numbered"/>
        <w:numPr>
          <w:ilvl w:val="1"/>
          <w:numId w:val="2"/>
        </w:numPr>
        <w:ind w:hanging="0" w:start="0"/>
        <w:rPr>
          <w:sz w:val="22"/>
          <w:szCs w:val="22"/>
          <w:lang w:val="en-GB"/>
        </w:rPr>
      </w:pPr>
      <w:bookmarkStart w:id="19" w:name="__RefHeading___Toc150058588"/>
      <w:bookmarkEnd w:id="19"/>
      <w:r>
        <w:rPr>
          <w:sz w:val="22"/>
          <w:szCs w:val="22"/>
          <w:lang w:val="en-GB"/>
        </w:rPr>
        <w:t>General voice services</w:t>
      </w:r>
    </w:p>
    <w:p>
      <w:pPr>
        <w:pStyle w:val="Normal"/>
        <w:spacing w:before="0" w:after="0"/>
        <w:jc w:val="both"/>
        <w:rPr>
          <w:szCs w:val="22"/>
          <w:lang w:val="en-GB"/>
        </w:rPr>
      </w:pPr>
      <w:r>
        <w:rPr>
          <w:szCs w:val="22"/>
          <w:u w:val="single"/>
          <w:lang w:val="en-GB"/>
        </w:rPr>
        <w:t>Management Services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 will support EuroBank management in the efficient exploitation of telecommunications facilities. Management Services will provide EuroBank with management information regarding costs and service performance in relation to the agreed Service Levels; helping to control and manage telecommunication costs at all levels optimally.</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The Service Delivery Manager for EuroBank will be the Customer Unit manager and will act primarily on a strategic level. Several Service Level Managers will be the interface between PST Supplier and EuroBank on local and tactical levels.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Besides the standard communication services for EuroBank, the current provided service include: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w:t>
      </w:r>
      <w:r>
        <w:rPr>
          <w:szCs w:val="22"/>
          <w:lang w:val="en-GB"/>
        </w:rPr>
        <w:tab/>
      </w:r>
      <w:r>
        <w:rPr>
          <w:szCs w:val="22"/>
          <w:u w:val="single"/>
          <w:lang w:val="en-GB"/>
        </w:rPr>
        <w:t>Service delivered by existing assets and networks</w:t>
      </w:r>
    </w:p>
    <w:p>
      <w:pPr>
        <w:pStyle w:val="Normal"/>
        <w:spacing w:before="0" w:after="0"/>
        <w:jc w:val="both"/>
        <w:rPr>
          <w:szCs w:val="22"/>
          <w:lang w:val="en-GB"/>
        </w:rPr>
      </w:pPr>
      <w:r>
        <w:rPr>
          <w:szCs w:val="22"/>
          <w:lang w:val="en-GB"/>
        </w:rPr>
        <w:t></w:t>
      </w:r>
    </w:p>
    <w:p>
      <w:pPr>
        <w:pStyle w:val="Normal"/>
        <w:spacing w:before="0" w:after="0"/>
        <w:ind w:hanging="720" w:start="1440" w:end="0"/>
        <w:jc w:val="both"/>
        <w:rPr>
          <w:szCs w:val="22"/>
          <w:lang w:val="en-GB"/>
        </w:rPr>
      </w:pPr>
      <w:r>
        <w:rPr>
          <w:szCs w:val="22"/>
          <w:lang w:val="en-GB"/>
        </w:rPr>
        <w:tab/>
        <w:t>office telephony,</w:t>
      </w:r>
    </w:p>
    <w:p>
      <w:pPr>
        <w:pStyle w:val="Normal"/>
        <w:spacing w:before="0" w:after="0"/>
        <w:ind w:hanging="720" w:start="1440" w:end="0"/>
        <w:jc w:val="both"/>
        <w:rPr>
          <w:szCs w:val="22"/>
          <w:lang w:val="en-GB"/>
        </w:rPr>
      </w:pPr>
      <w:r>
        <w:rPr>
          <w:szCs w:val="22"/>
          <w:lang w:val="en-GB"/>
        </w:rPr>
        <w:t></w:t>
      </w:r>
      <w:r>
        <w:rPr>
          <w:szCs w:val="22"/>
          <w:lang w:val="en-GB"/>
        </w:rPr>
        <w:tab/>
        <w:t>voice mail,</w:t>
      </w:r>
    </w:p>
    <w:p>
      <w:pPr>
        <w:pStyle w:val="Normal"/>
        <w:spacing w:before="0" w:after="0"/>
        <w:ind w:hanging="720" w:start="1440" w:end="0"/>
        <w:jc w:val="both"/>
        <w:rPr>
          <w:szCs w:val="22"/>
          <w:lang w:val="en-GB"/>
        </w:rPr>
      </w:pPr>
      <w:r>
        <w:rPr>
          <w:szCs w:val="22"/>
          <w:lang w:val="en-GB"/>
        </w:rPr>
        <w:t></w:t>
      </w:r>
      <w:r>
        <w:rPr>
          <w:szCs w:val="22"/>
          <w:lang w:val="en-GB"/>
        </w:rPr>
        <w:tab/>
        <w:t>voice logging,</w:t>
      </w:r>
    </w:p>
    <w:p>
      <w:pPr>
        <w:pStyle w:val="Normal"/>
        <w:spacing w:before="0" w:after="0"/>
        <w:ind w:hanging="720" w:start="1440" w:end="0"/>
        <w:jc w:val="both"/>
        <w:rPr>
          <w:szCs w:val="22"/>
          <w:lang w:val="en-GB"/>
        </w:rPr>
      </w:pPr>
      <w:r>
        <w:rPr>
          <w:szCs w:val="22"/>
          <w:lang w:val="en-GB"/>
        </w:rPr>
        <w:t></w:t>
      </w:r>
      <w:r>
        <w:rPr>
          <w:szCs w:val="22"/>
          <w:lang w:val="en-GB"/>
        </w:rPr>
        <w:tab/>
        <w:t>ACD,</w:t>
      </w:r>
    </w:p>
    <w:p>
      <w:pPr>
        <w:pStyle w:val="Normal"/>
        <w:spacing w:before="0" w:after="0"/>
        <w:ind w:hanging="720" w:start="1440" w:end="0"/>
        <w:jc w:val="both"/>
        <w:rPr>
          <w:szCs w:val="22"/>
          <w:lang w:val="en-GB"/>
        </w:rPr>
      </w:pPr>
      <w:r>
        <w:rPr>
          <w:szCs w:val="22"/>
          <w:lang w:val="en-GB"/>
        </w:rPr>
        <w:t></w:t>
      </w:r>
      <w:r>
        <w:rPr>
          <w:szCs w:val="22"/>
          <w:lang w:val="en-GB"/>
        </w:rPr>
        <w:tab/>
        <w:t>IVR,</w:t>
      </w:r>
    </w:p>
    <w:p>
      <w:pPr>
        <w:pStyle w:val="Normal"/>
        <w:spacing w:before="0" w:after="0"/>
        <w:ind w:hanging="720" w:start="1440" w:end="0"/>
        <w:jc w:val="both"/>
        <w:rPr>
          <w:szCs w:val="22"/>
          <w:lang w:val="en-GB"/>
        </w:rPr>
      </w:pPr>
      <w:r>
        <w:rPr>
          <w:szCs w:val="22"/>
          <w:lang w:val="en-GB"/>
        </w:rPr>
        <w:t></w:t>
      </w:r>
      <w:r>
        <w:rPr>
          <w:szCs w:val="22"/>
          <w:lang w:val="en-GB"/>
        </w:rPr>
        <w:tab/>
        <w:t>CTI,</w:t>
      </w:r>
    </w:p>
    <w:p>
      <w:pPr>
        <w:pStyle w:val="Normal"/>
        <w:spacing w:before="0" w:after="0"/>
        <w:ind w:hanging="720" w:start="1440" w:end="0"/>
        <w:jc w:val="both"/>
        <w:rPr>
          <w:szCs w:val="22"/>
          <w:lang w:val="en-GB"/>
        </w:rPr>
      </w:pPr>
      <w:r>
        <w:rPr>
          <w:szCs w:val="22"/>
          <w:lang w:val="en-GB"/>
        </w:rPr>
        <w:t></w:t>
      </w:r>
      <w:r>
        <w:rPr>
          <w:szCs w:val="22"/>
          <w:lang w:val="en-GB"/>
        </w:rPr>
        <w:tab/>
        <w:t>0900-servicenumbers</w:t>
      </w:r>
    </w:p>
    <w:p>
      <w:pPr>
        <w:pStyle w:val="Normal"/>
        <w:spacing w:before="0" w:after="0"/>
        <w:ind w:hanging="720" w:start="1440" w:end="0"/>
        <w:jc w:val="both"/>
        <w:rPr>
          <w:szCs w:val="22"/>
          <w:lang w:val="en-GB"/>
        </w:rPr>
      </w:pPr>
      <w:r>
        <w:rPr>
          <w:szCs w:val="22"/>
          <w:lang w:val="en-GB"/>
        </w:rPr>
        <w:t></w:t>
      </w:r>
      <w:r>
        <w:rPr>
          <w:szCs w:val="22"/>
          <w:lang w:val="en-GB"/>
        </w:rPr>
        <w:tab/>
        <w:t>Text-to-speech</w:t>
      </w:r>
    </w:p>
    <w:p>
      <w:pPr>
        <w:pStyle w:val="Normal"/>
        <w:spacing w:before="0" w:after="0"/>
        <w:ind w:hanging="720" w:start="1440" w:end="0"/>
        <w:jc w:val="both"/>
        <w:rPr>
          <w:szCs w:val="22"/>
          <w:lang w:val="en-GB"/>
        </w:rPr>
      </w:pPr>
      <w:r>
        <w:rPr>
          <w:szCs w:val="22"/>
          <w:lang w:val="en-GB"/>
        </w:rPr>
        <w:t></w:t>
      </w:r>
      <w:r>
        <w:rPr>
          <w:szCs w:val="22"/>
          <w:lang w:val="en-GB"/>
        </w:rPr>
        <w:tab/>
        <w:t>Automatic speech recognition</w:t>
      </w:r>
    </w:p>
    <w:p>
      <w:pPr>
        <w:pStyle w:val="Normal"/>
        <w:spacing w:before="0" w:after="0"/>
        <w:ind w:hanging="720" w:start="1440" w:end="0"/>
        <w:jc w:val="both"/>
        <w:rPr>
          <w:szCs w:val="22"/>
          <w:lang w:val="en-GB"/>
        </w:rPr>
      </w:pPr>
      <w:r>
        <w:rPr>
          <w:szCs w:val="22"/>
          <w:lang w:val="en-GB"/>
        </w:rPr>
        <w:t></w:t>
      </w:r>
      <w:r>
        <w:rPr>
          <w:szCs w:val="22"/>
          <w:lang w:val="en-GB"/>
        </w:rPr>
        <w:tab/>
        <w:t>call centre,</w:t>
      </w:r>
    </w:p>
    <w:p>
      <w:pPr>
        <w:pStyle w:val="Normal"/>
        <w:spacing w:before="0" w:after="0"/>
        <w:ind w:hanging="720" w:start="1440" w:end="0"/>
        <w:jc w:val="both"/>
        <w:rPr>
          <w:szCs w:val="22"/>
          <w:lang w:val="en-GB"/>
        </w:rPr>
      </w:pPr>
      <w:r>
        <w:rPr>
          <w:szCs w:val="22"/>
          <w:lang w:val="en-GB"/>
        </w:rPr>
        <w:t></w:t>
      </w:r>
      <w:r>
        <w:rPr>
          <w:szCs w:val="22"/>
          <w:lang w:val="en-GB"/>
        </w:rPr>
        <w:tab/>
        <w:t>intercom,</w:t>
      </w:r>
    </w:p>
    <w:p>
      <w:pPr>
        <w:pStyle w:val="Normal"/>
        <w:spacing w:before="0" w:after="0"/>
        <w:ind w:hanging="720" w:start="1440" w:end="0"/>
        <w:jc w:val="both"/>
        <w:rPr>
          <w:szCs w:val="22"/>
          <w:lang w:val="en-GB"/>
        </w:rPr>
      </w:pPr>
      <w:r>
        <w:rPr>
          <w:szCs w:val="22"/>
          <w:lang w:val="en-GB"/>
        </w:rPr>
        <w:t></w:t>
      </w:r>
      <w:r>
        <w:rPr>
          <w:szCs w:val="22"/>
          <w:lang w:val="en-GB"/>
        </w:rPr>
        <w:tab/>
        <w:t>conferencing</w:t>
      </w:r>
    </w:p>
    <w:p>
      <w:pPr>
        <w:pStyle w:val="Normal"/>
        <w:spacing w:before="0" w:after="0"/>
        <w:ind w:hanging="720" w:start="1440" w:end="0"/>
        <w:jc w:val="both"/>
        <w:rPr>
          <w:szCs w:val="22"/>
          <w:lang w:val="en-GB"/>
        </w:rPr>
      </w:pPr>
      <w:r>
        <w:rPr>
          <w:szCs w:val="22"/>
          <w:lang w:val="en-GB"/>
        </w:rPr>
        <w:t></w:t>
      </w:r>
      <w:r>
        <w:rPr>
          <w:szCs w:val="22"/>
          <w:lang w:val="en-GB"/>
        </w:rPr>
        <w:tab/>
        <w:t>connectivity with POTS providers,</w:t>
      </w:r>
    </w:p>
    <w:p>
      <w:pPr>
        <w:pStyle w:val="Normal"/>
        <w:spacing w:before="0" w:after="0"/>
        <w:ind w:hanging="720" w:start="1440" w:end="0"/>
        <w:jc w:val="both"/>
        <w:rPr/>
      </w:pPr>
      <w:r>
        <w:rPr>
          <w:szCs w:val="22"/>
          <w:lang w:val="en-GB"/>
        </w:rPr>
        <w:t></w:t>
      </w:r>
      <w:r>
        <w:rPr>
          <w:szCs w:val="22"/>
          <w:lang w:val="en-GB"/>
        </w:rPr>
        <w:tab/>
        <w:t>manage functionalities offered by network of third party providers (eg. Geographical routing)</w:t>
      </w:r>
    </w:p>
    <w:p>
      <w:pPr>
        <w:pStyle w:val="Normal"/>
        <w:spacing w:before="0" w:after="0"/>
        <w:ind w:hanging="720" w:start="1440" w:end="0"/>
        <w:jc w:val="both"/>
        <w:rPr>
          <w:szCs w:val="22"/>
          <w:lang w:val="en-GB"/>
        </w:rPr>
      </w:pPr>
      <w:r>
        <w:rPr>
          <w:szCs w:val="22"/>
          <w:lang w:val="en-GB"/>
        </w:rPr>
        <w:t></w:t>
      </w:r>
      <w:r>
        <w:rPr>
          <w:szCs w:val="22"/>
          <w:lang w:val="en-GB"/>
        </w:rPr>
        <w:tab/>
        <w:t>interfaces with applications,</w:t>
      </w:r>
    </w:p>
    <w:p>
      <w:pPr>
        <w:pStyle w:val="Normal"/>
        <w:spacing w:before="0" w:after="0"/>
        <w:ind w:hanging="720" w:start="1440" w:end="0"/>
        <w:jc w:val="both"/>
        <w:rPr>
          <w:szCs w:val="22"/>
          <w:lang w:val="en-GB"/>
        </w:rPr>
      </w:pPr>
      <w:r>
        <w:rPr>
          <w:szCs w:val="22"/>
          <w:lang w:val="en-GB"/>
        </w:rPr>
        <w:t></w:t>
      </w:r>
      <w:r>
        <w:rPr>
          <w:szCs w:val="22"/>
          <w:lang w:val="en-GB"/>
        </w:rPr>
        <w:tab/>
        <w:t>management information (as logged and gathered by the systems).</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w:t>
      </w:r>
      <w:r>
        <w:rPr>
          <w:szCs w:val="22"/>
          <w:lang w:val="en-GB"/>
        </w:rPr>
        <w:tab/>
      </w:r>
      <w:r>
        <w:rPr>
          <w:szCs w:val="22"/>
          <w:u w:val="single"/>
          <w:lang w:val="en-GB"/>
        </w:rPr>
        <w:t>Service delivered as part of the managed service include</w:t>
      </w:r>
      <w:r>
        <w:rPr>
          <w:szCs w:val="22"/>
          <w:lang w:val="en-GB"/>
        </w:rPr>
        <w:t>:</w:t>
      </w:r>
    </w:p>
    <w:p>
      <w:pPr>
        <w:pStyle w:val="Normal"/>
        <w:spacing w:before="0" w:after="0"/>
        <w:jc w:val="both"/>
        <w:rPr>
          <w:szCs w:val="22"/>
          <w:lang w:val="en-GB"/>
        </w:rPr>
      </w:pPr>
      <w:r>
        <w:rPr>
          <w:szCs w:val="22"/>
          <w:lang w:val="en-GB"/>
        </w:rPr>
        <w:t></w:t>
      </w:r>
    </w:p>
    <w:p>
      <w:pPr>
        <w:pStyle w:val="Normal"/>
        <w:spacing w:before="0" w:after="0"/>
        <w:ind w:hanging="720" w:start="1440" w:end="0"/>
        <w:jc w:val="both"/>
        <w:rPr>
          <w:szCs w:val="22"/>
          <w:lang w:val="en-GB"/>
        </w:rPr>
      </w:pPr>
      <w:r>
        <w:rPr>
          <w:szCs w:val="22"/>
          <w:lang w:val="en-GB"/>
        </w:rPr>
        <w:tab/>
        <w:t>provisioning management information,</w:t>
      </w:r>
    </w:p>
    <w:p>
      <w:pPr>
        <w:pStyle w:val="Normal"/>
        <w:spacing w:before="0" w:after="0"/>
        <w:ind w:hanging="720" w:start="1440" w:end="0"/>
        <w:jc w:val="both"/>
        <w:rPr>
          <w:szCs w:val="22"/>
          <w:lang w:val="en-GB"/>
        </w:rPr>
      </w:pPr>
      <w:r>
        <w:rPr>
          <w:szCs w:val="22"/>
          <w:lang w:val="en-GB"/>
        </w:rPr>
        <w:t></w:t>
      </w:r>
      <w:r>
        <w:rPr>
          <w:szCs w:val="22"/>
          <w:lang w:val="en-GB"/>
        </w:rPr>
        <w:tab/>
        <w:t>support for development, new technology and test;</w:t>
      </w:r>
    </w:p>
    <w:p>
      <w:pPr>
        <w:pStyle w:val="Normal"/>
        <w:spacing w:before="0" w:after="0"/>
        <w:ind w:hanging="720" w:start="1440" w:end="0"/>
        <w:jc w:val="both"/>
        <w:rPr>
          <w:szCs w:val="22"/>
          <w:lang w:val="en-GB"/>
        </w:rPr>
      </w:pPr>
      <w:r>
        <w:rPr>
          <w:szCs w:val="22"/>
          <w:lang w:val="en-GB"/>
        </w:rPr>
        <w:t></w:t>
        <w:tab/>
        <w:t>support EuroBank call centre employees;</w:t>
      </w: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implementation of routing plans,</w:t>
      </w:r>
    </w:p>
    <w:p>
      <w:pPr>
        <w:pStyle w:val="Normal"/>
        <w:spacing w:before="0" w:after="0"/>
        <w:ind w:hanging="720" w:start="1440" w:end="0"/>
        <w:jc w:val="both"/>
        <w:rPr>
          <w:szCs w:val="22"/>
          <w:lang w:val="en-GB"/>
        </w:rPr>
      </w:pPr>
      <w:r>
        <w:rPr>
          <w:szCs w:val="22"/>
          <w:lang w:val="en-GB"/>
        </w:rPr>
        <w:t></w:t>
      </w:r>
      <w:r>
        <w:rPr>
          <w:szCs w:val="22"/>
          <w:lang w:val="en-GB"/>
        </w:rPr>
        <w:tab/>
        <w:t>implementation of BCP planning,</w:t>
      </w:r>
    </w:p>
    <w:p>
      <w:pPr>
        <w:pStyle w:val="Normal"/>
        <w:spacing w:before="0" w:after="0"/>
        <w:ind w:hanging="720" w:start="1440" w:end="0"/>
        <w:jc w:val="both"/>
        <w:rPr>
          <w:szCs w:val="22"/>
          <w:lang w:val="en-GB"/>
        </w:rPr>
      </w:pPr>
      <w:r>
        <w:rPr>
          <w:szCs w:val="22"/>
          <w:lang w:val="en-GB"/>
        </w:rPr>
        <w:t></w:t>
      </w:r>
      <w:r>
        <w:rPr>
          <w:szCs w:val="22"/>
          <w:lang w:val="en-GB"/>
        </w:rPr>
        <w:tab/>
        <w:t>make traces and analyse reports,</w:t>
      </w:r>
    </w:p>
    <w:p>
      <w:pPr>
        <w:pStyle w:val="Normal"/>
        <w:spacing w:before="0" w:after="0"/>
        <w:ind w:hanging="720" w:start="1440" w:end="0"/>
        <w:jc w:val="both"/>
        <w:rPr>
          <w:szCs w:val="22"/>
          <w:lang w:val="en-GB"/>
        </w:rPr>
      </w:pPr>
      <w:r>
        <w:rPr>
          <w:szCs w:val="22"/>
          <w:lang w:val="en-GB"/>
        </w:rPr>
        <w:t></w:t>
      </w:r>
      <w:r>
        <w:rPr>
          <w:szCs w:val="22"/>
          <w:lang w:val="en-GB"/>
        </w:rPr>
        <w:tab/>
        <w:t>advice on call centre planning,</w:t>
      </w:r>
    </w:p>
    <w:p>
      <w:pPr>
        <w:pStyle w:val="Normal"/>
        <w:spacing w:before="0" w:after="0"/>
        <w:ind w:hanging="720" w:start="1440" w:end="0"/>
        <w:jc w:val="both"/>
        <w:rPr>
          <w:szCs w:val="22"/>
          <w:lang w:val="en-GB"/>
        </w:rPr>
      </w:pPr>
      <w:r>
        <w:rPr>
          <w:szCs w:val="22"/>
          <w:lang w:val="en-GB"/>
        </w:rPr>
        <w:t></w:t>
      </w:r>
      <w:r>
        <w:rPr>
          <w:szCs w:val="22"/>
          <w:lang w:val="en-GB"/>
        </w:rPr>
        <w:tab/>
        <w:t>support for creation of announcements,</w:t>
      </w:r>
    </w:p>
    <w:p>
      <w:pPr>
        <w:pStyle w:val="Normal"/>
        <w:spacing w:before="0" w:after="0"/>
        <w:ind w:hanging="720" w:start="1440" w:end="0"/>
        <w:jc w:val="both"/>
        <w:rPr/>
      </w:pPr>
      <w:r>
        <w:rPr>
          <w:szCs w:val="22"/>
          <w:lang w:val="en-GB"/>
        </w:rPr>
        <w:t></w:t>
      </w:r>
      <w:r>
        <w:rPr>
          <w:szCs w:val="22"/>
          <w:lang w:val="en-GB"/>
        </w:rPr>
        <w:tab/>
        <w:t>manage and coordinate the number scheme and dialling plan,</w:t>
      </w:r>
    </w:p>
    <w:p>
      <w:pPr>
        <w:pStyle w:val="Normal"/>
        <w:spacing w:before="0" w:after="0"/>
        <w:ind w:hanging="720" w:start="1440" w:end="0"/>
        <w:jc w:val="both"/>
        <w:rPr>
          <w:szCs w:val="22"/>
          <w:lang w:val="en-GB"/>
        </w:rPr>
      </w:pPr>
      <w:r>
        <w:rPr>
          <w:szCs w:val="22"/>
          <w:lang w:val="en-GB"/>
        </w:rPr>
        <w:t></w:t>
      </w:r>
      <w:r>
        <w:rPr>
          <w:szCs w:val="22"/>
          <w:lang w:val="en-GB"/>
        </w:rPr>
        <w:tab/>
        <w:t>provide capacity reports (on ports, licenses, trunks, infrastructure, phone numbers, etc.).</w:t>
      </w:r>
    </w:p>
    <w:p>
      <w:pPr>
        <w:pStyle w:val="Normal"/>
        <w:spacing w:before="0" w:after="0"/>
        <w:ind w:hanging="720" w:start="1440" w:end="0"/>
        <w:jc w:val="both"/>
        <w:rPr>
          <w:szCs w:val="22"/>
          <w:lang w:val="en-GB"/>
        </w:rPr>
      </w:pPr>
      <w:r>
        <w:rPr>
          <w:szCs w:val="22"/>
          <w:lang w:val="en-GB"/>
        </w:rPr>
        <w:t></w:t>
      </w:r>
      <w:r>
        <w:rPr>
          <w:szCs w:val="22"/>
          <w:lang w:val="en-GB"/>
        </w:rPr>
        <w:tab/>
        <w:t>ACD/CMS :</w:t>
      </w:r>
    </w:p>
    <w:p>
      <w:pPr>
        <w:pStyle w:val="Normal"/>
        <w:spacing w:before="0" w:after="0"/>
        <w:ind w:hanging="720" w:start="2160" w:end="0"/>
        <w:jc w:val="both"/>
        <w:rPr>
          <w:szCs w:val="22"/>
          <w:lang w:val="en-GB"/>
        </w:rPr>
      </w:pPr>
      <w:r>
        <w:rPr>
          <w:szCs w:val="22"/>
          <w:lang w:val="en-GB"/>
        </w:rPr>
        <w:t>o</w:t>
        <w:tab/>
        <w:t>Monitoring, Incident Management</w:t>
      </w:r>
    </w:p>
    <w:p>
      <w:pPr>
        <w:pStyle w:val="Normal"/>
        <w:spacing w:before="0" w:after="0"/>
        <w:ind w:hanging="720" w:start="2160" w:end="0"/>
        <w:jc w:val="both"/>
        <w:rPr>
          <w:szCs w:val="22"/>
          <w:lang w:val="en-GB"/>
        </w:rPr>
      </w:pPr>
      <w:r>
        <w:rPr>
          <w:szCs w:val="22"/>
          <w:lang w:val="en-GB"/>
        </w:rPr>
        <w:t>o</w:t>
        <w:tab/>
        <w:t>Replacement equipment with same functionalities</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Complying with the requirements for Standard office telephony both fixed and flexible, Voice Logging, Voice Mail, Special Voice Services such as Call Centers, Phone Banking and Branch offices, as modified during the Term in accordance with the Long Range IT Plans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b)</w:t>
        <w:tab/>
        <w:t>Ensuring that the PST Supplier-provided transport Service complies with open system standards specifications and any telecommunications technical recommendations deemed appropriate by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Providing EuroBank with Voice Services that will make use of private, public, circuit switched or packet-based infrastructure as specified by the EuroBank technical architecture.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Interacting with Authorized Users regarding the configuration and scripting of Automatic Call Distribution (“ACD”), Interactive Voice Response (“IVR”), Intelligent Routing, Predictive Dialing.</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Coordinating the address and voice numbering and dialing plan.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Managing the address and voice numbering schemes and notifying EuroBank of limitations or capacity issues.</w:t>
      </w:r>
    </w:p>
    <w:p>
      <w:pPr>
        <w:pStyle w:val="Heading2Numbered"/>
        <w:numPr>
          <w:ilvl w:val="1"/>
          <w:numId w:val="2"/>
        </w:numPr>
        <w:ind w:hanging="0" w:start="0"/>
        <w:rPr>
          <w:sz w:val="22"/>
          <w:szCs w:val="22"/>
          <w:lang w:val="en-GB"/>
        </w:rPr>
      </w:pPr>
      <w:bookmarkStart w:id="20" w:name="__RefHeading___Toc150058589"/>
      <w:bookmarkEnd w:id="20"/>
      <w:r>
        <w:rPr>
          <w:sz w:val="22"/>
          <w:szCs w:val="22"/>
          <w:lang w:val="en-GB"/>
        </w:rPr>
        <w:t>Call Accounting Services</w:t>
      </w:r>
    </w:p>
    <w:p>
      <w:pPr>
        <w:pStyle w:val="Normal"/>
        <w:spacing w:before="0" w:after="0"/>
        <w:jc w:val="both"/>
        <w:rPr/>
      </w:pPr>
      <w:r>
        <w:rPr>
          <w:szCs w:val="22"/>
          <w:lang w:val="en-GB"/>
        </w:rPr>
        <w:t xml:space="preserve">For call accounting services the PST Supplier will use a set of tooling modules that enable a flexible and stepwise approach towards call accounting .For inputs, the call detail records and electronic PSTN provider bill specifications are used. The Call Detail Reporting (‘CDR’s’)  are accumulated per internal number and destination region (most commonly used regions are local, national, international, mobile and toll services). The results are further processed using the cost center information of the registered individual internal phone numbers, thereby providing another aggregation level per cost center. This mechanism provides a reasonably accurate division of the actual traffic cost across the used cost centers.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In order to provide a monthly invoice, even where the PSTN provider uses a two-month period, there is a mechanism to compensate the slight differences between estimated (based on CDRs) and actual (based on invoice) traffic costs.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For other traffic costs, e.g. (including but not limited to) mobile phone, the PST Supplier can integrate the electronic invoice information of the provider into the monthly invoice of EuroBank.</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above-described mechanism for call accounting service is part of the provided voice service.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PST Supplier considers the collected CDRs privacy sensitive and will treat them in a way as approved by EuroBank. PST Supplier can make the collected CDRs available for investigation by EuroBank-assigned (security) staff. PST Supplier can also provide additional reports upon request.</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In the cases where cost indicators cannot be collected in the CDRs, the PST Supplier has an algorithm in place that allows pricing of the collected CDRs. This is sufficient enough for a fair division of the actual costs.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For ‘remote locations’ (small branch offices) where the used equipment is not capable of CDR collection, the traffic costs can either be invoiced on a location basis or can be divided among the registered internal phone numbers for that location (to be decided by EuroBank).</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Providing call accounting in support of Standard Voice and Conferencing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b)</w:t>
        <w:tab/>
        <w:t>Providing all CDR records from all Standard Voice and Conferencing Services as far as current systems are configured and are capable of.</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Providing summary and detail reports for phone usage associated with Standard Voice and Conferencing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Providing a means for EuroBank-assigned staff to obtain current detail information on a given phone set or a group of phone sets.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Providing a means to charge back phone usage on a monthly basis based on the requirements of EuroBank.</w:t>
      </w:r>
    </w:p>
    <w:p>
      <w:pPr>
        <w:pStyle w:val="Heading2Numbered"/>
        <w:numPr>
          <w:ilvl w:val="1"/>
          <w:numId w:val="2"/>
        </w:numPr>
        <w:ind w:hanging="0" w:start="0"/>
        <w:rPr>
          <w:sz w:val="22"/>
          <w:szCs w:val="22"/>
          <w:lang w:val="en-GB"/>
        </w:rPr>
      </w:pPr>
      <w:bookmarkStart w:id="21" w:name="__RefHeading___Toc150058590"/>
      <w:bookmarkEnd w:id="21"/>
      <w:r>
        <w:rPr>
          <w:sz w:val="22"/>
          <w:szCs w:val="22"/>
          <w:lang w:val="en-GB"/>
        </w:rPr>
        <w:t>Toll Services</w:t>
      </w:r>
    </w:p>
    <w:p>
      <w:pPr>
        <w:pStyle w:val="Normal"/>
        <w:spacing w:before="0" w:after="0"/>
        <w:jc w:val="both"/>
        <w:rPr>
          <w:szCs w:val="22"/>
          <w:lang w:val="en-GB"/>
        </w:rPr>
      </w:pPr>
      <w:r>
        <w:rPr>
          <w:szCs w:val="22"/>
          <w:lang w:val="en-GB"/>
        </w:rPr>
        <w:t xml:space="preserve"> The PST Supplier uses Service Management system (DMS) to link the data from several bills and the Call Detail data from the PBX to the CMDB within DMS. Through this service the PST Supplier will allow EuroBank to get a deeper insight in the telephony related costs, including the usage costs.  In order to do this, the PST Supplier will process all the incoming invoices according to a fixed ratio for the infra structural costs up to end user level. If available, CDR’s will be used for the variable costs to make reporting at end user level possible. When the department or extension data is registered in DMS, it is possible to handle CDR’s. The usage costs are always input from bills. The presence of CDR’s makes it possible to get a more detailed costs allocation on for example department or extension level of a cost centre. There are different ways to rate CDR’s, for example: </w:t>
      </w:r>
      <w:r>
        <w:rPr>
          <w:szCs w:val="22"/>
          <w:lang w:val="en-GB"/>
        </w:rPr>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CDR’s coming from the PBX are already rated.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The PST Supplier tariffs the CDR’s with standard rates.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 xml:space="preserve">The CDR’s are already rated by the telecom operator and are part of the bill. (The CDR must contain the caller and the number to be called.)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The PST Supplier will handle billing information via a system that is fully developed by the PST Supplier for this purpose. That system is part of the PST Supplier’ DMS and enables handling of external bills and matching these with the EuroBank data.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handling of the bill information contains the following steps: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w:t>
      </w:r>
      <w:r>
        <w:rPr>
          <w:szCs w:val="22"/>
          <w:lang w:val="en-GB"/>
        </w:rPr>
        <w:tab/>
        <w:t>Check on presence with the configuration management database (CMDB);</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w:t>
      </w:r>
      <w:r>
        <w:rPr>
          <w:szCs w:val="22"/>
          <w:lang w:val="en-GB"/>
        </w:rPr>
        <w:tab/>
        <w:t>Internal costs allocation for reporting.</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 is able to use different methods for internal costs allocation, for example: flat fee spreading all costs over all extensions or the 100% method. The starting-point for the 100% method is: the amount of the usage component of the bill correspondents with all collected and rated CDR’s. Mismatches between the amount of collected CDR’s and the collected CDR’s in terms of percentage will rate the amount of the bill. The total amount of the CDR’s will therefore match the exact amount of the bills.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Mismatches that can be corrected: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Existing differences between start and end data of the billing period used by the telecom provider and used by the service provider. (Read out CDR’s);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Unlogged CDRs due to technical problems;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Usage costs that are billed by a telecom provider and which are not collected in the PBX, for example collect calls.</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Because the PST Supplier uses the CDRs that are generated by the PBX and the bills of the transport vendor the PST Supplier is able to manage the long-distance toll service from the transport vendor. The PST Supplier will also provide such services to support EuroBank’s requirements for in and outbound voice calls including local, national, European, international and mobile voice calls. The PST Supplier will review all transport vendor charges and apply only valid toll charges to EuroBank if he PST Supplier provides these charges. The PST Supplier will review and report abuse or suspicion of abuse of long distance services to EuroBank if this is discovered.</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Providing and/or managing long-distance in-bound/out-bound toll service from telecommunications carriers to support EuroBank’s requirements for voice calls including local, national, European, international, and inbound voice calls including mobile phone calls.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b)</w:t>
        <w:tab/>
        <w:t>Reviewing all transport vendor charges.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Applying only valid toll charges to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Reviewing and reporting abuses of long distance Services.</w:t>
      </w:r>
    </w:p>
    <w:p>
      <w:pPr>
        <w:pStyle w:val="Heading2Numbered"/>
        <w:numPr>
          <w:ilvl w:val="1"/>
          <w:numId w:val="2"/>
        </w:numPr>
        <w:ind w:hanging="0" w:start="0"/>
        <w:rPr>
          <w:sz w:val="22"/>
          <w:szCs w:val="22"/>
          <w:lang w:val="en-GB"/>
        </w:rPr>
      </w:pPr>
      <w:bookmarkStart w:id="22" w:name="__RefHeading___Toc150058591"/>
      <w:bookmarkEnd w:id="22"/>
      <w:r>
        <w:rPr>
          <w:sz w:val="22"/>
          <w:szCs w:val="22"/>
          <w:lang w:val="en-GB"/>
        </w:rPr>
        <w:t>Toll Fraud Services</w:t>
      </w:r>
    </w:p>
    <w:p>
      <w:pPr>
        <w:pStyle w:val="Normal"/>
        <w:spacing w:before="0" w:after="0"/>
        <w:jc w:val="both"/>
        <w:rPr/>
      </w:pPr>
      <w:r>
        <w:rPr>
          <w:szCs w:val="22"/>
          <w:lang w:val="en-GB"/>
        </w:rPr>
        <w:t xml:space="preserve"> The PST Supplier will collect CDR records and performs cost allocation and link these to tariffs. Traffic costs information will be processed into customized reports e.g. (including but not limited to) per department, per business unit, as required by EuroBank. In this case costs can be tracked down to user level. Combined with trend reports this provides the means to detect significant deviations from normal traffic usage.</w:t>
      </w: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Upon detecting possible toll fraud the PST Supplier will notify EuroBank about unexpected increase in cost of extensions or trunks. EuroBank will determine whether of not there is an acceptable reason for the change and may request the PST Supplier to start an investigation. In the event of suspected fraud, investigation will be done on an ad hoc basis by investigating the dialled numbers and the time of the call. For privacy reasons the PST Supplier cannot investigate without the prior written permission of EuroBank.</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 will scan each remotely poll able system as part of the toll fraud protection services. An in-depth review of the PBX system is performed to identify vulnerabilities. After completing the scan if any of the most common fraud vulnerabilities is detected a notice is provided. Recommendations are provided for mitigating risks. Once approved, the recommendations are applied to create a secure lockdown, helping protect the system from potential security threats and system abuse. During the migration implementation process software specialists will ensure that the new systems are properly configured to be secure against toll fraud.</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Monitoring, preventing and reporting toll usage and toll fraud.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Ensuring that PBX audits occur on an annual basis and all audit points are answered in writing to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c)</w:t>
        <w:tab/>
        <w:t>Investigating whenever EuroBank exceeds a threshold and coordinating activities with the transport vendor.</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Escalating within EuroBank based upon agreed standards.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Preventing misuse of pay phone numbers.</w:t>
      </w:r>
    </w:p>
    <w:p>
      <w:pPr>
        <w:pStyle w:val="Heading2Numbered"/>
        <w:numPr>
          <w:ilvl w:val="1"/>
          <w:numId w:val="2"/>
        </w:numPr>
        <w:ind w:hanging="0" w:start="0"/>
        <w:rPr>
          <w:sz w:val="22"/>
          <w:szCs w:val="22"/>
          <w:lang w:val="en-GB"/>
        </w:rPr>
      </w:pPr>
      <w:bookmarkStart w:id="23" w:name="__RefHeading___Toc150058592"/>
      <w:bookmarkEnd w:id="23"/>
      <w:r>
        <w:rPr>
          <w:sz w:val="22"/>
          <w:szCs w:val="22"/>
          <w:lang w:val="en-GB"/>
        </w:rPr>
        <w:t>Standard Technical Voice Services</w:t>
      </w:r>
    </w:p>
    <w:p>
      <w:pPr>
        <w:pStyle w:val="Normal"/>
        <w:spacing w:before="0" w:after="0"/>
        <w:jc w:val="both"/>
        <w:rPr/>
      </w:pPr>
      <w:r>
        <w:rPr>
          <w:szCs w:val="22"/>
          <w:lang w:val="en-GB"/>
        </w:rPr>
        <w:t xml:space="preserve"> The PST Supplier will initially manage voice applications based on EuroBank’s current equipment (software and technologies) and its current voice infrastructure and maintenance contracts. The PST Supplier will optimise the current Telecom infrastructure to create an orderly, controllable and cost effective environment. Voice services and accompanying equipment will be standardized per employee category, after approval by EuroBank. </w:t>
      </w: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 will standardize the voice services and optimise current equipment at the start of the service. The PST Supplier will gather EuroBank business requirements and propose design, criteria and standards consistent with the strategic (technology, tools and software) direction of EuroBank. Furthermore the design will be consistent with changes in technology, EuroBank business requirements and accepted industry practices. Such design standards will be sufficient to enable the PST Supplier to meet performance standards and Service Levels. Upon approval from EuroBank, and in accordance with agreed Change Management procedures, the PST Supplier will incorporate approved design criteria into the appropriate service manuals. Thereafter it will comply with such design standards in performing the services. The PST Supplier will propose standardised design criteria and standards for all the components of the system infrastructure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introduction of new solutions will be evaluated on a case-by-case basis. The change to new technology will be driven by three factors:</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1.</w:t>
        <w:tab/>
        <w:t>Exploitation costs: In some cases, TCO can be reduced by replacing equipment in order to reach a more effective way of operational management, or by optimising infrastructure costs.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2.</w:t>
        <w:tab/>
        <w:t xml:space="preserve">Business needs: The requirements of EuroBank’s business will evolve rapidly in dynamic environments. Voice network features must therefore follow these requirements.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3.</w:t>
        <w:tab/>
        <w:t>Technical obsolescence: Old equipment no longer supported by the manufacturer or systems that are no longer stable will have a major impact on the availability of the services and the required SLA’s.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In practice, there will be a mix of these three factors.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Transformation of voice environments can have a large impact on EuroBank's entire organisation (ICT and business). The first step is to define the network and service specifications. The second step is to define the most suitable solution. The criteria are business needs, costs, local regulations and publicly offered services. The last step is to define the Transition and Transformation Plan.</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All changes and technology refreshes will be performed in line with the agreed standard design and thus will comply with EuroBank’s standard voice technical requirements.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a)</w:t>
        <w:tab/>
        <w:t>Consolidating voice and data transport Services onto a common, redundant access at locations where it is economically and technically feasible to do so.</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Where multiple accesses are used at a location, balancing the voice and data traffic across the accesses.</w:t>
      </w:r>
    </w:p>
    <w:p>
      <w:pPr>
        <w:pStyle w:val="Heading2Numbered"/>
        <w:numPr>
          <w:ilvl w:val="1"/>
          <w:numId w:val="2"/>
        </w:numPr>
        <w:ind w:hanging="0" w:start="0"/>
        <w:rPr>
          <w:sz w:val="22"/>
          <w:szCs w:val="22"/>
          <w:lang w:val="en-GB"/>
        </w:rPr>
      </w:pPr>
      <w:bookmarkStart w:id="24" w:name="__RefHeading___Toc150058593"/>
      <w:bookmarkEnd w:id="24"/>
      <w:r>
        <w:rPr>
          <w:sz w:val="22"/>
          <w:szCs w:val="22"/>
          <w:lang w:val="en-GB"/>
        </w:rPr>
        <w:t>Standard Voice Services Monitoring and Operations</w:t>
      </w:r>
    </w:p>
    <w:p>
      <w:pPr>
        <w:pStyle w:val="Normal"/>
        <w:spacing w:before="0" w:after="0"/>
        <w:jc w:val="both"/>
        <w:rPr>
          <w:szCs w:val="22"/>
          <w:lang w:val="en-GB"/>
        </w:rPr>
      </w:pPr>
      <w:r>
        <w:rPr>
          <w:szCs w:val="22"/>
          <w:lang w:val="en-GB"/>
        </w:rPr>
        <w:t xml:space="preserve"> </w:t>
      </w:r>
      <w:r>
        <w:rPr>
          <w:szCs w:val="22"/>
          <w:lang w:val="en-GB"/>
        </w:rPr>
        <w:t xml:space="preserve">Planning, coordinating and installing all applicable standard voice systems, as well as other voice mail systems, will be done according to the long-term plans and the detailed blueprint. Operating, maintaining and auditing of these systems will be done on a remote basis according to the supplier / manufacturer guidelines. If remote operations are not technically or economically feasible, PST Supplier will provide onsite support if it concerns a hard-IMAC or incident / problem. If it concerns soft-IMACs or standard operating features, PST Supplier will propose changes according to the long-term plans and the detailed blueprint that in order to make remote operations technically and economically feasible.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PST Supplier will both monitor the system and will act on any major or minor alarm. Daily diagnostic routines will provide the necessary data of the performance of the network.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Planning, installing, operating and maintaining all applicable Standard Voice Systems.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Where remote operations are not technically and/or economically feasible, performing onsite support for operations as required to meet the Service Levels.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Planning, installing, operating, maintaining, coordinating, and auditing voicemail systems.</w:t>
      </w:r>
    </w:p>
    <w:p>
      <w:pPr>
        <w:pStyle w:val="Heading1Numbered"/>
        <w:numPr>
          <w:ilvl w:val="0"/>
          <w:numId w:val="2"/>
        </w:numPr>
        <w:ind w:hanging="0" w:start="0"/>
        <w:rPr>
          <w:sz w:val="22"/>
          <w:szCs w:val="22"/>
          <w:lang w:val="en-GB"/>
        </w:rPr>
      </w:pPr>
      <w:bookmarkStart w:id="25" w:name="__RefHeading___Toc150058594"/>
      <w:bookmarkEnd w:id="25"/>
      <w:r>
        <w:rPr>
          <w:sz w:val="22"/>
          <w:szCs w:val="22"/>
          <w:lang w:val="en-GB"/>
        </w:rPr>
        <w:t>SPECIAL VOICE SERVICES</w:t>
      </w:r>
    </w:p>
    <w:p>
      <w:pPr>
        <w:pStyle w:val="Heading2Numbered"/>
        <w:numPr>
          <w:ilvl w:val="1"/>
          <w:numId w:val="2"/>
        </w:numPr>
        <w:ind w:hanging="0" w:start="0"/>
        <w:rPr>
          <w:sz w:val="22"/>
          <w:szCs w:val="22"/>
          <w:lang w:val="en-GB"/>
        </w:rPr>
      </w:pPr>
      <w:bookmarkStart w:id="26" w:name="__RefHeading___Toc150058595"/>
      <w:bookmarkEnd w:id="26"/>
      <w:r>
        <w:rPr>
          <w:sz w:val="22"/>
          <w:szCs w:val="22"/>
          <w:lang w:val="en-GB"/>
        </w:rPr>
        <w:t>Call Centre</w:t>
      </w:r>
    </w:p>
    <w:p>
      <w:pPr>
        <w:pStyle w:val="Normal"/>
        <w:spacing w:before="0" w:after="0"/>
        <w:jc w:val="both"/>
        <w:rPr>
          <w:szCs w:val="22"/>
          <w:lang w:val="en-GB"/>
        </w:rPr>
      </w:pPr>
      <w:r>
        <w:rPr>
          <w:szCs w:val="22"/>
          <w:lang w:val="en-GB"/>
        </w:rPr>
        <w:t>The PST Supplier will manage the call centre applications based on EuroBank’s current Equipment, software and technologies, its current infrastructure and maintenance contracts. PST Supplier will also optimise the current Telecom infrastructure to create an orderly, controllable and cost effective environment. Call centre services and accompanying equipment will be standardised per employee category, after approval by EuroBank. This is all based on technologies and software currently in use by EuroBank</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The PST Supplier will deliver a defined Call Centre service for the call centre agents and supervisors. The Service Catalogue describes the service, the supported activities, the SLA and the processes.</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Besides the standard communication services for agents and supervisors, the provided service includes: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w:t>
      </w:r>
      <w:r>
        <w:rPr>
          <w:szCs w:val="22"/>
          <w:lang w:val="en-GB"/>
        </w:rPr>
        <w:tab/>
      </w:r>
      <w:r>
        <w:rPr>
          <w:szCs w:val="22"/>
          <w:u w:val="single"/>
          <w:lang w:val="en-GB"/>
        </w:rPr>
        <w:t>Service delivered by existing assets</w:t>
      </w:r>
      <w:r>
        <w:rPr>
          <w:szCs w:val="22"/>
          <w:lang w:val="en-GB"/>
        </w:rPr>
        <w:t>:</w:t>
      </w:r>
    </w:p>
    <w:p>
      <w:pPr>
        <w:pStyle w:val="Normal"/>
        <w:spacing w:before="0" w:after="0"/>
        <w:jc w:val="both"/>
        <w:rPr>
          <w:szCs w:val="22"/>
          <w:lang w:val="en-GB"/>
        </w:rPr>
      </w:pPr>
      <w:r>
        <w:rPr>
          <w:szCs w:val="22"/>
          <w:lang w:val="en-GB"/>
        </w:rPr>
        <w:t></w:t>
      </w:r>
    </w:p>
    <w:p>
      <w:pPr>
        <w:pStyle w:val="Normal"/>
        <w:spacing w:before="0" w:after="0"/>
        <w:ind w:start="720" w:end="0"/>
        <w:jc w:val="both"/>
        <w:rPr>
          <w:szCs w:val="22"/>
          <w:lang w:val="en-GB"/>
        </w:rPr>
      </w:pPr>
      <w:r>
        <w:rPr>
          <w:szCs w:val="22"/>
          <w:lang w:val="en-GB"/>
        </w:rPr>
        <w:tab/>
        <w:t>interfacing the call centre environment (applications, SMS);</w:t>
      </w:r>
    </w:p>
    <w:p>
      <w:pPr>
        <w:pStyle w:val="Normal"/>
        <w:spacing w:before="0" w:after="0"/>
        <w:ind w:start="720" w:end="0"/>
        <w:jc w:val="both"/>
        <w:rPr>
          <w:szCs w:val="22"/>
          <w:lang w:val="en-GB"/>
        </w:rPr>
      </w:pPr>
      <w:r>
        <w:rPr>
          <w:szCs w:val="22"/>
          <w:lang w:val="en-GB"/>
        </w:rPr>
        <w:t></w:t>
      </w:r>
      <w:r>
        <w:rPr>
          <w:szCs w:val="22"/>
          <w:lang w:val="en-GB"/>
        </w:rPr>
        <w:tab/>
        <w:t>Monitoring and recording calls.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w:t>
      </w:r>
      <w:r>
        <w:rPr>
          <w:szCs w:val="22"/>
          <w:lang w:val="en-GB"/>
        </w:rPr>
        <w:tab/>
      </w:r>
      <w:r>
        <w:rPr>
          <w:szCs w:val="22"/>
          <w:u w:val="single"/>
          <w:lang w:val="en-GB"/>
        </w:rPr>
        <w:t>Service delivered as part of the managed service</w:t>
      </w:r>
    </w:p>
    <w:p>
      <w:pPr>
        <w:pStyle w:val="Normal"/>
        <w:spacing w:before="0" w:after="0"/>
        <w:jc w:val="both"/>
        <w:rPr>
          <w:szCs w:val="22"/>
          <w:lang w:val="en-GB"/>
        </w:rPr>
      </w:pPr>
      <w:r>
        <w:rPr>
          <w:szCs w:val="22"/>
          <w:lang w:val="en-GB"/>
        </w:rPr>
      </w:r>
    </w:p>
    <w:p>
      <w:pPr>
        <w:pStyle w:val="Normal"/>
        <w:spacing w:before="0" w:after="0"/>
        <w:ind w:start="720" w:end="0"/>
        <w:jc w:val="both"/>
        <w:rPr>
          <w:szCs w:val="22"/>
          <w:lang w:val="en-GB"/>
        </w:rPr>
      </w:pPr>
      <w:r>
        <w:rPr>
          <w:szCs w:val="22"/>
          <w:lang w:val="en-GB"/>
        </w:rPr>
        <w:t></w:t>
      </w:r>
      <w:r>
        <w:rPr>
          <w:szCs w:val="22"/>
          <w:lang w:val="en-GB"/>
        </w:rPr>
        <w:tab/>
        <w:t>provisioning management information;</w:t>
      </w:r>
    </w:p>
    <w:p>
      <w:pPr>
        <w:pStyle w:val="Normal"/>
        <w:spacing w:before="0" w:after="0"/>
        <w:ind w:start="720" w:end="0"/>
        <w:jc w:val="both"/>
        <w:rPr>
          <w:szCs w:val="22"/>
          <w:lang w:val="en-GB"/>
        </w:rPr>
      </w:pPr>
      <w:r>
        <w:rPr>
          <w:szCs w:val="22"/>
          <w:lang w:val="en-GB"/>
        </w:rPr>
        <w:t></w:t>
      </w:r>
      <w:r>
        <w:rPr>
          <w:szCs w:val="22"/>
          <w:lang w:val="en-GB"/>
        </w:rPr>
        <w:tab/>
        <w:t>support for development, new technology and test;</w:t>
      </w:r>
    </w:p>
    <w:p>
      <w:pPr>
        <w:pStyle w:val="Normal"/>
        <w:spacing w:before="0" w:after="0"/>
        <w:ind w:start="720" w:end="0"/>
        <w:jc w:val="both"/>
        <w:rPr>
          <w:szCs w:val="22"/>
          <w:lang w:val="en-GB"/>
        </w:rPr>
      </w:pPr>
      <w:r>
        <w:rPr>
          <w:szCs w:val="22"/>
          <w:lang w:val="en-GB"/>
        </w:rPr>
        <w:t></w:t>
        <w:tab/>
        <w:t>support and train EuroBank call centre employees;</w:t>
      </w:r>
      <w:r>
        <w:rPr>
          <w:szCs w:val="22"/>
          <w:lang w:val="en-GB"/>
        </w:rPr>
      </w:r>
    </w:p>
    <w:p>
      <w:pPr>
        <w:pStyle w:val="Normal"/>
        <w:spacing w:before="0" w:after="0"/>
        <w:ind w:start="720" w:end="0"/>
        <w:jc w:val="both"/>
        <w:rPr>
          <w:szCs w:val="22"/>
          <w:lang w:val="en-GB"/>
        </w:rPr>
      </w:pPr>
      <w:r>
        <w:rPr>
          <w:szCs w:val="22"/>
          <w:lang w:val="en-GB"/>
        </w:rPr>
        <w:t></w:t>
      </w:r>
      <w:r>
        <w:rPr>
          <w:szCs w:val="22"/>
          <w:lang w:val="en-GB"/>
        </w:rPr>
        <w:tab/>
        <w:t>implementation of routing plans;</w:t>
      </w:r>
    </w:p>
    <w:p>
      <w:pPr>
        <w:pStyle w:val="Normal"/>
        <w:spacing w:before="0" w:after="0"/>
        <w:ind w:start="720" w:end="0"/>
        <w:jc w:val="both"/>
        <w:rPr>
          <w:szCs w:val="22"/>
          <w:lang w:val="en-GB"/>
        </w:rPr>
      </w:pPr>
      <w:r>
        <w:rPr>
          <w:szCs w:val="22"/>
          <w:lang w:val="en-GB"/>
        </w:rPr>
        <w:t></w:t>
      </w:r>
      <w:r>
        <w:rPr>
          <w:szCs w:val="22"/>
          <w:lang w:val="en-GB"/>
        </w:rPr>
        <w:tab/>
        <w:t>implementation of BCP planning;</w:t>
      </w:r>
    </w:p>
    <w:p>
      <w:pPr>
        <w:pStyle w:val="Normal"/>
        <w:spacing w:before="0" w:after="0"/>
        <w:ind w:start="720" w:end="0"/>
        <w:jc w:val="both"/>
        <w:rPr>
          <w:szCs w:val="22"/>
          <w:lang w:val="en-GB"/>
        </w:rPr>
      </w:pPr>
      <w:r>
        <w:rPr>
          <w:szCs w:val="22"/>
          <w:lang w:val="en-GB"/>
        </w:rPr>
        <w:t></w:t>
      </w:r>
      <w:r>
        <w:rPr>
          <w:szCs w:val="22"/>
          <w:lang w:val="en-GB"/>
        </w:rPr>
        <w:tab/>
        <w:t>make traces and analyse reports;</w:t>
      </w:r>
    </w:p>
    <w:p>
      <w:pPr>
        <w:pStyle w:val="Normal"/>
        <w:spacing w:before="0" w:after="0"/>
        <w:ind w:start="720" w:end="0"/>
        <w:jc w:val="both"/>
        <w:rPr>
          <w:szCs w:val="22"/>
          <w:lang w:val="en-GB"/>
        </w:rPr>
      </w:pPr>
      <w:r>
        <w:rPr>
          <w:szCs w:val="22"/>
          <w:lang w:val="en-GB"/>
        </w:rPr>
        <w:t></w:t>
      </w:r>
      <w:r>
        <w:rPr>
          <w:szCs w:val="22"/>
          <w:lang w:val="en-GB"/>
        </w:rPr>
        <w:tab/>
        <w:t>advice on call centre planning;</w:t>
      </w:r>
    </w:p>
    <w:p>
      <w:pPr>
        <w:pStyle w:val="Normal"/>
        <w:spacing w:before="0" w:after="0"/>
        <w:ind w:start="720" w:end="0"/>
        <w:jc w:val="both"/>
        <w:rPr>
          <w:szCs w:val="22"/>
          <w:lang w:val="en-GB"/>
        </w:rPr>
      </w:pPr>
      <w:r>
        <w:rPr>
          <w:szCs w:val="22"/>
          <w:lang w:val="en-GB"/>
        </w:rPr>
        <w:t></w:t>
      </w:r>
      <w:r>
        <w:rPr>
          <w:szCs w:val="22"/>
          <w:lang w:val="en-GB"/>
        </w:rPr>
        <w:tab/>
        <w:t>Support for creation of announcements.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a)</w:t>
        <w:tab/>
        <w:t>Interfacing with EuroBank-managed Applications in regard to Call Centre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Monitoring and recording calls on a “handset” basis, which capture conversations irrespective of which line the Call Centre staff member is speaking 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Monitoring and recording calls on a “line” basis, which capture all conversations on pre-determined lines.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Operational and Technical support for the infrastructure of EuroBank Call Centres and in the Test/Develop and Contingency environment.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Support for EuroBank internal customers with implementing new products, functionality within the Test/Develop/Contingency Call Centre Environment.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Provision of management information as agreed with EuroBank including updating wall displays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Provision of technical support to Call Centres including mobile telephony within agreed SLAs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Compliance with all regulatory controls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i)</w:t>
        <w:tab/>
        <w:t>Phone Banking development and implementation of Call Centres routing plans (pre and post) in accordance with EuroBank’s objectives. . As far as system configuration supports the requested flows.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j)</w:t>
        <w:tab/>
        <w:t>Support an implementation, where necessary, of BCP planning.</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k)</w:t>
        <w:tab/>
        <w:t>Support and train internally customers with new infrastructure, elements and functionality.</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l)</w:t>
        <w:tab/>
        <w:t>Support of the SMS service within EuroBank infrastructure.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m)</w:t>
        <w:tab/>
        <w:t>Undertaking traces and associated analysis and reporting when necessary.</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n)</w:t>
        <w:tab/>
        <w:t>With regard to the Wall Display, contribute to capacity planning and wider planning requirements.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o)</w:t>
        <w:tab/>
        <w:t>Support the introduction of new technology as agreed with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p)</w:t>
        <w:tab/>
        <w:t>Deliver, support and make available studio tracks (music and voice) for announcements and also have this available for all internal customers.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q)</w:t>
        <w:tab/>
        <w:t>Implement changes within the structure of IMACs.</w:t>
      </w:r>
    </w:p>
    <w:p>
      <w:pPr>
        <w:pStyle w:val="Heading2Numbered"/>
        <w:numPr>
          <w:ilvl w:val="1"/>
          <w:numId w:val="2"/>
        </w:numPr>
        <w:ind w:hanging="0" w:start="0"/>
        <w:rPr>
          <w:sz w:val="22"/>
          <w:szCs w:val="22"/>
          <w:lang w:val="en-GB"/>
        </w:rPr>
      </w:pPr>
      <w:bookmarkStart w:id="27" w:name="__RefHeading___Toc150058596"/>
      <w:bookmarkEnd w:id="27"/>
      <w:r>
        <w:rPr>
          <w:sz w:val="22"/>
          <w:szCs w:val="22"/>
          <w:lang w:val="en-GB"/>
        </w:rPr>
        <w:t>Branch offices</w:t>
      </w:r>
    </w:p>
    <w:p>
      <w:pPr>
        <w:pStyle w:val="Normal"/>
        <w:spacing w:before="0" w:after="0"/>
        <w:jc w:val="both"/>
        <w:rPr>
          <w:szCs w:val="22"/>
          <w:lang w:val="en-GB"/>
        </w:rPr>
      </w:pPr>
      <w:r>
        <w:rPr>
          <w:szCs w:val="22"/>
          <w:lang w:val="en-GB"/>
        </w:rPr>
        <w:t>PST Supplier will propose changes to EuroBank that are in line with their long-term plans if equipment or other matters aren’t fit for the business needs of EuroBank. In this way PST Supplier will be able to deliver the Services on the basis as agreed on.</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In general PST Supplier will (for the branch offices) optimise the voice equipment so standard call flow management, end-user training, documentation and cost-effective solutions can be provided throughout EuroBank. According to long-term plans, PST Supplier will provide input for the Architecture Board, which contains more detailed plans to achieve the desired voice network. PST Supplier will also address issues like 'making technical diagnostic information available so customers can be informed about why their call can’t be answered'.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solutions the PST Supplier Voice will deliver towards EuroBank for the branch offices are basically the same as for the other environments:</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remote management, when possible, and CDR collecting by the Customer Units;</w:t>
      </w:r>
    </w:p>
    <w:p>
      <w:pPr>
        <w:pStyle w:val="Normal"/>
        <w:spacing w:before="0" w:after="0"/>
        <w:ind w:hanging="720" w:start="720" w:end="0"/>
        <w:jc w:val="both"/>
        <w:rPr>
          <w:szCs w:val="22"/>
          <w:lang w:val="en-GB"/>
        </w:rPr>
      </w:pPr>
      <w:r>
        <w:rPr>
          <w:szCs w:val="22"/>
          <w:lang w:val="en-GB"/>
        </w:rPr>
        <w:t>•</w:t>
      </w:r>
      <w:r>
        <w:rPr>
          <w:szCs w:val="22"/>
          <w:lang w:val="en-GB"/>
        </w:rPr>
        <w:tab/>
        <w:t>centralised active monitoring of all the systems and dispatching of the local activities.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Services like technical and the Customer Unit will provide function support as well as project management or other additional services. Through CDR collecting and processing the PST Supplier will deliver reports that contain transparent information of costs and call handling (speed of answer, abandoned calls, etc).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Plan, install, operate, monitor and maintain the voice infrastructure in EuroBank’s branches, including:</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Transparency in performance: provide EuroBank with agreed management information (eg speed of answer, abandoned calls etc) on incoming traffic per branch and compare with EuroBank’s target SLA for incoming calls in branches.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Transparency in cost: provide EuroBank with agreed management information in call cost of outgoing calls in order to make people cost-aware.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Ease-of-use: provide training and documentation on the voice infrastructure for the employees in the branch in order to help them to achieve their customer SLAs.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Availability towards customer: make available technical diagnostic information so customers can be informed about, for example, why their call can not be answered.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Provide EuroBank with up-to-date asset lists of installed telephony equipment in each branch.</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Act as the single point of contact with EuroBank for all their functional and technical requirements.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Standardize the call flow management across the branches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 xml:space="preserve">Provide future proofed and cost-effective solutions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 xml:space="preserve">In addition to the standard office telephony at the main locations, the PST Supplier has to provide project management on behalf of projects at the branch office environment.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 xml:space="preserve">Delivering technical and functional support to the branch office environment. </w:t>
      </w:r>
    </w:p>
    <w:p>
      <w:pPr>
        <w:pStyle w:val="Heading2Numbered"/>
        <w:numPr>
          <w:ilvl w:val="1"/>
          <w:numId w:val="2"/>
        </w:numPr>
        <w:ind w:hanging="0" w:start="0"/>
        <w:rPr>
          <w:b w:val="false"/>
          <w:i/>
          <w:i/>
          <w:sz w:val="22"/>
          <w:szCs w:val="22"/>
          <w:lang w:val="en-GB"/>
        </w:rPr>
      </w:pPr>
      <w:bookmarkStart w:id="28" w:name="__RefHeading___Toc150058597"/>
      <w:bookmarkEnd w:id="28"/>
      <w:r>
        <w:rPr>
          <w:b w:val="false"/>
          <w:i/>
          <w:sz w:val="22"/>
          <w:szCs w:val="22"/>
          <w:lang w:val="en-GB"/>
        </w:rPr>
        <w:t>Chapter deleted (intentionally left blank)</w:t>
      </w:r>
    </w:p>
    <w:p>
      <w:pPr>
        <w:pStyle w:val="Heading2Numbered"/>
        <w:numPr>
          <w:ilvl w:val="1"/>
          <w:numId w:val="2"/>
        </w:numPr>
        <w:ind w:hanging="0" w:start="0"/>
        <w:rPr>
          <w:b w:val="false"/>
          <w:i/>
          <w:i/>
          <w:sz w:val="22"/>
          <w:szCs w:val="22"/>
          <w:lang w:val="en-GB"/>
        </w:rPr>
      </w:pPr>
      <w:bookmarkStart w:id="29" w:name="__RefHeading___Toc150058598"/>
      <w:bookmarkEnd w:id="29"/>
      <w:r>
        <w:rPr>
          <w:b w:val="false"/>
          <w:i/>
          <w:sz w:val="22"/>
          <w:szCs w:val="22"/>
          <w:lang w:val="en-GB"/>
        </w:rPr>
        <w:t>Chapter deleted (intentionally left blank)</w:t>
      </w:r>
    </w:p>
    <w:p>
      <w:pPr>
        <w:pStyle w:val="Heading2Numbered"/>
        <w:numPr>
          <w:ilvl w:val="1"/>
          <w:numId w:val="2"/>
        </w:numPr>
        <w:ind w:hanging="0" w:start="0"/>
        <w:rPr>
          <w:b w:val="false"/>
          <w:i/>
          <w:i/>
          <w:sz w:val="22"/>
          <w:szCs w:val="22"/>
          <w:lang w:val="en-GB"/>
        </w:rPr>
      </w:pPr>
      <w:bookmarkStart w:id="30" w:name="__RefHeading___Toc150058599"/>
      <w:bookmarkEnd w:id="30"/>
      <w:r>
        <w:rPr>
          <w:b w:val="false"/>
          <w:i/>
          <w:sz w:val="22"/>
          <w:szCs w:val="22"/>
          <w:lang w:val="en-GB"/>
        </w:rPr>
        <w:t>Chapter deleted (intentionally left blank)</w:t>
      </w:r>
    </w:p>
    <w:p>
      <w:pPr>
        <w:pStyle w:val="Heading2Numbered"/>
        <w:numPr>
          <w:ilvl w:val="1"/>
          <w:numId w:val="2"/>
        </w:numPr>
        <w:ind w:hanging="0" w:start="0"/>
        <w:rPr>
          <w:b w:val="false"/>
          <w:i/>
          <w:i/>
          <w:sz w:val="22"/>
          <w:szCs w:val="22"/>
          <w:lang w:val="en-GB"/>
        </w:rPr>
      </w:pPr>
      <w:bookmarkStart w:id="31" w:name="__RefHeading___Toc150058600"/>
      <w:bookmarkEnd w:id="31"/>
      <w:r>
        <w:rPr>
          <w:b w:val="false"/>
          <w:i/>
          <w:sz w:val="22"/>
          <w:szCs w:val="22"/>
          <w:lang w:val="en-GB"/>
        </w:rPr>
        <w:t>Chapter deleted (intentionally left blank)</w:t>
      </w:r>
    </w:p>
    <w:p>
      <w:pPr>
        <w:pStyle w:val="Heading2Numbered"/>
        <w:numPr>
          <w:ilvl w:val="1"/>
          <w:numId w:val="2"/>
        </w:numPr>
        <w:ind w:hanging="0" w:start="0"/>
        <w:rPr>
          <w:sz w:val="22"/>
          <w:szCs w:val="22"/>
          <w:lang w:val="en-GB"/>
        </w:rPr>
      </w:pPr>
      <w:bookmarkStart w:id="32" w:name="__RefHeading___Toc150058601"/>
      <w:bookmarkEnd w:id="32"/>
      <w:r>
        <w:rPr>
          <w:sz w:val="22"/>
          <w:szCs w:val="22"/>
          <w:lang w:val="en-GB"/>
        </w:rPr>
        <w:t>Conferencing Services</w:t>
      </w:r>
    </w:p>
    <w:p>
      <w:pPr>
        <w:pStyle w:val="Normal"/>
        <w:spacing w:before="0" w:after="0"/>
        <w:jc w:val="both"/>
        <w:rPr>
          <w:szCs w:val="22"/>
          <w:lang w:val="en-GB"/>
        </w:rPr>
      </w:pPr>
      <w:r>
        <w:rPr>
          <w:szCs w:val="22"/>
          <w:lang w:val="en-GB"/>
        </w:rPr>
        <w:t xml:space="preserve">The PST Supplier will configure and install conferencing premises systems on a project basis after the request of EuroBank. All changes will be performed according to the, by EuroBank approved test procedures. The conferencing premises systems will be maintained according to the supplier’s / manufacture’s guidelines including installing third party vendor-supplied fixes and preventive maintenance. The PST Supplier will provide regularly reports that contain information about the completion of the preventive maintenance of the conferencing premises systems on each location. The PST Supplier will provide monthly invoices that contain phone and video usage by time period. Operating, scheduling, assisting, providing daily testing and reporting on phone and video usage by authorized user will be provided by the PST Supplier.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 xml:space="preserve">Configuring, installing, operating, and maintaining all Conferencing Premise Systems.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Testing and implementation of changes; bridge operation of Conferencing Premise Systems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Interfacing and assisting with all Authorized User requests for scheduling facilities, support, or any special needs including premises testing, public conference room assistance, or help with Conferencing Premise Systems.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Managing and coordinating all Third Party Vendors associated with the provision of Conferencing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Recommending automated procedures to improve on the processes in place as of the Commencement date and implementing these procedures as approved by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Delivering monthly utilization reports showing conference usage by location, including:</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Providing summary and detail reports for phone and/or video usage by Authorized User.</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Performing daily Conferencing Premise System testing, using EuroBank approved testing procedures, to validate that individual components and the overall system are working correctly.</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Supervising and supporting conferences with onsite PST Supplier personnel as necessary to meet the Service Levels.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i)</w:t>
        <w:tab/>
        <w:t>Installing Third Party Vendor-supplied fixes to Conferencing Premise Systems.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j)</w:t>
        <w:tab/>
        <w:t>Performing preventive maintenance in accordance with the manufacturer’s specifications for all Conferencing Premise Systems located and maintained at EuroBank Sites.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k)</w:t>
        <w:tab/>
        <w:t>Sending documentation to EuroBank verifying that preventive maintenance has been completed for each location at the time of completion.</w:t>
      </w:r>
    </w:p>
    <w:p>
      <w:pPr>
        <w:pStyle w:val="Heading2Numbered"/>
        <w:numPr>
          <w:ilvl w:val="1"/>
          <w:numId w:val="2"/>
        </w:numPr>
        <w:ind w:hanging="0" w:start="0"/>
        <w:rPr>
          <w:sz w:val="22"/>
          <w:szCs w:val="22"/>
          <w:lang w:val="en-GB"/>
        </w:rPr>
      </w:pPr>
      <w:bookmarkStart w:id="33" w:name="__RefHeading___Toc150058602"/>
      <w:bookmarkEnd w:id="33"/>
      <w:r>
        <w:rPr>
          <w:sz w:val="22"/>
          <w:szCs w:val="22"/>
          <w:lang w:val="en-GB"/>
        </w:rPr>
        <w:t>Mobile Data Communications  (MDC) Services</w:t>
      </w:r>
    </w:p>
    <w:p>
      <w:pPr>
        <w:pStyle w:val="Normal"/>
        <w:spacing w:before="0" w:after="0"/>
        <w:jc w:val="both"/>
        <w:rPr>
          <w:szCs w:val="22"/>
          <w:lang w:val="en-GB"/>
        </w:rPr>
      </w:pPr>
      <w:r>
        <w:rPr>
          <w:szCs w:val="22"/>
          <w:lang w:val="en-GB"/>
        </w:rPr>
        <w:t>The PST Supplier will manage and support the MDC services as any other service in the Service Catalogue: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All MDC Service (description)s as GPRS, UMTS, will be registered within the PST Supplier Voice Service Management System (DMS). Also items like used equipment will be stored. If a Service Request for an IMAC is done by EuroBank, the PST Supplier will provide this according to the agreed services. Invoices and reports will be provided through DMS.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Through analyzing the invoice information of the MDC-provider and comparing the use of the MDC-services with the used description the PST Supplier will provide EuroBank and the authorized users with advice over the purchased descriptions.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providing of this service is limited with the technical and subscription boundaries existing. The PST Supplier will manage and advise EuroBank over the MDC-provider EuroBank has selected.</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PST will assure indoor coverage in EuroBank buildings and at customer locations as listed in Exhibit 7. Sites without indoor coverage at Effective Date will be subject to Change Control procedures.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Managing Equipment, Software, and service solutions to enable personalized, real-time access to Internet data and enterprise Applications from a mobile IP voice network roaming service.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Providing Connectivity for Authorized Users for wireless services that enable functionality similar to local, direct connected Voice network access.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Providing Connectivity for non-portable desktop systems located outside an office's physical boundaries.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Providing Connectivity for Authorized Users’ workstations or LANs that are not already operated or maintained by the PST.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Providing adequate MDC bandwidth for transmitting digital photos and documents.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Supporting and managing the Mobile Data Communications System.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Operating the Mobile Data Communications Voice network.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Maintaining reliable data transfers and carrier-grade reliability for mission critical Applications.</w:t>
      </w:r>
    </w:p>
    <w:p>
      <w:pPr>
        <w:pStyle w:val="Heading2Numbered"/>
        <w:numPr>
          <w:ilvl w:val="1"/>
          <w:numId w:val="2"/>
        </w:numPr>
        <w:ind w:hanging="0" w:start="0"/>
        <w:rPr>
          <w:sz w:val="22"/>
          <w:szCs w:val="22"/>
          <w:lang w:val="en-GB"/>
        </w:rPr>
      </w:pPr>
      <w:bookmarkStart w:id="34" w:name="__RefHeading___Toc150058603"/>
      <w:bookmarkEnd w:id="34"/>
      <w:r>
        <w:rPr>
          <w:sz w:val="22"/>
          <w:szCs w:val="22"/>
          <w:lang w:val="en-GB"/>
        </w:rPr>
        <w:t>GSM (Mobile Telephony)</w:t>
      </w:r>
    </w:p>
    <w:p>
      <w:pPr>
        <w:pStyle w:val="Normal"/>
        <w:spacing w:before="0" w:after="0"/>
        <w:jc w:val="both"/>
        <w:rPr>
          <w:szCs w:val="22"/>
          <w:lang w:val="en-GB"/>
        </w:rPr>
      </w:pPr>
      <w:r>
        <w:rPr>
          <w:szCs w:val="22"/>
          <w:lang w:val="en-GB"/>
        </w:rPr>
        <w:t>In order to comply with EuroBank’s GSM requirements, processes and dedicated expertise will be embedded within the Customer Unit of the PST Supplier. The Customer Unit will manage the mobile environment of EuroBank. The Service Management System (DMS) supports the processes. The Customer Unit will handle requests for (skilled) information, orders, IMACs, equipment and provide management information.</w:t>
      </w:r>
    </w:p>
    <w:p>
      <w:pPr>
        <w:pStyle w:val="Normal"/>
        <w:spacing w:before="0" w:after="0"/>
        <w:jc w:val="both"/>
        <w:rPr>
          <w:szCs w:val="22"/>
          <w:lang w:val="en-GB"/>
        </w:rPr>
      </w:pPr>
      <w:r>
        <w:rPr>
          <w:szCs w:val="22"/>
          <w:lang w:val="en-GB"/>
        </w:rPr>
        <w:t>The Customer Unit will monitor and change requested call restrictions, including changing the user administration in DMS and the Authorized User list. All IMACs will be delivered according to the agreed service levels, which will be monitored by DMS. All relevant information that will be stored in DMS can be updated, either through a direct link or by means of periodical updates towards the relevant management systems of the PST Supplier or EuroBank. Through DMS, the PST Supplier will produce monthly reports on IMACs and GSM usage, including reports on high usage, misuse or abuse of GSM subscriptions.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Managing Equipment, and associated software and service to enable access to the GSM voice network.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Providing connectivity and functionality according to certain requested or assigned call-restrictions and class phones.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Managing user administration and updating/synchronizing this information with the Authorized User lists.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Managing configuration services (e.g. Type, brand and IMEI number of the phones).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Delivering services in accordance with the agreed IMACs structure including updating the relevant management systems.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Managing logistics of the repair service including incoming quality checks.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Providing support and assistance to the GSM users with the setup of their device (e.g. PIN code, transferring address books, flashing software).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Providing management information of GSM usage and support including Checking and reporting high use, misuse and/or abuse of GSM subscriptions.</w:t>
      </w:r>
    </w:p>
    <w:p>
      <w:pPr>
        <w:pStyle w:val="Heading2Numbered"/>
        <w:numPr>
          <w:ilvl w:val="1"/>
          <w:numId w:val="2"/>
        </w:numPr>
        <w:ind w:hanging="0" w:start="0"/>
        <w:rPr>
          <w:sz w:val="22"/>
          <w:szCs w:val="22"/>
          <w:lang w:val="en-GB"/>
        </w:rPr>
      </w:pPr>
      <w:bookmarkStart w:id="35" w:name="__RefHeading___Toc150058604"/>
      <w:bookmarkEnd w:id="35"/>
      <w:r>
        <w:rPr>
          <w:sz w:val="22"/>
          <w:szCs w:val="22"/>
          <w:lang w:val="en-GB"/>
        </w:rPr>
        <w:t>Blackberry</w:t>
      </w:r>
    </w:p>
    <w:p>
      <w:pPr>
        <w:pStyle w:val="Normal"/>
        <w:spacing w:before="0" w:after="0"/>
        <w:jc w:val="both"/>
        <w:rPr>
          <w:szCs w:val="22"/>
          <w:lang w:val="en-GB"/>
        </w:rPr>
      </w:pPr>
      <w:r>
        <w:rPr>
          <w:szCs w:val="22"/>
          <w:lang w:val="en-GB"/>
        </w:rPr>
        <w:t>In order to comply with EuroBank’s Blackberry requirements, the PST Supplier will use the Customer Unit that will take care of all service calls, request for information, IMACs, equipment handling and dispatching.</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Customer Unit will monitor and change requested communication restrictions, including the user administration in the Service Management System (DMS) and the Authorized User list. All IMACs will be delivered according to the agreed service levels, which will be monitored by DMS. From DMS, the relevant management systems of the PST Supplier for EuroBank will be updated, either through a direct link or by means of periodical updates.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Mobile Service and Support Team will have (remote) access to the BES server to initiate new users or change profiles of existing users.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The Customer Unit will have intimate knowledge about operating the handheld and it's applications in order to provide direct support and assistance to Blackberry users for all types of questions. They will also handle all administrative and logistical aspects of newly ordered and defect handsets.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From DMS, the PST Supplier will produce monthly reports on IMACs and Blackberry usage, including reports on high usage, misuse or abuse of subscriptions.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Blackberry devices will be provisioned fully operational.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Managing Equipment, and associated software and service to enable access to the Blackberry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Providing Connectivity and Functionality according to certain requested or assigned communication restrictions.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Managing user administration and updating/synchronizing this information with the Authorized User lists.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Managing configuration services (eg Type, brand, PIN number and IMEI).</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Delivering services in accordance with the agreed IMACs structure including updating the relevant management systems.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Managing logistics of the repair service including incoming quality checks.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Providing support and assistance to the Blackberry users with the setup of their device (eg PIN code, transferring address books, flashing software).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Providing management information of Blackberry usage and support including Checking and reporting high use, misuse and/or abuse of GSM subscriptions.</w:t>
      </w:r>
    </w:p>
    <w:p>
      <w:pPr>
        <w:pStyle w:val="Heading2Numbered"/>
        <w:numPr>
          <w:ilvl w:val="1"/>
          <w:numId w:val="2"/>
        </w:numPr>
        <w:ind w:hanging="0" w:start="0"/>
        <w:rPr>
          <w:sz w:val="22"/>
          <w:szCs w:val="22"/>
          <w:lang w:val="en-GB"/>
        </w:rPr>
      </w:pPr>
      <w:bookmarkStart w:id="36" w:name="__RefHeading___Toc150058605"/>
      <w:bookmarkEnd w:id="36"/>
      <w:r>
        <w:rPr>
          <w:sz w:val="22"/>
          <w:szCs w:val="22"/>
          <w:lang w:val="en-GB"/>
        </w:rPr>
        <w:t>Short Messaging Services (SMS) Technical and Operational Services</w:t>
      </w:r>
    </w:p>
    <w:p>
      <w:pPr>
        <w:pStyle w:val="Normal"/>
        <w:spacing w:before="0" w:after="0"/>
        <w:jc w:val="both"/>
        <w:rPr>
          <w:szCs w:val="22"/>
          <w:lang w:val="en-GB"/>
        </w:rPr>
      </w:pPr>
      <w:r>
        <w:rPr>
          <w:szCs w:val="22"/>
          <w:lang w:val="en-GB"/>
        </w:rPr>
        <w:t>PST Supplier will provide EuroBank with all technical and operational requirements that this Exhibit contains. PST Supplier supports features as:</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tab/>
        <w:t>Providing technical and operational services for EuroBank’s SMS Voice Network on a 24/7 basis;</w:t>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Performing day-to-day operations of the SMS Voice Network;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Upon request, delivering audit trails of SMS activity, including tracking information on individual SMS Service for Authorized Users;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Configuring, installing, testing, and operating voice network Connectivity to transmitting sites;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Engineering alternate path routing and dial backup services for all critical circuits;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Maintaining system diagrams detailing the line connections and types of circuits to interconnect the output circuits to the base stations;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Maintaining a subscriber database including the SMS unit code, assigned channel, authorized service areas, priority level, type of service and device type;</w:t>
      </w:r>
    </w:p>
    <w:p>
      <w:pPr>
        <w:pStyle w:val="Normal"/>
        <w:spacing w:before="0" w:after="0"/>
        <w:ind w:hanging="720" w:start="720" w:end="0"/>
        <w:jc w:val="both"/>
        <w:rPr>
          <w:szCs w:val="22"/>
          <w:lang w:val="en-GB"/>
        </w:rPr>
      </w:pPr>
      <w:r>
        <w:rPr>
          <w:szCs w:val="22"/>
          <w:lang w:val="en-GB"/>
        </w:rPr>
      </w:r>
    </w:p>
    <w:p>
      <w:pPr>
        <w:pStyle w:val="Normal"/>
        <w:spacing w:before="0" w:after="0"/>
        <w:jc w:val="both"/>
        <w:rPr>
          <w:szCs w:val="22"/>
          <w:lang w:val="en-GB"/>
        </w:rPr>
      </w:pPr>
      <w:r>
        <w:rPr>
          <w:szCs w:val="22"/>
          <w:lang w:val="en-GB"/>
        </w:rPr>
        <w:t>•</w:t>
      </w:r>
      <w:r>
        <w:rPr>
          <w:szCs w:val="22"/>
          <w:lang w:val="en-GB"/>
        </w:rPr>
        <w:tab/>
        <w:t>Performing automatic real-time updates to the SMS database.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solution for EuroBank’s requirements is the “Large Account Service” of the PST Supplier:</w:t>
      </w:r>
    </w:p>
    <w:p>
      <w:pPr>
        <w:pStyle w:val="Normal"/>
        <w:spacing w:before="0" w:after="0"/>
        <w:jc w:val="both"/>
        <w:rPr>
          <w:szCs w:val="22"/>
          <w:lang w:val="en-GB"/>
        </w:rPr>
      </w:pPr>
      <w:r>
        <w:rPr>
          <w:szCs w:val="22"/>
          <w:lang w:val="en-GB"/>
        </w:rPr>
      </w:r>
    </w:p>
    <w:p>
      <w:pPr>
        <w:pStyle w:val="Normal"/>
        <w:spacing w:before="0" w:after="0"/>
        <w:ind w:start="720" w:end="0"/>
        <w:jc w:val="both"/>
        <w:rPr>
          <w:szCs w:val="22"/>
          <w:lang w:val="en-GB"/>
        </w:rPr>
      </w:pPr>
      <w:r>
        <w:rPr>
          <w:szCs w:val="22"/>
          <w:lang w:val="en-GB"/>
        </w:rPr>
        <w:t>Short messages are not sent directly from the originator to the recipient address but via the Short Message Service Centre (SMSC). Messages that can’t be delivered immediately will be stored in the SMSC for later delivery. If a device submits a message to the SMSC, the SMSC will return an acknowledgement of receipt to the originator. Immediately after reception of the message, the SMSC will try to deliver the message to the destination. The destination is expected to return an acknowledgement of receipt to the SMSC. After the acknowledgement is received, the related message will be deleted.</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ab/>
      </w:r>
      <w:r>
        <w:rPr>
          <w:szCs w:val="22"/>
          <w:lang w:val="en-GB"/>
        </w:rPr>
        <w:drawing>
          <wp:inline distT="0" distB="0" distL="0" distR="0">
            <wp:extent cx="3172460" cy="55118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8"/>
                    <a:srcRect l="-11" t="-65" r="-11" b="-65"/>
                    <a:stretch>
                      <a:fillRect/>
                    </a:stretch>
                  </pic:blipFill>
                  <pic:spPr bwMode="auto">
                    <a:xfrm>
                      <a:off x="0" y="0"/>
                      <a:ext cx="3172460" cy="551180"/>
                    </a:xfrm>
                    <a:prstGeom prst="rect">
                      <a:avLst/>
                    </a:prstGeom>
                    <a:noFill/>
                  </pic:spPr>
                </pic:pic>
              </a:graphicData>
            </a:graphic>
          </wp:inline>
        </w:drawing>
      </w:r>
    </w:p>
    <w:p>
      <w:pPr>
        <w:pStyle w:val="Normal"/>
        <w:spacing w:before="0" w:after="0"/>
        <w:ind w:start="720" w:end="0"/>
        <w:jc w:val="both"/>
        <w:rPr>
          <w:szCs w:val="22"/>
          <w:lang w:val="en-GB"/>
        </w:rPr>
      </w:pPr>
      <w:r>
        <w:rPr>
          <w:szCs w:val="22"/>
          <w:lang w:val="en-GB"/>
        </w:rPr>
      </w:r>
    </w:p>
    <w:p>
      <w:pPr>
        <w:pStyle w:val="Normal"/>
        <w:spacing w:before="0" w:after="0"/>
        <w:ind w:firstLine="720" w:start="720" w:end="0"/>
        <w:jc w:val="both"/>
        <w:rPr>
          <w:szCs w:val="22"/>
          <w:lang w:val="en-GB"/>
        </w:rPr>
      </w:pPr>
      <w:r>
        <w:rPr>
          <w:szCs w:val="22"/>
          <w:u w:val="single"/>
          <w:lang w:val="en-GB"/>
        </w:rPr>
        <w:t>Message flow between Originator, SMSC and Destination</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Messages can be submitted to the SMSC by different types of originators. In the SMS domain of the PST Supplier, the Mobile Station and the Large Account are the most familiar sources for message submission.</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Once the message is received in the SMSC it can be delivered to many types of destinations. The most familiar ones in the PST Supplier’s domain are Mobile Station, Large Account and a FAX-device.</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SMS flows between two Mobile Stations do not need very high service levels concerning the maximum message throughput. This might be different for message flows from and to services like games, entertainment, information services, etc. These services will demand a higher service level from the SMSC. To meet these requirements, the entity “Large Account” is defined in the SMSC. The Large Account can connect directly to the SMSC for handling SMS messages using the UCP protocol. Larger throughputs are available in comparison with the “regular” Mobile Station connection.</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Besides a higher message throughput, the “Large Account Service” offers more features. The most important are stated below.</w:t>
      </w:r>
    </w:p>
    <w:p>
      <w:pPr>
        <w:pStyle w:val="Normal"/>
        <w:spacing w:before="0" w:after="0"/>
        <w:ind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Throughput level: large Accounts are offered the opportunity to send or receive messages with a higher throughput.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Retry scheme: several specific retry profiles are available and can be assigned to a Large Account. For all messages submitted by the Large Account this retry profile will be applied.</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Buffer capacity: for each destination address the SMSC has a buffer where undeliverable messages will be stored. For the destination type Large Accounts, the size of the buffer is expanded in comparison to the size of the buffer for other destination types.</w:t>
      </w:r>
    </w:p>
    <w:p>
      <w:pPr>
        <w:pStyle w:val="Normal"/>
        <w:spacing w:before="0" w:after="0"/>
        <w:ind w:start="720" w:end="0"/>
        <w:jc w:val="both"/>
        <w:rPr>
          <w:szCs w:val="22"/>
          <w:lang w:val="en-GB"/>
        </w:rPr>
      </w:pPr>
      <w:r>
        <w:rPr>
          <w:szCs w:val="22"/>
          <w:lang w:val="en-GB"/>
        </w:rPr>
      </w:r>
    </w:p>
    <w:p>
      <w:pPr>
        <w:pStyle w:val="Normal"/>
        <w:spacing w:before="0" w:after="0"/>
        <w:ind w:start="720" w:end="0"/>
        <w:jc w:val="both"/>
        <w:rPr/>
      </w:pPr>
      <w:r>
        <w:rPr>
          <w:szCs w:val="22"/>
          <w:u w:val="single"/>
          <w:lang w:val="en-GB"/>
        </w:rPr>
        <w:t>Short Code identification</w:t>
      </w:r>
      <w:r>
        <w:rPr>
          <w:szCs w:val="22"/>
          <w:lang w:val="en-GB"/>
        </w:rPr>
        <w:t>: A Short Code will used to address the Large Account. Within the SMSC the Short Code will be translated into the actual X.25, DigiAccess, ISDN or Internet address.</w:t>
      </w:r>
    </w:p>
    <w:p>
      <w:pPr>
        <w:pStyle w:val="Normal"/>
        <w:spacing w:before="0" w:after="0"/>
        <w:ind w:start="720" w:end="0"/>
        <w:jc w:val="both"/>
        <w:rPr>
          <w:szCs w:val="22"/>
          <w:lang w:val="en-GB"/>
        </w:rPr>
      </w:pPr>
      <w:r>
        <w:rPr>
          <w:szCs w:val="22"/>
          <w:lang w:val="en-GB"/>
        </w:rPr>
      </w:r>
    </w:p>
    <w:p>
      <w:pPr>
        <w:pStyle w:val="Normal"/>
        <w:spacing w:before="0" w:after="0"/>
        <w:jc w:val="both"/>
        <w:rPr>
          <w:szCs w:val="22"/>
          <w:lang w:val="en-GB"/>
        </w:rPr>
      </w:pPr>
      <w:r>
        <w:rPr>
          <w:szCs w:val="22"/>
          <w:lang w:val="en-GB"/>
        </w:rPr>
        <w:t>The PST’s responsibilities include: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w:t>
        <w:tab/>
        <w:t>Providing technical and operational Services for EuroBank’s SMS Voice Network on a 24 X 7 basis.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b)</w:t>
        <w:tab/>
        <w:t>Performing day-to-day operations of the SMS Voice Network.</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c)</w:t>
        <w:tab/>
        <w:t>Upon request, delivering audit trails of SMS activity, including tracking information on individual SMS Service for Authorized Users.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d)</w:t>
        <w:tab/>
        <w:t>Configuring, installing, testing, and operating voice network Connectivity to transmitting sites.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e)</w:t>
        <w:tab/>
        <w:t>Engineering alternate path routing and dial backup services for all critical circuits.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f)</w:t>
        <w:tab/>
        <w:t>Maintaining system diagrams detailing the line connections and types of circuits to interconnect the output circuits to the base stations.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g)</w:t>
        <w:tab/>
        <w:t>Maintaining a subscriber database including the SMS unit code, assigned channel, authorized service areas, priority level, type of service and device type.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h)</w:t>
        <w:tab/>
        <w:t>Performing automatic real-time updates to the SMS database.</w:t>
      </w:r>
    </w:p>
    <w:p>
      <w:pPr>
        <w:pStyle w:val="Heading2Numbered"/>
        <w:numPr>
          <w:ilvl w:val="1"/>
          <w:numId w:val="2"/>
        </w:numPr>
        <w:ind w:hanging="0" w:start="0"/>
        <w:rPr>
          <w:sz w:val="22"/>
          <w:szCs w:val="22"/>
          <w:lang w:val="en-GB"/>
        </w:rPr>
      </w:pPr>
      <w:bookmarkStart w:id="37" w:name="__RefHeading___Toc150058606"/>
      <w:bookmarkEnd w:id="37"/>
      <w:r>
        <w:rPr>
          <w:sz w:val="22"/>
          <w:szCs w:val="22"/>
          <w:lang w:val="en-GB"/>
        </w:rPr>
        <w:t>SMS Services – Features and Options</w:t>
      </w:r>
    </w:p>
    <w:p>
      <w:pPr>
        <w:pStyle w:val="Normal"/>
        <w:spacing w:before="0" w:after="0"/>
        <w:jc w:val="both"/>
        <w:rPr>
          <w:sz w:val="22"/>
          <w:szCs w:val="22"/>
          <w:lang w:val="en-GB"/>
        </w:rPr>
      </w:pPr>
      <w:r>
        <w:rPr>
          <w:sz w:val="22"/>
          <w:szCs w:val="22"/>
          <w:lang w:val="en-GB"/>
        </w:rPr>
      </w:r>
    </w:p>
    <w:p>
      <w:pPr>
        <w:pStyle w:val="Normal"/>
        <w:spacing w:before="0" w:after="0"/>
        <w:jc w:val="both"/>
        <w:rPr>
          <w:szCs w:val="22"/>
          <w:lang w:val="en-GB"/>
        </w:rPr>
      </w:pPr>
      <w:r>
        <w:rPr>
          <w:szCs w:val="22"/>
          <w:lang w:val="en-GB"/>
        </w:rPr>
        <w:t>The features and options for the SMS Services, as described by EuroBank, will be provided by PST Supplier through several services. The main service is the SMS service for large accounts that will provide EuroBank with:</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Nationwide and international SMS coverage;</w:t>
      </w:r>
    </w:p>
    <w:p>
      <w:pPr>
        <w:pStyle w:val="Normal"/>
        <w:spacing w:before="0" w:after="0"/>
        <w:ind w:hanging="720" w:start="720" w:end="0"/>
        <w:jc w:val="both"/>
        <w:rPr>
          <w:szCs w:val="22"/>
          <w:lang w:val="en-GB"/>
        </w:rPr>
      </w:pPr>
      <w:r>
        <w:rPr>
          <w:szCs w:val="22"/>
          <w:lang w:val="en-GB"/>
        </w:rPr>
        <w:t>•</w:t>
      </w:r>
      <w:r>
        <w:rPr>
          <w:szCs w:val="22"/>
          <w:lang w:val="en-GB"/>
        </w:rPr>
        <w:tab/>
        <w:t>Two types of messages, normal and urgent;</w:t>
      </w:r>
    </w:p>
    <w:p>
      <w:pPr>
        <w:pStyle w:val="Normal"/>
        <w:spacing w:before="0" w:after="0"/>
        <w:ind w:hanging="720" w:start="720" w:end="0"/>
        <w:jc w:val="both"/>
        <w:rPr>
          <w:szCs w:val="22"/>
          <w:lang w:val="en-GB"/>
        </w:rPr>
      </w:pPr>
      <w:r>
        <w:rPr>
          <w:szCs w:val="22"/>
          <w:lang w:val="en-GB"/>
        </w:rPr>
        <w:t>•</w:t>
      </w:r>
      <w:r>
        <w:rPr>
          <w:szCs w:val="22"/>
          <w:lang w:val="en-GB"/>
        </w:rPr>
        <w:tab/>
        <w:t>A message size of the standard number of characters (160) and multimessage capability;</w:t>
      </w:r>
    </w:p>
    <w:p>
      <w:pPr>
        <w:pStyle w:val="Normal"/>
        <w:spacing w:before="0" w:after="0"/>
        <w:ind w:hanging="720" w:start="720" w:end="0"/>
        <w:jc w:val="both"/>
        <w:rPr>
          <w:szCs w:val="22"/>
          <w:lang w:val="en-GB"/>
        </w:rPr>
      </w:pPr>
      <w:r>
        <w:rPr>
          <w:szCs w:val="22"/>
          <w:lang w:val="en-GB"/>
        </w:rPr>
        <w:t>•</w:t>
      </w:r>
      <w:r>
        <w:rPr>
          <w:szCs w:val="22"/>
          <w:lang w:val="en-GB"/>
        </w:rPr>
        <w:tab/>
        <w:t>The ability to send a page from a secure, voice network-accessible channel;</w:t>
      </w:r>
    </w:p>
    <w:p>
      <w:pPr>
        <w:pStyle w:val="Normal"/>
        <w:spacing w:before="0" w:after="0"/>
        <w:ind w:hanging="720" w:start="720" w:end="0"/>
        <w:jc w:val="both"/>
        <w:rPr>
          <w:szCs w:val="22"/>
          <w:lang w:val="en-GB"/>
        </w:rPr>
      </w:pPr>
      <w:r>
        <w:rPr>
          <w:szCs w:val="22"/>
          <w:lang w:val="en-GB"/>
        </w:rPr>
        <w:t>•</w:t>
      </w:r>
      <w:r>
        <w:rPr>
          <w:szCs w:val="22"/>
          <w:lang w:val="en-GB"/>
        </w:rPr>
        <w:tab/>
        <w:t>The capability to forward an SMS address to any other pager address in the system.</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Another service PST Supplier will provide is M2M (Machine to Machine or Machine to Man) and “email to SMS” that will provide EuroBank with:</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The ability to send pre-programmed messages to a group of specified Authorized Users;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Two-way paging with:</w:t>
      </w:r>
    </w:p>
    <w:p>
      <w:pPr>
        <w:pStyle w:val="Normal"/>
        <w:spacing w:before="0" w:after="0"/>
        <w:ind w:hanging="720" w:start="1440" w:end="0"/>
        <w:jc w:val="both"/>
        <w:rPr>
          <w:szCs w:val="22"/>
          <w:lang w:val="en-GB"/>
        </w:rPr>
      </w:pPr>
      <w:r>
        <w:rPr>
          <w:szCs w:val="22"/>
          <w:lang w:val="en-GB"/>
        </w:rPr>
        <w:t></w:t>
      </w:r>
    </w:p>
    <w:p>
      <w:pPr>
        <w:pStyle w:val="Normal"/>
        <w:spacing w:before="0" w:after="0"/>
        <w:ind w:hanging="720" w:start="1440" w:end="0"/>
        <w:jc w:val="both"/>
        <w:rPr>
          <w:szCs w:val="22"/>
          <w:lang w:val="en-GB"/>
        </w:rPr>
      </w:pPr>
      <w:r>
        <w:rPr>
          <w:szCs w:val="22"/>
          <w:lang w:val="en-GB"/>
        </w:rPr>
        <w:tab/>
        <w:t>Numeric and alphanumeric SMS devices,</w:t>
      </w:r>
    </w:p>
    <w:p>
      <w:pPr>
        <w:pStyle w:val="Normal"/>
        <w:spacing w:before="0" w:after="0"/>
        <w:ind w:hanging="720" w:start="1440" w:end="0"/>
        <w:jc w:val="both"/>
        <w:rPr>
          <w:szCs w:val="22"/>
          <w:lang w:val="en-GB"/>
        </w:rPr>
      </w:pPr>
      <w:r>
        <w:rPr>
          <w:szCs w:val="22"/>
          <w:lang w:val="en-GB"/>
        </w:rPr>
        <w:t></w:t>
      </w:r>
      <w:r>
        <w:rPr>
          <w:szCs w:val="22"/>
          <w:lang w:val="en-GB"/>
        </w:rPr>
        <w:tab/>
        <w:t>Two message indicator types for the SMS pagers which include audio alert and vibration alert modes,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The ability to define simulcast transmitter groups and service areas;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Optional SMS features for Authorized Users who require an additional level of security that will include:</w:t>
      </w:r>
    </w:p>
    <w:p>
      <w:pPr>
        <w:pStyle w:val="Normal"/>
        <w:spacing w:before="0" w:after="0"/>
        <w:ind w:hanging="720" w:start="720" w:end="0"/>
        <w:jc w:val="both"/>
        <w:rPr>
          <w:szCs w:val="22"/>
          <w:lang w:val="en-GB"/>
        </w:rPr>
      </w:pPr>
      <w:r>
        <w:rPr>
          <w:szCs w:val="22"/>
          <w:lang w:val="en-GB"/>
        </w:rPr>
        <w:t></w:t>
      </w:r>
    </w:p>
    <w:p>
      <w:pPr>
        <w:pStyle w:val="Normal"/>
        <w:spacing w:before="0" w:after="0"/>
        <w:ind w:hanging="720" w:start="1440" w:end="0"/>
        <w:jc w:val="both"/>
        <w:rPr>
          <w:szCs w:val="22"/>
          <w:lang w:val="en-GB"/>
        </w:rPr>
      </w:pPr>
      <w:r>
        <w:rPr>
          <w:szCs w:val="22"/>
          <w:lang w:val="en-GB"/>
        </w:rPr>
        <w:tab/>
        <w:t>Sending to specific groups as defined by EuroBank,</w:t>
      </w:r>
    </w:p>
    <w:p>
      <w:pPr>
        <w:pStyle w:val="Normal"/>
        <w:spacing w:before="0" w:after="0"/>
        <w:ind w:hanging="720" w:start="1440" w:end="0"/>
        <w:jc w:val="both"/>
        <w:rPr>
          <w:szCs w:val="22"/>
          <w:lang w:val="en-GB"/>
        </w:rPr>
      </w:pPr>
      <w:r>
        <w:rPr>
          <w:szCs w:val="22"/>
          <w:lang w:val="en-GB"/>
        </w:rPr>
        <w:t></w:t>
      </w:r>
      <w:r>
        <w:rPr>
          <w:szCs w:val="22"/>
          <w:lang w:val="en-GB"/>
        </w:rPr>
        <w:tab/>
        <w:t>Compliance with any regulatory controls,</w:t>
      </w:r>
    </w:p>
    <w:p>
      <w:pPr>
        <w:pStyle w:val="Normal"/>
        <w:spacing w:before="0" w:after="0"/>
        <w:ind w:hanging="720" w:start="1440" w:end="0"/>
        <w:jc w:val="both"/>
        <w:rPr>
          <w:szCs w:val="22"/>
          <w:lang w:val="en-GB"/>
        </w:rPr>
      </w:pPr>
      <w:r>
        <w:rPr>
          <w:szCs w:val="22"/>
          <w:lang w:val="en-GB"/>
        </w:rPr>
        <w:t></w:t>
      </w:r>
      <w:r>
        <w:rPr>
          <w:szCs w:val="22"/>
          <w:lang w:val="en-GB"/>
        </w:rPr>
        <w:tab/>
        <w:t>Availability for two way interactive pagers.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Customer Unit will be EuroBank’s single point of contact for these SMS services. Through DMS this SMS will be an integral part of the invoicing.</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 providing the following SMS features and options to be selected by the Authorized User with appropriate approvals from EuroBank:</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Nationwide and international SMS coverage.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The ability to send pre-programmed messages to a group of specified Authorized Users.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Two-way paging, which should include at a minimum: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Numeric and alphanumeric SMS devices.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Two types of messages, normal and urgent.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Two message indicator types for the SMS pagers, to include audio alert and vibration alert modes.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A message size of at least the standard number of characters (160), and multi message capability</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The capability to forward an SMS address to any other pager address in the system.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i)</w:t>
        <w:tab/>
        <w:t>The ability to send a page from a secure, voice network-accessible channel.</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j)</w:t>
        <w:tab/>
        <w:t>The ability to define simulcast transmitter groups and service areas.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k)</w:t>
        <w:tab/>
        <w:t>Optional SMS features for Authorized Users who require an additional level of security including:</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l)</w:t>
        <w:tab/>
        <w:t>Sending to specified groups defined by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m)</w:t>
        <w:tab/>
        <w:t>Compliance with any regulatory controls.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n)</w:t>
        <w:tab/>
        <w:t>Availability for two way interactive pagers.</w:t>
      </w:r>
    </w:p>
    <w:sectPr>
      <w:headerReference w:type="default" r:id="rId9"/>
      <w:headerReference w:type="first" r:id="rId10"/>
      <w:footerReference w:type="default" r:id="rId11"/>
      <w:footerReference w:type="first" r:id="rId12"/>
      <w:type w:val="nextPage"/>
      <w:pgSz w:w="11906" w:h="16838"/>
      <w:pgMar w:left="1729" w:right="1729" w:gutter="0" w:header="720" w:top="776" w:footer="720" w:bottom="109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sz w:val="16"/>
        <w:szCs w:val="16"/>
      </w:rPr>
    </w:pPr>
    <w:r>
      <w:rPr>
        <w:sz w:val="16"/>
        <w:szCs w:val="16"/>
      </w:rPr>
      <w:t>Ops&amp;IT Banking 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i</w:t>
    </w:r>
    <w:r>
      <w:rPr>
        <w:sz w:val="16"/>
        <w:szCs w:val="16"/>
      </w:rPr>
      <w:fldChar w:fldCharType="end"/>
    </w:r>
    <w:r>
      <w:rPr>
        <w:sz w:val="16"/>
        <w:szCs w:val="16"/>
      </w:rPr>
      <w:t xml:space="preserve"> -</w:t>
      <w:tab/>
      <w:t>30/11/2006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31</w:t>
    </w:r>
    <w:r>
      <w:rPr>
        <w:sz w:val="16"/>
        <w:szCs w:val="16"/>
      </w:rPr>
      <w:fldChar w:fldCharType="end"/>
    </w:r>
    <w:r>
      <w:rPr>
        <w:sz w:val="16"/>
        <w:szCs w:val="16"/>
      </w:rPr>
      <w:t xml:space="preserve"> -</w:t>
      <w:tab/>
      <w:t>30/11/2006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1"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2.4 (Managed Voice Services) Final v1.5.doc</w:t>
    </w:r>
    <w:r>
      <w:rPr>
        <w:sz w:val="16"/>
        <w:szCs w:val="16"/>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280" w:leader="none"/>
      </w:tabs>
      <w:spacing w:before="120" w:after="120"/>
      <w:rPr/>
    </w:pPr>
    <w:r>
      <w:rPr>
        <w:sz w:val="20"/>
      </w:rPr>
      <w:drawing>
        <wp:inline distT="0" distB="0" distL="0" distR="0">
          <wp:extent cx="965200" cy="284480"/>
          <wp:effectExtent l="0" t="0" r="0" b="0"/>
          <wp:docPr id="2"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r>
    <w:r>
      <w:rPr>
        <w:sz w:val="16"/>
        <w:szCs w:val="16"/>
      </w:rPr>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2.4 (Managed Voice Services) Final v1.5.doc</w:t>
    </w:r>
    <w:r>
      <w:rPr>
        <w:sz w:val="16"/>
        <w:szCs w:val="1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280" w:leader="none"/>
      </w:tabs>
      <w:spacing w:before="120" w:after="120"/>
      <w:rPr/>
    </w:pPr>
    <w:r>
      <w:rPr>
        <w:sz w:val="20"/>
      </w:rPr>
      <w:drawing>
        <wp:inline distT="0" distB="0" distL="0" distR="0">
          <wp:extent cx="965200" cy="284480"/>
          <wp:effectExtent l="0" t="0" r="0" b="0"/>
          <wp:docPr id="4"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r>
    <w:r>
      <w:rPr>
        <w:sz w:val="16"/>
        <w:szCs w:val="16"/>
      </w:rPr>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2.4 (Managed Voice Services) Final v1.5.doc</w:t>
    </w:r>
    <w:r>
      <w:rPr>
        <w:sz w:val="16"/>
        <w:szCs w:val="16"/>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Bold;Times New Roman" w:hAnsi="Times New Roman Bold;Times New Roman" w:cs="Times New Roman Bold;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1800"/>
        </w:tabs>
        <w:ind w:start="1800" w:hanging="360"/>
      </w:pPr>
      <w:rPr>
        <w:rFonts w:ascii="Symbol" w:hAnsi="Symbol" w:cs="Symbol" w:hint="default"/>
      </w:rPr>
    </w:lvl>
  </w:abstractNum>
  <w:abstractNum w:abstractNumId="4">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5">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6">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tabs>
        <w:tab w:val="clear" w:pos="720"/>
        <w:tab w:val="left" w:pos="360" w:leader="none"/>
      </w:tabs>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tabs>
        <w:tab w:val="clear" w:pos="720"/>
        <w:tab w:val="left" w:pos="360" w:leader="none"/>
      </w:tabs>
      <w:spacing w:before="240" w:after="60"/>
      <w:outlineLvl w:val="4"/>
    </w:pPr>
    <w:rPr>
      <w:b/>
      <w:bCs/>
      <w:i/>
      <w:iCs/>
      <w:sz w:val="26"/>
      <w:szCs w:val="26"/>
    </w:rPr>
  </w:style>
  <w:style w:type="paragraph" w:styleId="Heading6">
    <w:name w:val="heading 6"/>
    <w:basedOn w:val="Normal"/>
    <w:next w:val="Normal"/>
    <w:qFormat/>
    <w:pPr>
      <w:numPr>
        <w:ilvl w:val="5"/>
        <w:numId w:val="1"/>
      </w:numPr>
      <w:tabs>
        <w:tab w:val="clear" w:pos="720"/>
        <w:tab w:val="left" w:pos="360" w:leader="none"/>
      </w:tabs>
      <w:spacing w:before="240" w:after="60"/>
      <w:outlineLvl w:val="5"/>
    </w:pPr>
    <w:rPr>
      <w:b/>
      <w:bCs/>
      <w:szCs w:val="22"/>
    </w:rPr>
  </w:style>
  <w:style w:type="paragraph" w:styleId="Heading7">
    <w:name w:val="heading 7"/>
    <w:basedOn w:val="Normal"/>
    <w:next w:val="Normal"/>
    <w:qFormat/>
    <w:pPr>
      <w:numPr>
        <w:ilvl w:val="6"/>
        <w:numId w:val="1"/>
      </w:numPr>
      <w:tabs>
        <w:tab w:val="clear" w:pos="720"/>
        <w:tab w:val="left" w:pos="360" w:leader="none"/>
      </w:tabs>
      <w:spacing w:before="240" w:after="60"/>
      <w:outlineLvl w:val="6"/>
    </w:pPr>
    <w:rPr>
      <w:sz w:val="24"/>
    </w:rPr>
  </w:style>
  <w:style w:type="paragraph" w:styleId="Heading8">
    <w:name w:val="heading 8"/>
    <w:basedOn w:val="Normal"/>
    <w:next w:val="Normal"/>
    <w:qFormat/>
    <w:pPr>
      <w:numPr>
        <w:ilvl w:val="7"/>
        <w:numId w:val="1"/>
      </w:numPr>
      <w:tabs>
        <w:tab w:val="clear" w:pos="720"/>
        <w:tab w:val="left" w:pos="360" w:leader="none"/>
      </w:tabs>
      <w:spacing w:before="240" w:after="60"/>
      <w:outlineLvl w:val="7"/>
    </w:pPr>
    <w:rPr>
      <w:i/>
      <w:iCs/>
      <w:sz w:val="24"/>
    </w:rPr>
  </w:style>
  <w:style w:type="paragraph" w:styleId="Heading9">
    <w:name w:val="heading 9"/>
    <w:basedOn w:val="Normal"/>
    <w:next w:val="Normal"/>
    <w:qFormat/>
    <w:pPr>
      <w:numPr>
        <w:ilvl w:val="8"/>
        <w:numId w:val="1"/>
      </w:numPr>
      <w:tabs>
        <w:tab w:val="clear" w:pos="720"/>
        <w:tab w:val="left" w:pos="360" w:leader="none"/>
      </w:tabs>
      <w:spacing w:before="240" w:after="60"/>
      <w:outlineLvl w:val="8"/>
    </w:pPr>
    <w:rPr>
      <w:rFonts w:ascii="Arial" w:hAnsi="Arial" w:cs="Arial"/>
      <w:szCs w:val="22"/>
    </w:rPr>
  </w:style>
  <w:style w:type="character" w:styleId="WW8Num1z0">
    <w:name w:val="WW8Num1z0"/>
    <w:qFormat/>
    <w:rPr>
      <w:rFonts w:ascii="Times New Roman Bold;Times New Roman" w:hAnsi="Times New Roman Bold;Times New Roman" w:cs="Times New Roman Bold;Times New Roman"/>
      <w:b/>
      <w:i w:val="false"/>
      <w:sz w:val="22"/>
      <w:szCs w:val="22"/>
    </w:rPr>
  </w:style>
  <w:style w:type="character" w:styleId="WW8Num1z2">
    <w:name w:val="WW8Num1z2"/>
    <w:qFormat/>
    <w:rPr>
      <w:rFonts w:ascii="Times New Roman" w:hAnsi="Times New Roman" w:cs="Times New Roman"/>
      <w:b/>
      <w:i w:val="false"/>
      <w:sz w:val="24"/>
    </w:rPr>
  </w:style>
  <w:style w:type="character" w:styleId="WW8Num1z3">
    <w:name w:val="WW8Num1z3"/>
    <w:qFormat/>
    <w:rPr>
      <w:rFonts w:ascii="Times New Roman Bold;Times New Roman" w:hAnsi="Times New Roman Bold;Times New Roman" w:cs="Times New Roman Bold;Times New Roman"/>
      <w:b/>
      <w:i w:val="false"/>
      <w:sz w:val="24"/>
    </w:rPr>
  </w:style>
  <w:style w:type="character" w:styleId="WW8Num1z4">
    <w:name w:val="WW8Num1z4"/>
    <w:qFormat/>
    <w:rPr>
      <w:rFonts w:ascii="Times New Roman" w:hAnsi="Times New Roman" w:cs="Times New Roman"/>
      <w:b w:val="false"/>
      <w:i w:val="false"/>
      <w:sz w:val="22"/>
    </w:rPr>
  </w:style>
  <w:style w:type="character" w:styleId="WW8Num1z8">
    <w:name w:val="WW8Num1z8"/>
    <w:qFormat/>
    <w:rPr/>
  </w:style>
  <w:style w:type="character" w:styleId="WW8Num2z0">
    <w:name w:val="WW8Num2z0"/>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Times New Roman" w:hAnsi="Times New Roman" w:cs="Times New Roman"/>
      <w:b w:val="false"/>
      <w:i w:val="false"/>
      <w:color w:val="000000"/>
      <w:sz w:val="22"/>
    </w:rPr>
  </w:style>
  <w:style w:type="character" w:styleId="WW8Num4z1">
    <w:name w:val="WW8Num4z1"/>
    <w:qFormat/>
    <w:rPr>
      <w:rFonts w:ascii="Times New Roman" w:hAnsi="Times New Roman" w:cs="Times New Roman"/>
      <w:b w:val="false"/>
      <w:i w:val="false"/>
      <w:sz w:val="22"/>
    </w:rPr>
  </w:style>
  <w:style w:type="character" w:styleId="WW8Num4z4">
    <w:name w:val="WW8Num4z4"/>
    <w:qFormat/>
    <w:rPr/>
  </w:style>
  <w:style w:type="character" w:styleId="WW8Num5z0">
    <w:name w:val="WW8Num5z0"/>
    <w:qFormat/>
    <w:rPr>
      <w:rFonts w:ascii="Times New Roman" w:hAnsi="Times New Roman" w:cs="Times New Roman"/>
      <w:b w:val="false"/>
      <w:i w:val="false"/>
      <w:color w:val="000000"/>
      <w:sz w:val="22"/>
    </w:rPr>
  </w:style>
  <w:style w:type="character" w:styleId="WW8Num5z1">
    <w:name w:val="WW8Num5z1"/>
    <w:qFormat/>
    <w:rPr>
      <w:rFonts w:ascii="Times New Roman" w:hAnsi="Times New Roman" w:cs="Times New Roman"/>
      <w:b w:val="false"/>
      <w:i w:val="false"/>
      <w:sz w:val="22"/>
    </w:rPr>
  </w:style>
  <w:style w:type="character" w:styleId="WW8Num5z4">
    <w:name w:val="WW8Num5z4"/>
    <w:qFormat/>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CharChar">
    <w:name w:val=" Char Char"/>
    <w:basedOn w:val="DefaultParagraphFont"/>
    <w:qFormat/>
    <w:rPr>
      <w:rFonts w:ascii="Times New Roman Bold;Times New Roman" w:hAnsi="Times New Roman Bold;Times New Roman" w:cs="Arial"/>
      <w:b/>
      <w:iCs/>
      <w:kern w:val="2"/>
      <w:sz w:val="28"/>
      <w:szCs w:val="28"/>
      <w:lang w:val="en-US" w:bidi="ar-SA"/>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rPr>
      <w:b/>
      <w:sz w:val="24"/>
    </w:rPr>
  </w:style>
  <w:style w:type="paragraph" w:styleId="TOC2">
    <w:name w:val="toc 2"/>
    <w:basedOn w:val="Normal"/>
    <w:next w:val="Normal"/>
    <w:pPr>
      <w:ind w:hanging="0" w:start="220" w:end="0"/>
    </w:pPr>
    <w:rPr>
      <w:b/>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3"/>
      </w:numPr>
      <w:spacing w:before="240" w:after="240"/>
    </w:pPr>
    <w:rPr/>
  </w:style>
  <w:style w:type="paragraph" w:styleId="TableLevel1Numbered">
    <w:name w:val="Table Level 1 Numbered"/>
    <w:basedOn w:val="Normal"/>
    <w:qFormat/>
    <w:pPr/>
    <w:rPr>
      <w:bCs/>
    </w:rPr>
  </w:style>
  <w:style w:type="paragraph" w:styleId="Bullet1Table">
    <w:name w:val="Bullet 1 Table"/>
    <w:basedOn w:val="Normal"/>
    <w:qFormat/>
    <w:pPr>
      <w:numPr>
        <w:ilvl w:val="0"/>
        <w:numId w:val="6"/>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5"/>
      </w:numPr>
    </w:pPr>
    <w:rPr>
      <w:bCs/>
    </w:rPr>
  </w:style>
  <w:style w:type="paragraph" w:styleId="TableLevel3Numbered">
    <w:name w:val="Table Level 3 Numbered"/>
    <w:basedOn w:val="Normal"/>
    <w:qFormat/>
    <w:pPr>
      <w:numPr>
        <w:ilvl w:val="0"/>
        <w:numId w:val="5"/>
      </w:numPr>
    </w:pPr>
    <w:rPr/>
  </w:style>
  <w:style w:type="paragraph" w:styleId="TableLevel4Numbered">
    <w:name w:val="Table Level 4 Numbered"/>
    <w:basedOn w:val="Normal"/>
    <w:qFormat/>
    <w:pPr>
      <w:numPr>
        <w:ilvl w:val="0"/>
        <w:numId w:val="5"/>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4"/>
      </w:numPr>
      <w:spacing w:before="240" w:after="240"/>
    </w:pPr>
    <w:rPr/>
  </w:style>
  <w:style w:type="paragraph" w:styleId="BodyLevel2Numbered">
    <w:name w:val="Body Level 2 Numbered"/>
    <w:basedOn w:val="Normal"/>
    <w:qFormat/>
    <w:pPr>
      <w:numPr>
        <w:ilvl w:val="0"/>
        <w:numId w:val="4"/>
      </w:numPr>
      <w:spacing w:before="240" w:after="240"/>
    </w:pPr>
    <w:rPr/>
  </w:style>
  <w:style w:type="paragraph" w:styleId="BodyLevel3Numbered">
    <w:name w:val="Body Level 3 Numbered"/>
    <w:basedOn w:val="Normal"/>
    <w:qFormat/>
    <w:pPr>
      <w:numPr>
        <w:ilvl w:val="0"/>
        <w:numId w:val="4"/>
      </w:numPr>
      <w:spacing w:before="240" w:after="240"/>
    </w:pPr>
    <w:rPr/>
  </w:style>
  <w:style w:type="paragraph" w:styleId="BodyLevel4Numbered">
    <w:name w:val="Body Level 4 Numbered"/>
    <w:basedOn w:val="Normal"/>
    <w:qFormat/>
    <w:pPr>
      <w:numPr>
        <w:ilvl w:val="0"/>
        <w:numId w:val="4"/>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ullet1Level1">
    <w:name w:val="Bullet 1 Level 1"/>
    <w:basedOn w:val="Normal"/>
    <w:qFormat/>
    <w:pPr>
      <w:tabs>
        <w:tab w:val="clear" w:pos="720"/>
        <w:tab w:val="left" w:pos="1080" w:leader="none"/>
      </w:tabs>
      <w:ind w:hanging="360" w:start="1080" w:end="0"/>
    </w:pPr>
    <w:rPr/>
  </w:style>
  <w:style w:type="paragraph" w:styleId="Text2">
    <w:name w:val="Text 2"/>
    <w:basedOn w:val="Normal"/>
    <w:qFormat/>
    <w:pPr>
      <w:ind w:hanging="0" w:start="720" w:end="0"/>
    </w:pPr>
    <w:rPr>
      <w:szCs w:val="20"/>
    </w:rPr>
  </w:style>
  <w:style w:type="paragraph" w:styleId="BalloonText">
    <w:name w:val="Balloon Text"/>
    <w:basedOn w:val="Normal"/>
    <w:qFormat/>
    <w:pPr/>
    <w:rPr>
      <w:rFonts w:ascii="Tahoma" w:hAnsi="Tahoma" w:cs="Tahoma"/>
      <w:sz w:val="16"/>
      <w:szCs w:val="16"/>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2.wmf"/><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3</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2006-11-30T17:59:00Z</dcterms:created>
  <dc:creator> </dc:creator>
  <dc:description/>
  <cp:keywords/>
  <dc:language>en-US</dc:language>
  <cp:lastModifiedBy>Stuart Johnson</cp:lastModifiedBy>
  <cp:lastPrinted>2005-07-04T16:19:00Z</cp:lastPrinted>
  <dcterms:modified xsi:type="dcterms:W3CDTF">2006-11-30T18:01:00Z</dcterms:modified>
  <cp:revision>3</cp:revision>
  <dc:subject/>
  <dc:title> </dc:title>
</cp:coreProperties>
</file>