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20</w:t>
      </w:r>
    </w:p>
    <w:p>
      <w:pPr>
        <w:pStyle w:val="Title"/>
        <w:rPr>
          <w:lang w:val="en-GB"/>
        </w:rPr>
      </w:pPr>
      <w:r>
        <w:rPr>
          <w:lang w:val="en-GB"/>
        </w:rPr>
      </w:r>
    </w:p>
    <w:p>
      <w:pPr>
        <w:pStyle w:val="Title"/>
        <w:rPr>
          <w:lang w:val="en-GB"/>
        </w:rPr>
      </w:pPr>
      <w:r>
        <w:rPr>
          <w:lang w:val="en-GB"/>
        </w:rPr>
        <w:t>Termination Assistance</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\t "Heading 1 Numbered,1,Heading 2 Numbered,2"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INTRODUCTION</w:t>
          </w:r>
          <w:r>
            <w:rPr>
              <w:sz w:val="18"/>
              <w:szCs w:val="18"/>
              <w:lang w:val="en-US" w:eastAsia="en-US"/>
            </w:rPr>
            <w:tab/>
          </w:r>
          <w:hyperlink w:anchor="__RefHeading___Toc149120511">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2.</w:t>
          </w:r>
          <w:r>
            <w:rPr>
              <w:b w:val="false"/>
              <w:sz w:val="18"/>
              <w:szCs w:val="18"/>
              <w:lang w:val="en-US" w:eastAsia="en-US"/>
            </w:rPr>
            <w:tab/>
          </w:r>
          <w:r>
            <w:rPr>
              <w:bCs/>
              <w:sz w:val="18"/>
              <w:szCs w:val="18"/>
              <w:lang w:val="en-GB" w:eastAsia="en-US"/>
            </w:rPr>
            <w:t>GENERAL STRUCTURE OF THE TERMINATION ASSISTANCE</w:t>
          </w:r>
          <w:r>
            <w:rPr>
              <w:sz w:val="18"/>
              <w:szCs w:val="18"/>
              <w:lang w:val="en-US" w:eastAsia="en-US"/>
            </w:rPr>
            <w:tab/>
          </w:r>
          <w:hyperlink w:anchor="__RefHeading___Toc149120512">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3.</w:t>
          </w:r>
          <w:r>
            <w:rPr>
              <w:b w:val="false"/>
              <w:sz w:val="18"/>
              <w:szCs w:val="18"/>
              <w:lang w:val="en-US" w:eastAsia="en-US"/>
            </w:rPr>
            <w:tab/>
          </w:r>
          <w:r>
            <w:rPr>
              <w:bCs/>
              <w:sz w:val="18"/>
              <w:szCs w:val="18"/>
              <w:lang w:val="en-GB" w:eastAsia="en-US"/>
            </w:rPr>
            <w:t>OBJECTIVES OF THE EXIT PLAN</w:t>
          </w:r>
          <w:r>
            <w:rPr>
              <w:sz w:val="18"/>
              <w:szCs w:val="18"/>
              <w:lang w:val="en-US" w:eastAsia="en-US"/>
            </w:rPr>
            <w:tab/>
          </w:r>
          <w:hyperlink w:anchor="__RefHeading___Toc149120513">
            <w:r>
              <w:rPr>
                <w:rStyle w:val="IndexLink"/>
                <w:sz w:val="18"/>
                <w:szCs w:val="18"/>
                <w:lang w:val="en-US" w:eastAsia="en-US"/>
              </w:rPr>
              <w:t>2</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4.</w:t>
          </w:r>
          <w:r>
            <w:rPr>
              <w:b w:val="false"/>
              <w:sz w:val="18"/>
              <w:szCs w:val="18"/>
              <w:lang w:val="en-US" w:eastAsia="en-US"/>
            </w:rPr>
            <w:tab/>
          </w:r>
          <w:r>
            <w:rPr>
              <w:bCs/>
              <w:sz w:val="18"/>
              <w:szCs w:val="18"/>
              <w:lang w:val="en-GB" w:eastAsia="en-US"/>
            </w:rPr>
            <w:t>MINIMUM REQUIREMENTS OF EXIT PLAN</w:t>
          </w:r>
          <w:r>
            <w:rPr>
              <w:sz w:val="18"/>
              <w:szCs w:val="18"/>
              <w:lang w:val="en-US" w:eastAsia="en-US"/>
            </w:rPr>
            <w:tab/>
          </w:r>
          <w:hyperlink w:anchor="__RefHeading___Toc149120516">
            <w:r>
              <w:rPr>
                <w:rStyle w:val="IndexLink"/>
                <w:sz w:val="18"/>
                <w:szCs w:val="18"/>
                <w:lang w:val="en-US" w:eastAsia="en-US"/>
              </w:rPr>
              <w:t>2</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5.</w:t>
          </w:r>
          <w:r>
            <w:rPr>
              <w:b w:val="false"/>
              <w:sz w:val="18"/>
              <w:szCs w:val="18"/>
              <w:lang w:val="en-US" w:eastAsia="en-US"/>
            </w:rPr>
            <w:tab/>
          </w:r>
          <w:r>
            <w:rPr>
              <w:bCs/>
              <w:sz w:val="18"/>
              <w:szCs w:val="18"/>
              <w:lang w:val="en-GB" w:eastAsia="en-US"/>
            </w:rPr>
            <w:t>PROCESS FOR AGREEING THE EXIT PLAN</w:t>
          </w:r>
          <w:r>
            <w:rPr>
              <w:sz w:val="18"/>
              <w:szCs w:val="18"/>
              <w:lang w:val="en-US" w:eastAsia="en-US"/>
            </w:rPr>
            <w:tab/>
          </w:r>
          <w:hyperlink w:anchor="__RefHeading___Toc149120517">
            <w:r>
              <w:rPr>
                <w:rStyle w:val="IndexLink"/>
                <w:sz w:val="18"/>
                <w:szCs w:val="18"/>
                <w:lang w:val="en-US" w:eastAsia="en-US"/>
              </w:rPr>
              <w:t>4</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6.</w:t>
          </w:r>
          <w:r>
            <w:rPr>
              <w:b w:val="false"/>
              <w:sz w:val="18"/>
              <w:szCs w:val="18"/>
              <w:lang w:val="en-US" w:eastAsia="en-US"/>
            </w:rPr>
            <w:tab/>
          </w:r>
          <w:r>
            <w:rPr>
              <w:bCs/>
              <w:sz w:val="18"/>
              <w:szCs w:val="18"/>
              <w:lang w:val="en-GB" w:eastAsia="en-US"/>
            </w:rPr>
            <w:t>UPDATING THE EXIT PLAN</w:t>
          </w:r>
          <w:r>
            <w:rPr>
              <w:sz w:val="18"/>
              <w:szCs w:val="18"/>
              <w:lang w:val="en-US" w:eastAsia="en-US"/>
            </w:rPr>
            <w:tab/>
          </w:r>
          <w:hyperlink w:anchor="__RefHeading___Toc149120518">
            <w:r>
              <w:rPr>
                <w:rStyle w:val="IndexLink"/>
                <w:sz w:val="18"/>
                <w:szCs w:val="18"/>
                <w:lang w:val="en-US" w:eastAsia="en-US"/>
              </w:rPr>
              <w:t>4</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7.</w:t>
          </w:r>
          <w:r>
            <w:rPr>
              <w:b w:val="false"/>
              <w:sz w:val="18"/>
              <w:szCs w:val="18"/>
              <w:lang w:val="en-US" w:eastAsia="en-US"/>
            </w:rPr>
            <w:tab/>
          </w:r>
          <w:r>
            <w:rPr>
              <w:bCs/>
              <w:sz w:val="18"/>
              <w:szCs w:val="18"/>
              <w:lang w:val="en-GB" w:eastAsia="en-US"/>
            </w:rPr>
            <w:t>RE-TENDERING OF SERVICES</w:t>
          </w:r>
          <w:r>
            <w:rPr>
              <w:sz w:val="18"/>
              <w:szCs w:val="18"/>
              <w:lang w:val="en-US" w:eastAsia="en-US"/>
            </w:rPr>
            <w:tab/>
          </w:r>
          <w:hyperlink w:anchor="__RefHeading___Toc149120519">
            <w:r>
              <w:rPr>
                <w:rStyle w:val="IndexLink"/>
                <w:sz w:val="18"/>
                <w:szCs w:val="18"/>
                <w:lang w:val="en-US" w:eastAsia="en-US"/>
              </w:rPr>
              <w:t>5</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8.</w:t>
          </w:r>
          <w:r>
            <w:rPr>
              <w:b w:val="false"/>
              <w:sz w:val="18"/>
              <w:szCs w:val="18"/>
              <w:lang w:val="en-US" w:eastAsia="en-US"/>
            </w:rPr>
            <w:tab/>
          </w:r>
          <w:r>
            <w:rPr>
              <w:bCs/>
              <w:sz w:val="18"/>
              <w:szCs w:val="18"/>
              <w:lang w:val="en-GB" w:eastAsia="en-US"/>
            </w:rPr>
            <w:t>KNOWLEDGE TRANSFER</w:t>
          </w:r>
          <w:r>
            <w:rPr>
              <w:sz w:val="18"/>
              <w:szCs w:val="18"/>
              <w:lang w:val="en-US" w:eastAsia="en-US"/>
            </w:rPr>
            <w:tab/>
          </w:r>
          <w:hyperlink w:anchor="__RefHeading___Toc149120520">
            <w:r>
              <w:rPr>
                <w:rStyle w:val="IndexLink"/>
                <w:sz w:val="18"/>
                <w:szCs w:val="18"/>
                <w:lang w:val="en-US" w:eastAsia="en-US"/>
              </w:rPr>
              <w:t>5</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9.</w:t>
          </w:r>
          <w:r>
            <w:rPr>
              <w:b w:val="false"/>
              <w:sz w:val="18"/>
              <w:szCs w:val="18"/>
              <w:lang w:val="en-US" w:eastAsia="en-US"/>
            </w:rPr>
            <w:tab/>
          </w:r>
          <w:r>
            <w:rPr>
              <w:bCs/>
              <w:sz w:val="18"/>
              <w:szCs w:val="18"/>
              <w:lang w:val="en-GB" w:eastAsia="en-US"/>
            </w:rPr>
            <w:t>BUSINESS CONTINUITY DURING TRANSFER</w:t>
          </w:r>
          <w:r>
            <w:rPr>
              <w:sz w:val="18"/>
              <w:szCs w:val="18"/>
              <w:lang w:val="en-US" w:eastAsia="en-US"/>
            </w:rPr>
            <w:tab/>
          </w:r>
          <w:hyperlink w:anchor="__RefHeading___Toc149120521">
            <w:r>
              <w:rPr>
                <w:rStyle w:val="IndexLink"/>
                <w:sz w:val="18"/>
                <w:szCs w:val="18"/>
                <w:lang w:val="en-US" w:eastAsia="en-US"/>
              </w:rPr>
              <w:t>6</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10.</w:t>
          </w:r>
          <w:r>
            <w:rPr>
              <w:b w:val="false"/>
              <w:sz w:val="18"/>
              <w:szCs w:val="18"/>
              <w:lang w:val="en-US" w:eastAsia="en-US"/>
            </w:rPr>
            <w:tab/>
          </w:r>
          <w:r>
            <w:rPr>
              <w:bCs/>
              <w:sz w:val="18"/>
              <w:szCs w:val="18"/>
              <w:lang w:val="en-GB" w:eastAsia="en-US"/>
            </w:rPr>
            <w:t>HARDWARE AND OPTIONED HARDWARE</w:t>
          </w:r>
          <w:r>
            <w:rPr>
              <w:sz w:val="18"/>
              <w:szCs w:val="18"/>
              <w:lang w:val="en-US" w:eastAsia="en-US"/>
            </w:rPr>
            <w:tab/>
          </w:r>
          <w:hyperlink w:anchor="__RefHeading___Toc149120522">
            <w:r>
              <w:rPr>
                <w:rStyle w:val="IndexLink"/>
                <w:sz w:val="18"/>
                <w:szCs w:val="18"/>
                <w:lang w:val="en-US" w:eastAsia="en-US"/>
              </w:rPr>
              <w:t>6</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11.</w:t>
          </w:r>
          <w:r>
            <w:rPr>
              <w:b w:val="false"/>
              <w:sz w:val="18"/>
              <w:szCs w:val="18"/>
              <w:lang w:val="en-US" w:eastAsia="en-US"/>
            </w:rPr>
            <w:tab/>
          </w:r>
          <w:r>
            <w:rPr>
              <w:bCs/>
              <w:sz w:val="18"/>
              <w:szCs w:val="18"/>
              <w:lang w:val="en-GB" w:eastAsia="en-US"/>
            </w:rPr>
            <w:t>THIRD PARTY MATERIALS</w:t>
          </w:r>
          <w:r>
            <w:rPr>
              <w:sz w:val="18"/>
              <w:szCs w:val="18"/>
              <w:lang w:val="en-US" w:eastAsia="en-US"/>
            </w:rPr>
            <w:tab/>
          </w:r>
          <w:hyperlink w:anchor="__RefHeading___Toc149120523">
            <w:r>
              <w:rPr>
                <w:rStyle w:val="IndexLink"/>
                <w:sz w:val="18"/>
                <w:szCs w:val="18"/>
                <w:lang w:val="en-US" w:eastAsia="en-US"/>
              </w:rPr>
              <w:t>7</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12.</w:t>
          </w:r>
          <w:r>
            <w:rPr>
              <w:b w:val="false"/>
              <w:sz w:val="18"/>
              <w:szCs w:val="18"/>
              <w:lang w:val="en-US" w:eastAsia="en-US"/>
            </w:rPr>
            <w:tab/>
          </w:r>
          <w:r>
            <w:rPr>
              <w:bCs/>
              <w:sz w:val="18"/>
              <w:szCs w:val="18"/>
              <w:lang w:val="en-GB" w:eastAsia="en-US"/>
            </w:rPr>
            <w:t>THIRD PARTY CONTRACTS</w:t>
          </w:r>
          <w:r>
            <w:rPr>
              <w:sz w:val="18"/>
              <w:szCs w:val="18"/>
              <w:lang w:val="en-US" w:eastAsia="en-US"/>
            </w:rPr>
            <w:tab/>
          </w:r>
          <w:hyperlink w:anchor="__RefHeading___Toc149120524">
            <w:r>
              <w:rPr>
                <w:rStyle w:val="IndexLink"/>
                <w:sz w:val="18"/>
                <w:szCs w:val="18"/>
                <w:lang w:val="en-US" w:eastAsia="en-US"/>
              </w:rPr>
              <w:t>7</w:t>
            </w:r>
          </w:hyperlink>
        </w:p>
        <w:p>
          <w:pPr>
            <w:pStyle w:val="TOC1"/>
            <w:tabs>
              <w:tab w:val="clear" w:pos="720"/>
              <w:tab w:val="left" w:pos="660" w:leader="none"/>
              <w:tab w:val="right" w:pos="8441" w:leader="dot"/>
            </w:tabs>
            <w:rPr>
              <w:b w:val="false"/>
              <w:sz w:val="18"/>
              <w:szCs w:val="18"/>
              <w:lang w:val="en-US" w:eastAsia="en-US"/>
            </w:rPr>
          </w:pPr>
          <w:r>
            <w:rPr>
              <w:bCs/>
              <w:sz w:val="18"/>
              <w:szCs w:val="18"/>
              <w:lang w:val="en-GB" w:eastAsia="en-US"/>
            </w:rPr>
            <w:t>13.</w:t>
          </w:r>
          <w:r>
            <w:rPr>
              <w:b w:val="false"/>
              <w:sz w:val="18"/>
              <w:szCs w:val="18"/>
              <w:lang w:val="en-US" w:eastAsia="en-US"/>
            </w:rPr>
            <w:tab/>
          </w:r>
          <w:r>
            <w:rPr>
              <w:bCs/>
              <w:sz w:val="18"/>
              <w:szCs w:val="18"/>
              <w:lang w:val="en-GB" w:eastAsia="en-US"/>
            </w:rPr>
            <w:t>ING MATERIALS, DATA AND CONFIDENTIAL INFORMATION</w:t>
          </w:r>
          <w:r>
            <w:rPr>
              <w:sz w:val="18"/>
              <w:szCs w:val="18"/>
              <w:lang w:val="en-US" w:eastAsia="en-US"/>
            </w:rPr>
            <w:tab/>
          </w:r>
          <w:hyperlink w:anchor="__RefHeading___Toc149120525">
            <w:r>
              <w:rPr>
                <w:rStyle w:val="IndexLink"/>
                <w:sz w:val="18"/>
                <w:szCs w:val="18"/>
                <w:lang w:val="en-US" w:eastAsia="en-US"/>
              </w:rPr>
              <w:t>8</w:t>
            </w:r>
          </w:hyperlink>
        </w:p>
        <w:p>
          <w:pPr>
            <w:pStyle w:val="TOC1"/>
            <w:tabs>
              <w:tab w:val="clear" w:pos="720"/>
              <w:tab w:val="left" w:pos="660" w:leader="none"/>
              <w:tab w:val="right" w:pos="8441" w:leader="dot"/>
            </w:tabs>
            <w:rPr>
              <w:sz w:val="18"/>
              <w:szCs w:val="18"/>
              <w:lang w:val="en-US" w:eastAsia="en-US"/>
            </w:rPr>
          </w:pPr>
          <w:r>
            <w:rPr>
              <w:b w:val="false"/>
              <w:bCs/>
              <w:sz w:val="18"/>
              <w:szCs w:val="18"/>
              <w:lang w:val="en-GB" w:eastAsia="en-US"/>
            </w:rPr>
            <w:t>14.</w:t>
          </w:r>
          <w:r>
            <w:rPr>
              <w:b w:val="false"/>
              <w:sz w:val="18"/>
              <w:szCs w:val="18"/>
              <w:lang w:val="en-US" w:eastAsia="en-US"/>
            </w:rPr>
            <w:tab/>
          </w:r>
          <w:r>
            <w:rPr>
              <w:b w:val="false"/>
              <w:bCs/>
              <w:sz w:val="18"/>
              <w:szCs w:val="18"/>
              <w:lang w:val="en-GB" w:eastAsia="en-US"/>
            </w:rPr>
            <w:t>TERMINATION ASSISTANCE CHARGES</w:t>
          </w:r>
          <w:r>
            <w:rPr>
              <w:b w:val="false"/>
              <w:sz w:val="18"/>
              <w:szCs w:val="18"/>
              <w:lang w:val="en-US" w:eastAsia="en-US"/>
            </w:rPr>
            <w:tab/>
          </w:r>
          <w:hyperlink w:anchor="__RefHeading___Toc149120526">
            <w:r>
              <w:rPr>
                <w:rStyle w:val="IndexLink"/>
                <w:b w:val="false"/>
                <w:sz w:val="18"/>
                <w:szCs w:val="18"/>
                <w:lang w:val="en-US" w:eastAsia="en-US"/>
              </w:rPr>
              <w:t>8</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pStyle w:val="Normal"/>
        <w:rPr>
          <w:lang w:val="en-GB"/>
        </w:rPr>
      </w:pPr>
      <w:r>
        <w:rPr>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lang w:val="en-GB"/>
        </w:rPr>
      </w:pPr>
      <w:r>
        <w:rPr>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rPr>
          <w:sz w:val="22"/>
          <w:szCs w:val="22"/>
          <w:lang w:val="en-GB"/>
        </w:rPr>
      </w:pPr>
      <w:bookmarkStart w:id="0" w:name="__RefHeading___Toc149120511"/>
      <w:bookmarkEnd w:id="0"/>
      <w:r>
        <w:rPr>
          <w:sz w:val="22"/>
          <w:szCs w:val="22"/>
          <w:lang w:val="en-GB"/>
        </w:rPr>
        <w:t>INTRODUCTION</w:t>
      </w:r>
    </w:p>
    <w:p>
      <w:pPr>
        <w:pStyle w:val="Normal"/>
        <w:spacing w:before="0" w:after="0"/>
        <w:jc w:val="both"/>
        <w:rPr>
          <w:szCs w:val="22"/>
          <w:lang w:val="en-GB"/>
        </w:rPr>
      </w:pPr>
      <w:r>
        <w:rPr>
          <w:szCs w:val="22"/>
          <w:lang w:val="en-GB"/>
        </w:rPr>
        <w:t>1.1</w:t>
        <w:tab/>
        <w:t>This Exhibit describes the procedure for agreeing and implementing the Exit Plan in the event of the expiry or termination of this MSA (or in the event of the termination of any Services or any partial termination of this MSA). In this Exhibit, a reference to EuroBank includes any other person or persons nominated by EuroBank, including any Incoming PST Supplier appointed by EuroBank to replace the PST Supplier for the Removed Services.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1.2</w:t>
        <w:tab/>
        <w:t xml:space="preserve">The PST Supplier acknowledges that the uninterrupted transfer of the Removed Services to EuroBank or an Incoming PST Supplier is critical to EuroBank and its business.  </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 w:name="__RefHeading___Toc149120512"/>
      <w:bookmarkEnd w:id="1"/>
      <w:r>
        <w:rPr>
          <w:bCs/>
          <w:sz w:val="22"/>
          <w:lang w:val="en-GB"/>
        </w:rPr>
        <w:t>GENERAL STRUCTURE OF THE TERMINATION ASSISTANCE</w:t>
      </w:r>
    </w:p>
    <w:p>
      <w:pPr>
        <w:pStyle w:val="Normal"/>
        <w:spacing w:before="0" w:after="0"/>
        <w:jc w:val="both"/>
        <w:rPr>
          <w:szCs w:val="22"/>
          <w:lang w:val="en-GB"/>
        </w:rPr>
      </w:pPr>
      <w:r>
        <w:rPr>
          <w:szCs w:val="22"/>
          <w:lang w:val="en-GB"/>
        </w:rPr>
        <w:t>2.1</w:t>
        <w:tab/>
        <w:t xml:space="preserve">The overall timeline of the transition of the Removed Services to EuroBank or an Incoming PST Supplier shall consist of the following three key dates: </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 xml:space="preserve">the effective date of termination or expiry of this MSA (or the effective date of any partial termination or cessation of the Removed Services) (the </w:t>
      </w:r>
      <w:r>
        <w:rPr>
          <w:b/>
          <w:i/>
          <w:szCs w:val="22"/>
          <w:lang w:val="en-GB"/>
        </w:rPr>
        <w:t>Termination Assistance Start Date</w:t>
      </w:r>
      <w:r>
        <w:rPr>
          <w:szCs w:val="22"/>
          <w:lang w:val="en-GB"/>
        </w:rPr>
        <w: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 xml:space="preserve">the date upon which the Removed Services will cease to be delivered “as usual” in accordance with the terms of this MSA, including the Service Levels, and on which date the transition of the Removed Services to EuroBank or an Incoming PST Supplier shall commence in accordance with the Exit Plan (the Exit Start Date), and </w:t>
      </w:r>
      <w:r>
        <w:rPr>
          <w:b/>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 xml:space="preserve">the completion date of the Exit Plan, defining the end of the exit project (the </w:t>
      </w:r>
      <w:r>
        <w:rPr>
          <w:b/>
          <w:i/>
          <w:szCs w:val="22"/>
          <w:lang w:val="en-GB"/>
        </w:rPr>
        <w:t>Exit Completion Date</w:t>
      </w:r>
      <w:r>
        <w:rPr>
          <w:szCs w:val="22"/>
          <w:lang w:val="en-GB"/>
        </w:rPr>
        <w:t xml:space="preserve">).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2.2</w:t>
        <w:tab/>
        <w:t xml:space="preserve">The period between the Exit Start Date and the Exit Completion Date is the </w:t>
      </w:r>
      <w:r>
        <w:rPr>
          <w:b/>
          <w:i/>
          <w:szCs w:val="22"/>
          <w:lang w:val="en-GB"/>
        </w:rPr>
        <w:t>Exit Period</w:t>
      </w:r>
      <w:r>
        <w:rPr>
          <w:szCs w:val="22"/>
          <w:lang w:val="en-GB"/>
        </w:rPr>
        <w:t xml:space="preserve">.  The performance of the Removed Services after the Exit Start Date and the performance (both before and after the Exit Start Date) of the Exit Plan and the other obligations of the PST Supplier under this Exhibit shall comprise the </w:t>
      </w:r>
      <w:r>
        <w:rPr>
          <w:b/>
          <w:i/>
          <w:szCs w:val="22"/>
          <w:lang w:val="en-GB"/>
        </w:rPr>
        <w:t>Termination Assistance Services</w:t>
      </w:r>
      <w:r>
        <w:rPr>
          <w:szCs w:val="22"/>
          <w:lang w:val="en-GB"/>
        </w:rPr>
        <w: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2.3</w:t>
        <w:tab/>
        <w:t>The parties agree the following principles in relation to the Termination Assistance Services:</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the PST Supplier shall perform the Removed Services “as usual” in accordance with the terms of this MSA, including the Service Levels, for a period of up to  6 months from the Termination Assistance Start Date, which period shall be specified by EuroBank by written notice given: (i) no later than 3 months before the Exit Start Date in the event of the expiry of this MSA or its termination pursuant to clause 16.3, and (ii) no later than 1 month prior to the Exit Start Date in any other event of termination (the end of the period of “as usual” service delivery being the Exit Start Date);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EuroBank shall pay the Base Charge (or a fair and equitable portion of the Base Charge where the Removed Services are not all of the Services) for the Removed Services in accordance with this MSA until the Exit Start Date;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 delay in the transition of the Removed Services from the PST Supplier to EuroBank or an Incoming PST Supplier that has been approved by the PST Supplier in writing (such approval not to be unreasonably withheld or delayed) will automatically lead to a postponement of the Exit Start Date and the Exit Completion Date;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the PST Supplier shall continue to deliver Services which are not Removed Services “as usual” in accordance with the provisions of this MSA, including the Service Levels.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2.4</w:t>
        <w:tab/>
        <w:t>The parties agree that responsibility to deliver the Removed Services shall transfer from the PST Supplier to EuroBank or the Incoming PST Supplier from the Exit Start Date. EuroBank shall not be liable for any Charges other than the Termination Assistance Charges for the Removed Services as of the Exit Start Date.  For the avoidance of doubt, notwithstanding the transfer of responsibility for the Removed Services from the PST Supplier on the Exit Start Date, the PST Supplier shall remain responsible for its tasks and activities under the Exit Plan (including any support and assistance in relation to the delivery of the Removed Services) in accordance with this Exhibit.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2.5</w:t>
        <w:tab/>
        <w:t>This Exhibit does not limit the PST Supplier’s obligation during the Term to maintain and keep accurate: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a register of:</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Assets, detailing their ownership, and whether they are used on a dedicated or shared basis, and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Transferred Contracts,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in each case required for the performance of the Services;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the relevant parts of the CMDB applicable to the Removed Services  detailing the infrastructure through which the PST Supplier provides the Services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(collectively, the </w:t>
      </w:r>
      <w:r>
        <w:rPr>
          <w:b/>
          <w:i/>
          <w:szCs w:val="22"/>
          <w:lang w:val="en-GB"/>
        </w:rPr>
        <w:t>Registers</w:t>
      </w:r>
      <w:r>
        <w:rPr>
          <w:szCs w:val="22"/>
          <w:lang w:val="en-GB"/>
        </w:rPr>
        <w:t xml:space="preserve">). </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2" w:name="__RefHeading___Toc149120513"/>
      <w:bookmarkEnd w:id="2"/>
      <w:r>
        <w:rPr>
          <w:bCs/>
          <w:sz w:val="22"/>
          <w:lang w:val="en-GB"/>
        </w:rPr>
        <w:t>OBJECTIVES OF THE EXIT PLAN</w:t>
      </w:r>
    </w:p>
    <w:p>
      <w:pPr>
        <w:pStyle w:val="Normal"/>
        <w:spacing w:before="0" w:after="0"/>
        <w:jc w:val="both"/>
        <w:rPr>
          <w:szCs w:val="22"/>
          <w:lang w:val="en-GB"/>
        </w:rPr>
      </w:pPr>
      <w:r>
        <w:rPr>
          <w:szCs w:val="22"/>
          <w:lang w:val="en-GB"/>
        </w:rPr>
        <w:t>The purpose of the Exit Plan is to:</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enable the PST Supplier to cease supplying the Removed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minimize any disruption or deterioration of the Removed Services or failure to achieve the Service Levels relating to the Removed Services during the Exit Period;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detail the Termination Assistance Services to enable a successful transfer to an Incoming PST Supplier, or to enable a transfer back in-house to EuroBank with no disruption to Removed Service delivery quality or to EuroBank’s or any EuroBank Group members’ business.</w:t>
      </w:r>
    </w:p>
    <w:p>
      <w:pPr>
        <w:pStyle w:val="Normal"/>
        <w:spacing w:before="0" w:after="0"/>
        <w:ind w:start="720" w:end="0"/>
        <w:jc w:val="both"/>
        <w:rPr>
          <w:szCs w:val="22"/>
          <w:lang w:val="en-GB"/>
        </w:rPr>
      </w:pPr>
      <w:r>
        <w:rPr>
          <w:szCs w:val="22"/>
          <w:lang w:val="en-GB"/>
        </w:rPr>
      </w:r>
    </w:p>
    <w:p>
      <w:pPr>
        <w:pStyle w:val="Heading1Numbered"/>
        <w:numPr>
          <w:ilvl w:val="0"/>
          <w:numId w:val="2"/>
        </w:numPr>
        <w:ind w:hanging="0" w:start="0"/>
        <w:rPr>
          <w:bCs/>
          <w:sz w:val="22"/>
          <w:lang w:val="en-GB"/>
        </w:rPr>
      </w:pPr>
      <w:bookmarkStart w:id="3" w:name="__RefHeading___Toc149120516"/>
      <w:bookmarkEnd w:id="3"/>
      <w:r>
        <w:rPr>
          <w:bCs/>
          <w:sz w:val="22"/>
          <w:lang w:val="en-GB"/>
        </w:rPr>
        <w:t>MINIMUM REQUIREMENTS OF EXIT PLAN</w:t>
      </w:r>
    </w:p>
    <w:p>
      <w:pPr>
        <w:pStyle w:val="Normal"/>
        <w:spacing w:before="0" w:after="0"/>
        <w:jc w:val="both"/>
        <w:rPr>
          <w:szCs w:val="22"/>
          <w:lang w:val="en-GB"/>
        </w:rPr>
      </w:pPr>
      <w:r>
        <w:rPr>
          <w:szCs w:val="22"/>
          <w:lang w:val="en-GB"/>
        </w:rPr>
        <w:t>4.1</w:t>
        <w:tab/>
        <w:t>The Exit Plan shall, as a minimum:</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detail how the Removed Services will transfer to EuroBank or the Incoming PST Supplier, including processes, deliverables, documentation, data transfer, systems migration, security and the segregation of EuroBank’s technology components from any technology components run by the PST Supplier or its Sub-Contractors (where applicable);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detail the scope of the Termination Assistance Services, and the manner in which they will be provided during the Exit Period;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provide a timetable, process and specify critical controls for conducting the Termination Assistance Services, including all transfer and cessation processes;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(d)</w:t>
        <w:tab/>
        <w:t>set out the to-be-agreed Deliverables for the provision of the Termination Assistance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 xml:space="preserve">without limiting paragraph (b), detail how knowledge transfer in accordance with paragraph 8 will take place;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without limiting paragraph (b), describe how the PST Supplier will enable service continuity until the Exit Start Date, including a description of potential risks and a contingency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describe how the Optioned Hardware referred to in paragraph 10 will be transferred to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include the details referred to in paragraph 7.2;</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describe how the interface information and other technical details referred to in paragraph 11.2 and the PST Supplier Materials and Third Party Materials referred to in clause 10 will be made available to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describe how EuroBank Confidential Information in the possession or control of the PST Supplier and/or Sub-Contractors will be returned or destroyed in accordance with paragraph 13;</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(k)</w:t>
        <w:tab/>
        <w:t xml:space="preserve">require each party to appoint an exit manager (each, an </w:t>
      </w:r>
      <w:r>
        <w:rPr>
          <w:b/>
          <w:i/>
          <w:szCs w:val="22"/>
          <w:lang w:val="en-GB"/>
        </w:rPr>
        <w:t>Exit Manager</w:t>
      </w:r>
      <w:r>
        <w:rPr>
          <w:szCs w:val="22"/>
          <w:lang w:val="en-GB"/>
        </w:rPr>
        <w:t>), who will be responsible for ensuring that each party’s employees, agents and Sub Contractors comply with this Exhibit and the Exit Plan, and for liaising with the other party on the implementation of the Exit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provide details of the PST Supplier Personnel and other resources who will provide the Termination Assistance Services, including the management structure the PST Supplier proposes to follow;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(m)</w:t>
        <w:tab/>
        <w:t>otherwise be consistent with and address the issues referred to in this Exhibit.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4.2</w:t>
        <w:tab/>
        <w:t>The Termination Assistance Services shall, as a minimum, include the following:</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services required for the transition-back of the Removed Services to EuroBank or an Incoming PST Supplier, minimizing interruption of the Removed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the dedication of sufficient time and resources of each party, including the Incoming PST Supplier to ensure an adequate transfer of the Removed Services to EuroBank or an Incoming PST Supplier;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the provision of knowledge transfer services in accordance with paragraph 8;</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the provision of support and assistance reasonably required by EuroBank to interpret the EuroBank Data and assume responsibility for management and processing of the EuroBank Data, in accordance with paragraph 13;</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 xml:space="preserve">documenting and delivering the existing systems support profiles, monitoring or system logs, problem tracking/resolution documentation and status reports and any other items noted for documentation and delivery as defined in the Exit Plan; and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for work likely to be in progress as at the Exit Start Date, steps required to document the current status, stabilise for continuity during the Exit Period, and provide such reasonable training to achieve transfer of responsibility with minimized loss of momentum or adverse impact on project timetables.</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4" w:name="__RefHeading___Toc149120517"/>
      <w:bookmarkEnd w:id="4"/>
      <w:r>
        <w:rPr>
          <w:bCs/>
          <w:sz w:val="22"/>
          <w:lang w:val="en-GB"/>
        </w:rPr>
        <w:t>PROCESS FOR AGREEING THE EXIT PLAN</w:t>
      </w:r>
    </w:p>
    <w:p>
      <w:pPr>
        <w:pStyle w:val="Normal"/>
        <w:spacing w:before="0" w:after="0"/>
        <w:jc w:val="both"/>
        <w:rPr>
          <w:szCs w:val="22"/>
          <w:lang w:val="en-GB"/>
        </w:rPr>
      </w:pPr>
      <w:r>
        <w:rPr>
          <w:szCs w:val="22"/>
          <w:lang w:val="en-GB"/>
        </w:rPr>
        <w:t>5.1</w:t>
        <w:tab/>
        <w:t xml:space="preserve">The PST Supplier shall have overall responsibility for producing, maintaining and updating the Exit Plan during the Term in accordance with this Exhibit.  EuroBank shall, and shall procure, where relevant, that the Incoming PST Supplier shall provide such assistance as set out in the Exit Plan.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5.2</w:t>
        <w:tab/>
        <w:t>The PST Supplier shall submit a draft Exit Plan to EuroBank no later than 60 days following the date planned for the completion of Transition and Transformation specified in the Transition and Transformation Plan.  EuroBank shall within 30 days review the draft Exit Plan submitted by the PST Supplier in order to confirm whether or not the draft Exit Plan meets the requirements in this Exhibit, and shall either:</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notify the PST Supplier in writing that it has approved the draft Exit Plan; or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notify the PST Supplier in writing that it has not approved the draft Exit Plan, detailing which agreed requirements are not met, in which case: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 xml:space="preserve">the PST Supplier shall, within the timeframe agreed between EuroBank and the PST Supplier and at the PST Supplier’s cost, amend the draft Exit Plan and resubmit it to EuroBank; and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the provisions of this paragraph 5.2 shall again apply to the resubmitted draft (and any further redrafts).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5.3</w:t>
        <w:tab/>
        <w:t>If the parties cannot agree the Exit Plan within 60 days of the PST Supplier first submitting the Exit Plan pursuant to paragraph 5.2, then the parties shall follow the Dispute Escalation Procedure and the Dispute Resolution Procedure.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5.4</w:t>
        <w:tab/>
        <w:t>The parties intend that the Exit Plan agreed and updated in accordance with this Exhibit shall leave the actual milestone dates in the plan to be agreed by no later than 1 month prior to the Termination Assistance Start Date.  All other details of the Exit Plan shall be agreed and updated in accordance with paragraphs 5 and 6 of this Exhibit.</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5" w:name="__RefHeading___Toc149120518"/>
      <w:bookmarkEnd w:id="5"/>
      <w:r>
        <w:rPr>
          <w:bCs/>
          <w:sz w:val="22"/>
          <w:lang w:val="en-GB"/>
        </w:rPr>
        <w:t>UPDATING THE EXIT PLAN</w:t>
      </w:r>
    </w:p>
    <w:p>
      <w:pPr>
        <w:pStyle w:val="Normal"/>
        <w:spacing w:before="0" w:after="0"/>
        <w:jc w:val="both"/>
        <w:rPr>
          <w:szCs w:val="22"/>
          <w:lang w:val="en-GB"/>
        </w:rPr>
      </w:pPr>
      <w:r>
        <w:rPr>
          <w:szCs w:val="22"/>
          <w:lang w:val="en-GB"/>
        </w:rPr>
        <w:t>6.1</w:t>
        <w:tab/>
        <w:t>The PST Supplier shall be responsible for maintaining and updating annually (or more frequently at EuroBank’s reasonable request in the event of any significant change to the Services, this MSA, the SWS Function or other significant change in circumstances) the Exit Plan during the Term to ensure that the Exit Plan:</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accurately reflects the prevailing practical circumstances in relation to the provision of the Services;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contains all relevant information to enable the objectives referred to in paragraph 3 to be achieved.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6.2</w:t>
        <w:tab/>
        <w:t>The latest version of the Exit Plan, agreed by the parties in writing, shall be the binding version.</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6" w:name="__RefHeading___Toc149120519"/>
      <w:bookmarkEnd w:id="6"/>
      <w:r>
        <w:rPr>
          <w:bCs/>
          <w:sz w:val="22"/>
          <w:lang w:val="en-GB"/>
        </w:rPr>
        <w:t>RE-TENDERING OF SERVICES</w:t>
      </w:r>
    </w:p>
    <w:p>
      <w:pPr>
        <w:pStyle w:val="Normal"/>
        <w:spacing w:before="0" w:after="0"/>
        <w:jc w:val="both"/>
        <w:rPr>
          <w:szCs w:val="22"/>
          <w:lang w:val="en-GB"/>
        </w:rPr>
      </w:pPr>
      <w:r>
        <w:rPr>
          <w:szCs w:val="22"/>
          <w:lang w:val="en-GB"/>
        </w:rPr>
        <w:t>7.1</w:t>
        <w:tab/>
        <w:t>As part of the Termination Assistance Services, the PST Supplier shall diligently and in good faith assist and co-operate with EuroBank in any retendering process conducted for the provision of the Removed Services by providing and updating the information specified in the next paragraph. EuroBank shall require prospective Incoming PST Suppliers to enter into appropriate confidentiality undertakings.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7.2</w:t>
        <w:tab/>
        <w:t>To give effect to paragraph 7.1, the Exit Plan shall include such operational information relevant to enable successful transfer of the Removed Services including such information with respect to:</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Base Charge models, processes and procedures and performance histories;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 xml:space="preserve">the Registers, including current book values and details on contracts with third party contractors related to these assets if entered into exclusively for EuroBank and subject to applicable confidentiality obligations;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actual Service Levels and information on historical performance for each Removed Service component, over the preceding 12 months;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other EuroBank-specific information as is reasonably necessary to enable EuroBank to draft a request for proposal(s) for the provision of the Removed Services or for its designee to conduct due diligence relating to the whole or a portion of the Removed Services.</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7" w:name="__RefHeading___Toc149120520"/>
      <w:bookmarkEnd w:id="7"/>
      <w:r>
        <w:rPr>
          <w:bCs/>
          <w:sz w:val="22"/>
          <w:lang w:val="en-GB"/>
        </w:rPr>
        <w:t>KNOWLEDGE TRANSFER</w:t>
      </w:r>
    </w:p>
    <w:p>
      <w:pPr>
        <w:pStyle w:val="Normal"/>
        <w:spacing w:before="0" w:after="0"/>
        <w:jc w:val="both"/>
        <w:rPr>
          <w:szCs w:val="22"/>
          <w:lang w:val="en-GB"/>
        </w:rPr>
      </w:pPr>
      <w:r>
        <w:rPr>
          <w:szCs w:val="22"/>
          <w:lang w:val="en-GB"/>
        </w:rPr>
        <w:t>8.1</w:t>
        <w:tab/>
        <w:t>As part of the Termination Assistance Services, the PST Supplier shall:</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provide for transfer of knowledge reasonably required for the provision of the Removed Services, including documents on IT architecture and systems interfaces and architectural design;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provide and explain to EuroBank and/or the Incoming PST Supplier all EuroBank-specific (but not PST Supplier-confidential or internal) policies, processes, standards and procedures and related operations necessary to facilitate the Removed Services and their transfer to EuroBank or the Incoming PST Supplier;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provide information and training to personnel of EuroBank and/or an Incoming PST Supplier to enable EuroBank and the Incoming PST Supplier to provide services similar to the Removed Services without disruption and in accordance with service levels similar to the Service Levels;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allow EuroBank and any (actual or prospective) Incoming PST Supplier(s) reasonable access to the Sites and the PST Supplier Personnel during normal business days and hours (in the context of the relevant Statement of Work), where necessary to effectively execute the agreed knowledge transfer.</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8.2</w:t>
        <w:tab/>
        <w:t>The information which the PST Supplier shall provide to EuroBank and/or the Incoming PST Supplier to give to effect to the obligations in paragraph 8.1 (subject to the limitations set out in that sub-paragraph) includes:</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copies of procedures and operations manuals, and product information;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copies of the OLAs;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Transferred Contracts, including support contact details;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information regarding Services and associated unresolved faults in progress at the commencement of the Exit Period, as well as those expected to be in progress at the Exit Start Date;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 xml:space="preserve">information on job profiles of personnel used by the PST Supplier who are material to providing the Removed Services;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details of physical and logical security processes and tools which shall be available to EuroBank;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necessary interface information.</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8" w:name="__RefHeading___Toc149120521"/>
      <w:bookmarkEnd w:id="8"/>
      <w:r>
        <w:rPr>
          <w:bCs/>
          <w:sz w:val="22"/>
          <w:lang w:val="en-GB"/>
        </w:rPr>
        <w:t>BUSINESS CONTINUITY DURING TRANSFER</w:t>
      </w:r>
    </w:p>
    <w:p>
      <w:pPr>
        <w:pStyle w:val="Normal"/>
        <w:spacing w:before="0" w:after="0"/>
        <w:jc w:val="both"/>
        <w:rPr>
          <w:szCs w:val="22"/>
          <w:lang w:val="en-GB"/>
        </w:rPr>
      </w:pPr>
      <w:r>
        <w:rPr>
          <w:szCs w:val="22"/>
          <w:lang w:val="en-GB"/>
        </w:rPr>
        <w:t>As part of the Termination Assistance Services, the PST Supplier shall provide assistance to support EuroBank’s requirements for business continuity during the Exit Period, including:</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updating and supplying documentation used by the PST Supplier to provide business continuity services, testing procedures and frequencies, redundancy diagrams and plans;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training and informing EuroBank of then-current policies and procedures with regard to backup and business continuity;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arranging for additional overlapping coverage or support through the Exit Period to prevent disruption in the event of an outage during that period;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as requested by EuroBank, participating in business continuity testing until 30 days after the Exit Period or until a successful test has been completed whichever date is earlier.</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9" w:name="__RefHeading___Toc149120522"/>
      <w:bookmarkEnd w:id="9"/>
      <w:r>
        <w:rPr>
          <w:bCs/>
          <w:sz w:val="22"/>
          <w:lang w:val="en-GB"/>
        </w:rPr>
        <w:t>HARDWARE AND OPTIONED HARDWARE</w:t>
      </w:r>
    </w:p>
    <w:p>
      <w:pPr>
        <w:pStyle w:val="Normal"/>
        <w:spacing w:before="0" w:after="0"/>
        <w:jc w:val="both"/>
        <w:rPr/>
      </w:pPr>
      <w:r>
        <w:rPr>
          <w:szCs w:val="22"/>
          <w:lang w:val="en-GB"/>
        </w:rPr>
        <w:t>10.1</w:t>
        <w:tab/>
        <w:t>If this MSA or any of the Services are terminated or expire, EuroBank shall have the option to obtain all Equipment exclusively used by the PST Supplier to perform the Removed Services (the Optioned Hardware) at their then-current net book value.</w:t>
      </w:r>
      <w:r>
        <w:rPr>
          <w:b/>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10.2</w:t>
        <w:tab/>
        <w:t>If EuroBank is liable to pay Termination Compensation under Exhibit 4 (Pricing and Financial Provisions), then the PST Supplier shall use its best endeavours:</w:t>
      </w:r>
      <w:r>
        <w:rPr>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to redeploy any Optioned Hardware (and related Software) that EuroBank chooses not to buy, and any other Equipment used in the provision of the Services;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if the PST Supplier cannot redeploy the Optioned Hardware, and to the extent that EuroBank does not exercise its option in paragraph 10.1 above, to sell that Equipment at the highest offer made for it, and adjust the PST Supplier’s book value of that Equipment accordingly.</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10.3</w:t>
        <w:tab/>
        <w:t>If requested by EuroBank, the PST Supplier shall use its best endeavours to assign to EuroBank or an Incoming PST Supplier any lease from a third party that the PST Supplier has for Equipment used exclusively to perform the Removed Services, or exercise its option to purchase such Equipment under the hardware lease and sell the Equipment to EuroBank at the option exercise price. The PST Supplier shall:</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use best endeavours to obtain any third party consents,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prepare and execute any bills of sale or assignments,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do all other things needed to transfer the ownership, or assign the lease, of the Equipment as directed by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10.4</w:t>
        <w:tab/>
        <w:t>As directed by EuroBank, the PST Supplier shall arrange for the removal, delivery and installation of any EuroBank equipment or any other property owned or leased used to provide the Removed Services by EuroBank or any member of the EuroBank Group, which is in the PST Supplier’s possession or control.</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0" w:name="__RefHeading___Toc149120523"/>
      <w:bookmarkEnd w:id="10"/>
      <w:r>
        <w:rPr>
          <w:bCs/>
          <w:sz w:val="22"/>
          <w:lang w:val="en-GB"/>
        </w:rPr>
        <w:t>THIRD PARTY MATERIALS</w:t>
      </w:r>
    </w:p>
    <w:p>
      <w:pPr>
        <w:pStyle w:val="Normal"/>
        <w:spacing w:before="0" w:after="0"/>
        <w:jc w:val="both"/>
        <w:rPr>
          <w:szCs w:val="22"/>
          <w:lang w:val="en-GB"/>
        </w:rPr>
      </w:pPr>
      <w:r>
        <w:rPr>
          <w:szCs w:val="22"/>
          <w:lang w:val="en-GB"/>
        </w:rPr>
        <w:t>11.1</w:t>
        <w:tab/>
        <w:t>The PST Supplier shall obtain EuroBank’s prior written consent to licensing and maintenance fees and other material licence terms before entering into any licences for Third Party Materials used by the Supplier exclusively to provide the Removed Services during the Exit Period.  The PST Supplier shall not terminate or fail to renew any licences for any such Third Party Materials during the Exit Period without EuroBank’s prior written consent, provided that EuroBank shall compensate the Supplier for all related additional costs with respect to contracts EuroBank requires to be extended beyond the Exit Completion Date of the Removed Service.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11.2</w:t>
        <w:tab/>
        <w:t>The PST Supplier shall provide EuroBank with appropriate interface information and other technical details reasonably required to enable EuroBank to use, develop or replace any Software used in the Removed Services that is not commercially available.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11.3</w:t>
        <w:tab/>
        <w:t>All licences, leases and authorisations granted by or on behalf of EuroBank to the PST Supplier and its Sub-Contractors shall be terminated effective from the termination or expiry date of the MSA (or with partial effect in the event of any partial termination of the MSA or partial cessation of any Services), unless the parties explicitly agree otherwise in writing.</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1" w:name="__RefHeading___Toc149120524"/>
      <w:bookmarkEnd w:id="11"/>
      <w:r>
        <w:rPr>
          <w:bCs/>
          <w:sz w:val="22"/>
          <w:lang w:val="en-GB"/>
        </w:rPr>
        <w:t>THIRD PARTY CONTRACTS</w:t>
      </w:r>
    </w:p>
    <w:p>
      <w:pPr>
        <w:pStyle w:val="Normal"/>
        <w:spacing w:before="0" w:after="0"/>
        <w:jc w:val="both"/>
        <w:rPr>
          <w:szCs w:val="22"/>
          <w:lang w:val="en-GB"/>
        </w:rPr>
      </w:pPr>
      <w:r>
        <w:rPr>
          <w:szCs w:val="22"/>
          <w:lang w:val="en-GB"/>
        </w:rPr>
        <w:t>12.1</w:t>
        <w:tab/>
        <w:t>The PST Supplier shall use best endeavours to arrange that all Transferred Contracts are assignable and/or capable of novation at the request of EuroBank or any Incoming PST Supplier, without restriction (including any need to obtain any consent or approval) or payment by EuroBank or the Incoming PST Supplier.</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12.2</w:t>
        <w:tab/>
        <w:t>The PST Supplier shall not, without EuroBank’s prior written consent, terminate or vary in a material respect the terms of any Transferred Contract during the Exit Period.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12.3</w:t>
        <w:tab/>
        <w:t>At EuroBank’s request, the PST Supplier shall co-operate in effecting an assignment or novation or the contracts specified in paragraph 12.1 above before the Exit Start Date.</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2" w:name="__RefHeading___Toc149120525"/>
      <w:bookmarkEnd w:id="12"/>
      <w:r>
        <w:rPr>
          <w:bCs/>
          <w:sz w:val="22"/>
          <w:lang w:val="en-GB"/>
        </w:rPr>
        <w:t>EuroBank MATERIALS, DATA AND CONFIDENTIAL INFORMATION</w:t>
      </w:r>
    </w:p>
    <w:p>
      <w:pPr>
        <w:pStyle w:val="Normal"/>
        <w:spacing w:before="0" w:after="0"/>
        <w:jc w:val="both"/>
        <w:rPr>
          <w:szCs w:val="22"/>
          <w:lang w:val="en-GB"/>
        </w:rPr>
      </w:pPr>
      <w:r>
        <w:rPr>
          <w:szCs w:val="22"/>
          <w:lang w:val="en-GB"/>
        </w:rPr>
        <w:t>In fulfilling its obligations pursuant to clause 16.10, the PST Supplier shall (except to the extent prevented by law) after the termination of the MSA, in accordance with EuroBank’s reasonable directions, erase, destroy or provide to EuroBank copies of all EuroBank Materials, EuroBank Data and EuroBank Confidential Information in the possession or control of the PST Supplier, its Affiliates and/or the Sub-Contractors, including the relevant data dictionary and other materials and information needed to allow EuroBank to interpret EuroBank Data.  The Termination Assistance Services shall include the PST Supplier providing such support and assistance as EuroBank may reasonably require interpreting the EuroBank Data and assuming responsibility for management and processing of the EuroBank Data.</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3" w:name="__RefHeading___Toc149120526"/>
      <w:bookmarkEnd w:id="13"/>
      <w:r>
        <w:rPr>
          <w:bCs/>
          <w:sz w:val="22"/>
          <w:lang w:val="en-GB"/>
        </w:rPr>
        <w:t>TERMINATION ASSISTANCE CHARGES</w:t>
      </w:r>
    </w:p>
    <w:p>
      <w:pPr>
        <w:pStyle w:val="Normal"/>
        <w:spacing w:before="0" w:after="0"/>
        <w:jc w:val="both"/>
        <w:rPr/>
      </w:pPr>
      <w:r>
        <w:rPr>
          <w:szCs w:val="22"/>
          <w:lang w:val="en-GB"/>
        </w:rPr>
        <w:t>14.1</w:t>
        <w:tab/>
        <w:t xml:space="preserve">EuroBank shall pay to the PST Supplier a fee for the provision of the Termination Assistance Services (the Termination Assistance Charges).  The Termination Assistance Charges shall be calculated as follows: </w:t>
      </w:r>
      <w:r>
        <w:rPr>
          <w:b/>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shall deliver a proposed fixed price Termination Assistance Charge as part of its draft Exit Plan submitted pursuant to paragraph 5.2.  The PST Supplier shall ensure that the proposed fix price is based on a detailed “open” calculation using applicable Project Rate Card rates with a price breakdown tied to specific Exit Plan deliverables, milestones and activities and the applicable resource loadings.  The PST Supplier shall make the basis of the fixed price calculation available to EuroBank at that time.  The parties shall agree the fixed price Termination Assistance Charge as part of the Exit Plan and agree any changes to the Termination Assistance Charge resulting from any updating of the Exit Plan in accordance with paragraph 6.</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14.2</w:t>
        <w:tab/>
        <w:t xml:space="preserve">EuroBank shall not be obliged to pay the Termination Assistance Charges under this paragraph 14, if EuroBank terminates this MSA pursuant to clause 16.2 or 16.4 of this MSA or partially terminates this MSA pursuant to clause 16.8 if such partial termination arises in respect of clauses 16.2 or 16.4.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14.3</w:t>
        <w:tab/>
        <w:t>The Termination Assistance Charges shall:</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be the only amount payable for the Termination Assistance Services;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not be payable for the preparation and updating of the Registers or the Exit Plan under this Exhibit, the costs of which shall be included in the Base Charges unless the transition-back is before the end date of the Transition.</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14.4</w:t>
        <w:tab/>
        <w:t>The parties agree that 25% of the total Termination Assistance Charges due shall be allocated to the Acceptance of the final to-be-agreed Deliverable in the Exit Plan.  The remainder of the Termination Assistance Charges shall be due and payable in accordance with the Exit Plan.</w:t>
      </w:r>
    </w:p>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8</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20 (Termination Assistance) Final v1.5.doc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20 (Termination Assistance) Final v1.5.doc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20 (Termination Assistance) Final v1.5.doc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style>
  <w:style w:type="character" w:styleId="WW8Num1z1">
    <w:name w:val="WW8Num1z1"/>
    <w:qFormat/>
    <w:rPr>
      <w:i w:val="false"/>
    </w:rPr>
  </w:style>
  <w:style w:type="character" w:styleId="WW8Num1z3">
    <w:name w:val="WW8Num1z3"/>
    <w:qFormat/>
    <w:rPr>
      <w:sz w:val="22"/>
    </w:rPr>
  </w:style>
  <w:style w:type="character" w:styleId="WW8Num1z4">
    <w:name w:val="WW8Num1z4"/>
    <w:qFormat/>
    <w:rPr>
      <w:b w:val="false"/>
      <w:i w:val="false"/>
      <w:sz w:val="22"/>
    </w:rPr>
  </w:style>
  <w:style w:type="character" w:styleId="WW8Num2z0">
    <w:name w:val="WW8Num2z0"/>
    <w:qFormat/>
    <w:rPr>
      <w:rFonts w:ascii="Times New Roman Bold;Times New Roman" w:hAnsi="Times New Roman Bold;Times New Roman" w:cs="Times New Roman Bold;Times New Roman"/>
      <w:b/>
      <w:i w:val="false"/>
      <w:sz w:val="22"/>
      <w:szCs w:val="22"/>
    </w:rPr>
  </w:style>
  <w:style w:type="character" w:styleId="WW8Num2z1">
    <w:name w:val="WW8Num2z1"/>
    <w:qFormat/>
    <w:rPr>
      <w:rFonts w:ascii="Times New Roman Bold;Times New Roman" w:hAnsi="Times New Roman Bold;Times New Roman" w:cs="Times New Roman Bold;Times New Roman"/>
      <w:b/>
      <w:i w:val="false"/>
      <w:sz w:val="28"/>
    </w:rPr>
  </w:style>
  <w:style w:type="character" w:styleId="WW8Num2z2">
    <w:name w:val="WW8Num2z2"/>
    <w:qFormat/>
    <w:rPr>
      <w:rFonts w:ascii="Times New Roman" w:hAnsi="Times New Roman" w:cs="Times New Roman"/>
      <w:b/>
      <w:i w:val="false"/>
      <w:sz w:val="24"/>
    </w:rPr>
  </w:style>
  <w:style w:type="character" w:styleId="WW8Num2z4">
    <w:name w:val="WW8Num2z4"/>
    <w:qFormat/>
    <w:rPr>
      <w:rFonts w:ascii="Times New Roman" w:hAnsi="Times New Roman" w:cs="Times New Roman"/>
      <w:b w:val="false"/>
      <w:i w:val="false"/>
      <w:sz w:val="22"/>
    </w:rPr>
  </w:style>
  <w:style w:type="character" w:styleId="WW8Num2z8">
    <w:name w:val="WW8Num2z8"/>
    <w:qFormat/>
    <w:rPr/>
  </w:style>
  <w:style w:type="character" w:styleId="WW8Num3z0">
    <w:name w:val="WW8Num3z0"/>
    <w:qFormat/>
    <w:rPr/>
  </w:style>
  <w:style w:type="character" w:styleId="WW8Num4z0">
    <w:name w:val="WW8Num4z0"/>
    <w:qFormat/>
    <w:rPr>
      <w:rFonts w:ascii="Times New Roman Bold;Times New Roman" w:hAnsi="Times New Roman Bold;Times New Roman" w:cs="Times New Roman Bold;Times New Roman"/>
      <w:b/>
      <w:i w:val="false"/>
      <w:sz w:val="28"/>
      <w:szCs w:val="28"/>
    </w:rPr>
  </w:style>
  <w:style w:type="character" w:styleId="WW8Num4z1">
    <w:name w:val="WW8Num4z1"/>
    <w:qFormat/>
    <w:rPr>
      <w:rFonts w:ascii="Times New Roman Bold;Times New Roman" w:hAnsi="Times New Roman Bold;Times New Roman" w:cs="Times New Roman Bold;Times New Roman"/>
      <w:b/>
      <w:i w:val="false"/>
      <w:sz w:val="28"/>
    </w:rPr>
  </w:style>
  <w:style w:type="character" w:styleId="WW8Num4z2">
    <w:name w:val="WW8Num4z2"/>
    <w:qFormat/>
    <w:rPr>
      <w:rFonts w:ascii="Times New Roman" w:hAnsi="Times New Roman" w:cs="Times New Roman"/>
      <w:b/>
      <w:i w:val="false"/>
      <w:sz w:val="24"/>
    </w:rPr>
  </w:style>
  <w:style w:type="character" w:styleId="WW8Num4z4">
    <w:name w:val="WW8Num4z4"/>
    <w:qFormat/>
    <w:rPr>
      <w:rFonts w:ascii="Times New Roman" w:hAnsi="Times New Roman" w:cs="Times New Roman"/>
      <w:b w:val="false"/>
      <w:i w:val="false"/>
      <w:sz w:val="22"/>
    </w:rPr>
  </w:style>
  <w:style w:type="character" w:styleId="WW8Num4z8">
    <w:name w:val="WW8Num4z8"/>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3z0">
    <w:name w:val="WW8Num13z0"/>
    <w:qFormat/>
    <w:rPr>
      <w:b w:val="false"/>
      <w:i w:val="false"/>
      <w:color w:val="000000"/>
      <w:sz w:val="22"/>
    </w:rPr>
  </w:style>
  <w:style w:type="character" w:styleId="WW8Num13z2">
    <w:name w:val="WW8Num13z2"/>
    <w:qFormat/>
    <w:rPr>
      <w:b w:val="false"/>
      <w:i w:val="false"/>
      <w:sz w:val="22"/>
    </w:rPr>
  </w:style>
  <w:style w:type="character" w:styleId="WW8Num13z4">
    <w:name w:val="WW8Num13z4"/>
    <w:qFormat/>
    <w:rPr/>
  </w:style>
  <w:style w:type="character" w:styleId="WW8Num14z1">
    <w:name w:val="WW8Num14z1"/>
    <w:qFormat/>
    <w:rPr/>
  </w:style>
  <w:style w:type="character" w:styleId="WW8Num15z1">
    <w:name w:val="WW8Num15z1"/>
    <w:qFormat/>
    <w:rPr/>
  </w:style>
  <w:style w:type="character" w:styleId="WW8Num18z1">
    <w:name w:val="WW8Num18z1"/>
    <w:qFormat/>
    <w:rPr/>
  </w:style>
  <w:style w:type="character" w:styleId="WW8Num20z1">
    <w:name w:val="WW8Num20z1"/>
    <w:qFormat/>
    <w:rPr/>
  </w:style>
  <w:style w:type="character" w:styleId="WW8Num22z0">
    <w:name w:val="WW8Num22z0"/>
    <w:qFormat/>
    <w:rPr/>
  </w:style>
  <w:style w:type="character" w:styleId="WW8Num23z0">
    <w:name w:val="WW8Num23z0"/>
    <w:qFormat/>
    <w:rPr/>
  </w:style>
  <w:style w:type="character" w:styleId="WW8Num23z1">
    <w:name w:val="WW8Num23z1"/>
    <w:qFormat/>
    <w:rPr>
      <w:b w:val="false"/>
      <w:i w:val="false"/>
      <w:color w:val="000000"/>
    </w:rPr>
  </w:style>
  <w:style w:type="character" w:styleId="WW8Num24z0">
    <w:name w:val="WW8Num24z0"/>
    <w:qFormat/>
    <w:rPr>
      <w:rFonts w:ascii="Times New Roman Bold;Times New Roman" w:hAnsi="Times New Roman Bold;Times New Roman" w:cs="Times New Roman Bold;Times New Roman"/>
      <w:b/>
      <w:i w:val="false"/>
      <w:sz w:val="28"/>
    </w:rPr>
  </w:style>
  <w:style w:type="character" w:styleId="WW8Num24z2">
    <w:name w:val="WW8Num24z2"/>
    <w:qFormat/>
    <w:rPr>
      <w:rFonts w:ascii="Times New Roman" w:hAnsi="Times New Roman" w:cs="Times New Roman"/>
      <w:b/>
      <w:i w:val="false"/>
      <w:sz w:val="24"/>
    </w:rPr>
  </w:style>
  <w:style w:type="character" w:styleId="WW8Num24z4">
    <w:name w:val="WW8Num24z4"/>
    <w:qFormat/>
    <w:rPr>
      <w:rFonts w:ascii="Times New Roman" w:hAnsi="Times New Roman" w:cs="Times New Roman"/>
      <w:b w:val="false"/>
      <w:i w:val="false"/>
      <w:sz w:val="22"/>
    </w:rPr>
  </w:style>
  <w:style w:type="character" w:styleId="WW8Num24z8">
    <w:name w:val="WW8Num24z8"/>
    <w:qFormat/>
    <w:rPr/>
  </w:style>
  <w:style w:type="character" w:styleId="WW8Num25z0">
    <w:name w:val="WW8Num25z0"/>
    <w:qFormat/>
    <w:rPr>
      <w:rFonts w:ascii="Times New Roman" w:hAnsi="Times New Roman" w:cs="Times New Roman"/>
      <w:b w:val="false"/>
      <w:i w:val="false"/>
      <w:color w:val="000000"/>
      <w:sz w:val="22"/>
    </w:rPr>
  </w:style>
  <w:style w:type="character" w:styleId="WW8Num25z1">
    <w:name w:val="WW8Num25z1"/>
    <w:qFormat/>
    <w:rPr>
      <w:rFonts w:ascii="Times New Roman" w:hAnsi="Times New Roman" w:cs="Times New Roman"/>
      <w:b w:val="false"/>
      <w:i w:val="false"/>
      <w:sz w:val="22"/>
    </w:rPr>
  </w:style>
  <w:style w:type="character" w:styleId="WW8Num25z4">
    <w:name w:val="WW8Num25z4"/>
    <w:qFormat/>
    <w:rPr/>
  </w:style>
  <w:style w:type="character" w:styleId="WW8Num26z0">
    <w:name w:val="WW8Num26z0"/>
    <w:qFormat/>
    <w:rPr/>
  </w:style>
  <w:style w:type="character" w:styleId="WW8Num26z1">
    <w:name w:val="WW8Num26z1"/>
    <w:qFormat/>
    <w:rPr>
      <w:i w:val="false"/>
    </w:rPr>
  </w:style>
  <w:style w:type="character" w:styleId="WW8Num26z3">
    <w:name w:val="WW8Num26z3"/>
    <w:qFormat/>
    <w:rPr>
      <w:sz w:val="22"/>
    </w:rPr>
  </w:style>
  <w:style w:type="character" w:styleId="WW8Num26z4">
    <w:name w:val="WW8Num26z4"/>
    <w:qFormat/>
    <w:rPr>
      <w:rFonts w:ascii="Times New Roman" w:hAnsi="Times New Roman" w:cs="Times New Roman"/>
      <w:b w:val="false"/>
      <w:i w:val="false"/>
      <w:sz w:val="22"/>
    </w:rPr>
  </w:style>
  <w:style w:type="character" w:styleId="WW8Num27z0">
    <w:name w:val="WW8Num27z0"/>
    <w:qFormat/>
    <w:rPr/>
  </w:style>
  <w:style w:type="character" w:styleId="WW8Num28z0">
    <w:name w:val="WW8Num28z0"/>
    <w:qFormat/>
    <w:rPr/>
  </w:style>
  <w:style w:type="character" w:styleId="WW8Num29z0">
    <w:name w:val="WW8Num29z0"/>
    <w:qFormat/>
    <w:rPr>
      <w:rFonts w:ascii="Times New Roman" w:hAnsi="Times New Roman" w:cs="Times New Roman"/>
      <w:b w:val="false"/>
      <w:i w:val="false"/>
      <w:color w:val="000000"/>
      <w:sz w:val="22"/>
    </w:rPr>
  </w:style>
  <w:style w:type="character" w:styleId="WW8Num29z1">
    <w:name w:val="WW8Num29z1"/>
    <w:qFormat/>
    <w:rPr>
      <w:rFonts w:ascii="Times New Roman" w:hAnsi="Times New Roman" w:cs="Times New Roman"/>
      <w:b w:val="false"/>
      <w:i w:val="false"/>
      <w:sz w:val="22"/>
    </w:rPr>
  </w:style>
  <w:style w:type="character" w:styleId="WW8Num29z4">
    <w:name w:val="WW8Num29z4"/>
    <w:qFormat/>
    <w:rPr/>
  </w:style>
  <w:style w:type="character" w:styleId="WW8Num30z0">
    <w:name w:val="WW8Num30z0"/>
    <w:qFormat/>
    <w:rPr>
      <w:rFonts w:ascii="Times New Roman Bold;Times New Roman" w:hAnsi="Times New Roman Bold;Times New Roman" w:cs="Times New Roman Bold;Times New Roman"/>
      <w:b/>
      <w:i w:val="false"/>
      <w:sz w:val="28"/>
    </w:rPr>
  </w:style>
  <w:style w:type="character" w:styleId="WW8Num30z2">
    <w:name w:val="WW8Num30z2"/>
    <w:qFormat/>
    <w:rPr>
      <w:rFonts w:ascii="Times New Roman" w:hAnsi="Times New Roman" w:cs="Times New Roman"/>
      <w:b/>
      <w:i w:val="false"/>
      <w:sz w:val="24"/>
    </w:rPr>
  </w:style>
  <w:style w:type="character" w:styleId="WW8Num30z4">
    <w:name w:val="WW8Num30z4"/>
    <w:qFormat/>
    <w:rPr>
      <w:rFonts w:ascii="Times New Roman" w:hAnsi="Times New Roman" w:cs="Times New Roman"/>
      <w:b w:val="false"/>
      <w:i w:val="false"/>
      <w:sz w:val="22"/>
    </w:rPr>
  </w:style>
  <w:style w:type="character" w:styleId="WW8Num30z8">
    <w:name w:val="WW8Num30z8"/>
    <w:qFormat/>
    <w:rPr/>
  </w:style>
  <w:style w:type="character" w:styleId="WW8Num31z1">
    <w:name w:val="WW8Num31z1"/>
    <w:qFormat/>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4z0">
    <w:name w:val="WW8Num34z0"/>
    <w:qFormat/>
    <w:rPr>
      <w:rFonts w:ascii="Times New Roman Bold;Times New Roman" w:hAnsi="Times New Roman Bold;Times New Roman" w:cs="Times New Roman Bold;Times New Roman"/>
      <w:b/>
      <w:i w:val="false"/>
      <w:sz w:val="28"/>
    </w:rPr>
  </w:style>
  <w:style w:type="character" w:styleId="WW8Num34z2">
    <w:name w:val="WW8Num34z2"/>
    <w:qFormat/>
    <w:rPr>
      <w:rFonts w:ascii="Times New Roman" w:hAnsi="Times New Roman" w:cs="Times New Roman"/>
      <w:b/>
      <w:i w:val="false"/>
      <w:sz w:val="24"/>
    </w:rPr>
  </w:style>
  <w:style w:type="character" w:styleId="WW8Num34z4">
    <w:name w:val="WW8Num34z4"/>
    <w:qFormat/>
    <w:rPr>
      <w:rFonts w:ascii="Times New Roman" w:hAnsi="Times New Roman" w:cs="Times New Roman"/>
      <w:b w:val="false"/>
      <w:i w:val="false"/>
      <w:sz w:val="22"/>
    </w:rPr>
  </w:style>
  <w:style w:type="character" w:styleId="WW8Num34z8">
    <w:name w:val="WW8Num34z8"/>
    <w:qFormat/>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2006-12-01T04:17:00Z</dcterms:created>
  <dc:creator> </dc:creator>
  <dc:description/>
  <cp:keywords/>
  <dc:language>en-US</dc:language>
  <cp:lastModifiedBy>Stuart Johnson</cp:lastModifiedBy>
  <cp:lastPrinted>2005-07-04T16:19:00Z</cp:lastPrinted>
  <dcterms:modified xsi:type="dcterms:W3CDTF">2006-12-01T04:18:00Z</dcterms:modified>
  <cp:revision>3</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-374298811</vt:r8>
  </property>
  <property fmtid="{D5CDD505-2E9C-101B-9397-08002B2CF9AE}" pid="3" name="_AuthorEmail">
    <vt:lpwstr>ilse.persoons@ing.be</vt:lpwstr>
  </property>
  <property fmtid="{D5CDD505-2E9C-101B-9397-08002B2CF9AE}" pid="4" name="_AuthorEmailDisplayName">
    <vt:lpwstr>Persoons, I. (Ilse)</vt:lpwstr>
  </property>
  <property fmtid="{D5CDD505-2E9C-101B-9397-08002B2CF9AE}" pid="5" name="_EmailSubject">
    <vt:lpwstr>exhibit 20</vt:lpwstr>
  </property>
  <property fmtid="{D5CDD505-2E9C-101B-9397-08002B2CF9AE}" pid="6" name="_ReviewingToolsShownOnce">
    <vt:lpwstr/>
  </property>
</Properties>
</file>