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21</w:t>
      </w:r>
    </w:p>
    <w:p>
      <w:pPr>
        <w:pStyle w:val="Title"/>
        <w:rPr>
          <w:lang w:val="en-GB"/>
        </w:rPr>
      </w:pPr>
      <w:r>
        <w:rPr>
          <w:lang w:val="en-GB"/>
        </w:rPr>
      </w:r>
    </w:p>
    <w:p>
      <w:pPr>
        <w:pStyle w:val="Title"/>
        <w:rPr>
          <w:lang w:val="en-GB"/>
        </w:rPr>
      </w:pPr>
      <w:r>
        <w:rPr>
          <w:lang w:val="en-GB"/>
        </w:rPr>
        <w:t>Critical Services</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\o "2-3" \t "Heading 1 Numbered,1"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CURRENT CRITICAL SERVICES</w:t>
          </w:r>
          <w:r>
            <w:rPr>
              <w:sz w:val="18"/>
              <w:szCs w:val="18"/>
              <w:lang w:val="en-US" w:eastAsia="en-US"/>
            </w:rPr>
            <w:tab/>
          </w:r>
          <w:hyperlink w:anchor="__RefHeading___Toc152141350">
            <w:r>
              <w:rPr>
                <w:rStyle w:val="IndexLink"/>
                <w:sz w:val="18"/>
                <w:szCs w:val="18"/>
                <w:lang w:val="en-US" w:eastAsia="en-US"/>
              </w:rPr>
              <w:t>1</w:t>
            </w:r>
          </w:hyperlink>
        </w:p>
        <w:p>
          <w:pPr>
            <w:pStyle w:val="TOC1"/>
            <w:tabs>
              <w:tab w:val="clear" w:pos="720"/>
              <w:tab w:val="left" w:pos="440" w:leader="none"/>
              <w:tab w:val="right" w:pos="8441" w:leader="dot"/>
            </w:tabs>
            <w:rPr>
              <w:sz w:val="18"/>
              <w:szCs w:val="18"/>
              <w:lang w:val="en-US" w:eastAsia="en-US"/>
            </w:rPr>
          </w:pPr>
          <w:r>
            <w:rPr>
              <w:b w:val="false"/>
              <w:sz w:val="18"/>
              <w:szCs w:val="18"/>
              <w:lang w:val="en-GB" w:eastAsia="en-US"/>
            </w:rPr>
            <w:t>2.</w:t>
          </w:r>
          <w:r>
            <w:rPr>
              <w:b w:val="false"/>
              <w:sz w:val="18"/>
              <w:szCs w:val="18"/>
              <w:lang w:val="en-US" w:eastAsia="en-US"/>
            </w:rPr>
            <w:tab/>
          </w:r>
          <w:r>
            <w:rPr>
              <w:b w:val="false"/>
              <w:sz w:val="18"/>
              <w:szCs w:val="18"/>
              <w:lang w:val="en-GB" w:eastAsia="en-US"/>
            </w:rPr>
            <w:t>FUTURE CRITICAL SERVICES</w:t>
          </w:r>
          <w:r>
            <w:rPr>
              <w:b w:val="false"/>
              <w:sz w:val="18"/>
              <w:szCs w:val="18"/>
              <w:lang w:val="en-US" w:eastAsia="en-US"/>
            </w:rPr>
            <w:tab/>
          </w:r>
          <w:hyperlink w:anchor="__RefHeading___Toc152141351">
            <w:r>
              <w:rPr>
                <w:rStyle w:val="IndexLink"/>
                <w:b w:val="false"/>
                <w:sz w:val="18"/>
                <w:szCs w:val="18"/>
                <w:lang w:val="en-US" w:eastAsia="en-US"/>
              </w:rPr>
              <w:t>1</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pStyle w:val="Normal"/>
        <w:rPr>
          <w:caps/>
          <w:sz w:val="18"/>
          <w:szCs w:val="18"/>
          <w:lang w:val="en-GB"/>
        </w:rPr>
      </w:pPr>
      <w:r>
        <w:rPr>
          <w:caps/>
          <w:sz w:val="18"/>
          <w:szCs w:val="18"/>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caps/>
          <w:sz w:val="18"/>
          <w:szCs w:val="18"/>
          <w:lang w:val="en-GB"/>
        </w:rPr>
      </w:pPr>
      <w:r>
        <w:rPr>
          <w:caps/>
          <w:sz w:val="18"/>
          <w:szCs w:val="18"/>
          <w:lang w:val="en-GB"/>
        </w:rPr>
      </w:r>
    </w:p>
    <w:p>
      <w:pPr>
        <w:pStyle w:val="Normal"/>
        <w:spacing w:before="0" w:after="0"/>
        <w:rPr>
          <w:lang w:val="en-GB"/>
        </w:rPr>
      </w:pPr>
      <w:r>
        <w:rPr>
          <w:lang w:val="en-GB"/>
        </w:rPr>
      </w:r>
    </w:p>
    <w:p>
      <w:pPr>
        <w:pStyle w:val="Heading1Numbered"/>
        <w:numPr>
          <w:ilvl w:val="0"/>
          <w:numId w:val="2"/>
        </w:numPr>
        <w:ind w:hanging="0" w:start="0"/>
        <w:rPr>
          <w:sz w:val="22"/>
          <w:szCs w:val="22"/>
          <w:lang w:val="en-GB"/>
        </w:rPr>
      </w:pPr>
      <w:bookmarkStart w:id="0" w:name="__RefHeading___Toc152141350"/>
      <w:bookmarkEnd w:id="0"/>
      <w:r>
        <w:rPr>
          <w:sz w:val="22"/>
          <w:szCs w:val="22"/>
          <w:lang w:val="en-GB"/>
        </w:rPr>
        <w:t>CURRENT CRITICAL SERVICES</w:t>
      </w:r>
    </w:p>
    <w:p>
      <w:pPr>
        <w:pStyle w:val="Normal"/>
        <w:spacing w:before="0" w:after="0"/>
        <w:jc w:val="both"/>
        <w:rPr>
          <w:szCs w:val="22"/>
          <w:lang w:val="en-GB"/>
        </w:rPr>
      </w:pPr>
      <w:r>
        <w:rPr>
          <w:szCs w:val="22"/>
          <w:lang w:val="en-GB"/>
        </w:rPr>
        <w:t>The following shall constitute the current Critical Services and with respect to failure attributable to the PST Supplier(s) or 2IM of such Critical Services shall be treated in accordance with the MSA:</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For Named Locations where PST Supplier(s) or 2IM fail to keep the Service Levels for the shared Services of LAN, voice, file &amp; print and mail &amp; agenda Services (as provided for in the Critical Service Levels in Attachment 3-A) at or above the Minimum Level for these Named Locations for three (3) consecutive months or more than three (3) months per twelve (12) months, this shall be deemed a Critical Service Failure.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Where PST Supplier(s) or 2IM allows unauthorized access to EuroBank proprietary data under conditions as set out in Exhibit 17 (Policies) and its attachments, this shall be deemed a Critical Service Failure.</w:t>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 xml:space="preserve">Where the loss of Service below 10% Availability for 90% of the Critical Service Levels, caused by employees of PST Supplier being on strike for any reason, except in case of a Force Majeure event, this shall be deemed a Critical Service Failure.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d)</w:t>
        <w:tab/>
        <w:t>Where PST Supplier(s) or 2IM causes the total loss of the shared Services of LAN, voice, file &amp; print and mail &amp; agenda Services for more than four (4) consecutive hours per occurrence, this shall be deemed a Critical Service Failure..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e)</w:t>
        <w:tab/>
        <w:t>Where PST Supplier(s) or 2IM fail to pro-actively keep EuroBank up to date with virus protection and the associated business disruption which could have been prevented if the PST Supplier(s) or 2IM had kept EuroBank’s virus protection up to date, this shall be deemed a Critical Service Failure.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Where  PST Supplier(s) or 2IM cause the loss of shared Service of LAN, voice, file &amp; print, mail &amp; agenda Services and lack of local support (as provided for in the Critical Service Levels in Attachment 3-A) to each trading floor for more than 30 minutes, this shall be deemed a Critical Service Failure.</w:t>
      </w:r>
    </w:p>
    <w:p>
      <w:pPr>
        <w:pStyle w:val="Normal"/>
        <w:spacing w:before="0" w:after="0"/>
        <w:jc w:val="both"/>
        <w:rPr>
          <w:szCs w:val="22"/>
          <w:lang w:val="en-GB"/>
        </w:rPr>
      </w:pPr>
      <w:r>
        <w:rPr>
          <w:szCs w:val="22"/>
          <w:lang w:val="en-GB"/>
        </w:rPr>
      </w:r>
    </w:p>
    <w:p>
      <w:pPr>
        <w:pStyle w:val="Heading1Numbered"/>
        <w:numPr>
          <w:ilvl w:val="0"/>
          <w:numId w:val="2"/>
        </w:numPr>
        <w:ind w:hanging="0" w:start="0"/>
        <w:rPr>
          <w:sz w:val="22"/>
          <w:szCs w:val="22"/>
          <w:lang w:val="en-GB"/>
        </w:rPr>
      </w:pPr>
      <w:bookmarkStart w:id="1" w:name="__RefHeading___Toc152141351"/>
      <w:bookmarkEnd w:id="1"/>
      <w:r>
        <w:rPr>
          <w:sz w:val="22"/>
          <w:szCs w:val="22"/>
          <w:lang w:val="en-GB"/>
        </w:rPr>
        <w:t>FUTURE CRITICAL SERVICES</w:t>
      </w:r>
    </w:p>
    <w:p>
      <w:pPr>
        <w:pStyle w:val="Normal"/>
        <w:spacing w:before="0" w:after="0"/>
        <w:jc w:val="both"/>
        <w:rPr/>
      </w:pPr>
      <w:r>
        <w:rPr>
          <w:szCs w:val="22"/>
          <w:lang w:val="en-GB"/>
        </w:rPr>
        <w:t>EuroBank and PST Supplier and 2IM acknowledge that the relative importance of Services might change as EuroBank’s business needs evolve.  Accordingly, from time to time, EuroBank and the PST Supplier and 2IM will review and update the list of Critical Services via the Change Control Procedure.</w:t>
      </w:r>
    </w:p>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21 (Critical Services) Final v1.5.doc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21 (Critical Services) Final v1.5.doc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21 (Critical Services) Final v1.5.doc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1">
    <w:name w:val="WW8Num1z1"/>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b w:val="false"/>
      <w:i w:val="false"/>
      <w:color w:val="000000"/>
      <w:sz w:val="22"/>
    </w:rPr>
  </w:style>
  <w:style w:type="character" w:styleId="WW8Num4z1">
    <w:name w:val="WW8Num4z1"/>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6"/>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2006-12-01T04:21:00Z</dcterms:created>
  <dc:creator> </dc:creator>
  <dc:description/>
  <cp:keywords/>
  <dc:language>en-US</dc:language>
  <cp:lastModifiedBy>Stuart Johnson</cp:lastModifiedBy>
  <cp:lastPrinted>2005-07-04T16:19:00Z</cp:lastPrinted>
  <dcterms:modified xsi:type="dcterms:W3CDTF">2006-12-01T04:23:00Z</dcterms:modified>
  <cp:revision>4</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-84540970</vt:r8>
  </property>
  <property fmtid="{D5CDD505-2E9C-101B-9397-08002B2CF9AE}" pid="3" name="_AuthorEmail">
    <vt:lpwstr>Albert.Jans@mail.ing.nl</vt:lpwstr>
  </property>
  <property fmtid="{D5CDD505-2E9C-101B-9397-08002B2CF9AE}" pid="4" name="_AuthorEmailDisplayName">
    <vt:lpwstr>Jans, A.H.A. (Albert)</vt:lpwstr>
  </property>
  <property fmtid="{D5CDD505-2E9C-101B-9397-08002B2CF9AE}" pid="5" name="_EmailSubject">
    <vt:lpwstr>Exhibit 21 (Critical Services) AJ v1.2 Content Checked</vt:lpwstr>
  </property>
  <property fmtid="{D5CDD505-2E9C-101B-9397-08002B2CF9AE}" pid="6" name="_ReviewingToolsShownOnce">
    <vt:lpwstr/>
  </property>
</Properties>
</file>