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lang w:val="en-GB"/>
        </w:rPr>
      </w:pPr>
      <w:r>
        <w:rPr>
          <w:rFonts w:cs="Times New Roman"/>
          <w:lang w:val="en-GB"/>
        </w:rPr>
        <w:t>EuroBank</w:t>
      </w:r>
    </w:p>
    <w:p>
      <w:pPr>
        <w:pStyle w:val="Title"/>
        <w:rPr>
          <w:rFonts w:cs="Times New Roman"/>
          <w:lang w:val="en-GB"/>
        </w:rPr>
      </w:pPr>
      <w:r>
        <w:rPr>
          <w:rFonts w:cs="Times New Roman"/>
          <w:lang w:val="en-GB"/>
        </w:rPr>
      </w:r>
    </w:p>
    <w:p>
      <w:pPr>
        <w:pStyle w:val="Title"/>
        <w:rPr>
          <w:rFonts w:cs="Times New Roman"/>
          <w:lang w:val="en-GB"/>
        </w:rPr>
      </w:pPr>
      <w:r>
        <w:rPr>
          <w:rFonts w:cs="Times New Roman"/>
          <w:lang w:val="en-GB"/>
        </w:rPr>
        <w:t>exhibit 22</w:t>
      </w:r>
    </w:p>
    <w:p>
      <w:pPr>
        <w:pStyle w:val="Title"/>
        <w:rPr>
          <w:rFonts w:cs="Times New Roman"/>
          <w:lang w:val="en-GB"/>
        </w:rPr>
      </w:pPr>
      <w:r>
        <w:rPr>
          <w:rFonts w:cs="Times New Roman"/>
          <w:lang w:val="en-GB"/>
        </w:rPr>
      </w:r>
    </w:p>
    <w:p>
      <w:pPr>
        <w:pStyle w:val="Title"/>
        <w:rPr>
          <w:rFonts w:cs="Times New Roman"/>
          <w:lang w:val="en-GB"/>
        </w:rPr>
      </w:pPr>
      <w:r>
        <w:rPr>
          <w:rFonts w:cs="Times New Roman"/>
          <w:lang w:val="en-GB"/>
        </w:rPr>
        <w:t>Change Control Procedures</w:t>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jc w:val="both"/>
        <w:rPr>
          <w:rFonts w:cs="Times New Roman"/>
          <w:sz w:val="22"/>
          <w:szCs w:val="22"/>
          <w:lang w:val="en-GB"/>
        </w:rPr>
      </w:pPr>
      <w:r>
        <w:rPr>
          <w:rFonts w:cs="Times New Roman"/>
          <w:sz w:val="22"/>
          <w:szCs w:val="22"/>
          <w:lang w:val="en-GB"/>
        </w:rPr>
      </w:r>
    </w:p>
    <w:p>
      <w:pPr>
        <w:pStyle w:val="Normal"/>
        <w:jc w:val="both"/>
        <w:rPr>
          <w:szCs w:val="22"/>
          <w:lang w:val="en-GB"/>
        </w:rPr>
      </w:pPr>
      <w:r>
        <w:rPr>
          <w:szCs w:val="22"/>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sz w:val="18"/>
              <w:szCs w:val="18"/>
              <w:lang w:val="en-US" w:eastAsia="en-US"/>
            </w:rPr>
          </w:pPr>
          <w:r>
            <w:fldChar w:fldCharType="begin"/>
          </w:r>
          <w:r>
            <w:rPr>
              <w:sz w:val="18"/>
              <w:szCs w:val="18"/>
              <w:lang w:val="en-GB" w:eastAsia="en-US"/>
            </w:rPr>
            <w:instrText xml:space="preserve"> TOC \t "Heading 1 Numbered,1,Heading 2 Numbered,2" </w:instrText>
          </w:r>
          <w:r>
            <w:rPr>
              <w:sz w:val="18"/>
              <w:szCs w:val="18"/>
              <w:lang w:val="en-GB" w:eastAsia="en-US"/>
            </w:rPr>
            <w:fldChar w:fldCharType="separate"/>
          </w:r>
          <w:r>
            <w:rPr>
              <w:sz w:val="18"/>
              <w:szCs w:val="18"/>
              <w:lang w:val="en-GB" w:eastAsia="en-US"/>
            </w:rPr>
            <w:t>1.</w:t>
          </w:r>
          <w:r>
            <w:rPr>
              <w:b w:val="false"/>
              <w:sz w:val="18"/>
              <w:szCs w:val="18"/>
              <w:lang w:val="en-US" w:eastAsia="en-US"/>
            </w:rPr>
            <w:tab/>
          </w:r>
          <w:r>
            <w:rPr>
              <w:sz w:val="18"/>
              <w:szCs w:val="18"/>
              <w:lang w:val="en-GB" w:eastAsia="en-US"/>
            </w:rPr>
            <w:t>INTRODUCTION</w:t>
          </w:r>
          <w:r>
            <w:rPr>
              <w:sz w:val="18"/>
              <w:szCs w:val="18"/>
              <w:lang w:val="en-US" w:eastAsia="en-US"/>
            </w:rPr>
            <w:tab/>
          </w:r>
          <w:hyperlink w:anchor="__RefHeading___Toc152406873">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2.</w:t>
          </w:r>
          <w:r>
            <w:rPr>
              <w:b w:val="false"/>
              <w:sz w:val="18"/>
              <w:szCs w:val="18"/>
              <w:lang w:val="en-US" w:eastAsia="en-US"/>
            </w:rPr>
            <w:tab/>
          </w:r>
          <w:r>
            <w:rPr>
              <w:bCs/>
              <w:sz w:val="18"/>
              <w:szCs w:val="18"/>
              <w:lang w:val="en-GB" w:eastAsia="en-US"/>
            </w:rPr>
            <w:t>DESCRIPTION OF THIS EXHIBIT</w:t>
          </w:r>
          <w:r>
            <w:rPr>
              <w:sz w:val="18"/>
              <w:szCs w:val="18"/>
              <w:lang w:val="en-US" w:eastAsia="en-US"/>
            </w:rPr>
            <w:tab/>
          </w:r>
          <w:hyperlink w:anchor="__RefHeading___Toc152406874">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3.</w:t>
          </w:r>
          <w:r>
            <w:rPr>
              <w:b w:val="false"/>
              <w:sz w:val="18"/>
              <w:szCs w:val="18"/>
              <w:lang w:val="en-US" w:eastAsia="en-US"/>
            </w:rPr>
            <w:tab/>
          </w:r>
          <w:r>
            <w:rPr>
              <w:bCs/>
              <w:sz w:val="18"/>
              <w:szCs w:val="18"/>
              <w:lang w:val="en-GB" w:eastAsia="en-US"/>
            </w:rPr>
            <w:t>CHANGE CLASSIFICATION</w:t>
          </w:r>
          <w:r>
            <w:rPr>
              <w:sz w:val="18"/>
              <w:szCs w:val="18"/>
              <w:lang w:val="en-US" w:eastAsia="en-US"/>
            </w:rPr>
            <w:tab/>
          </w:r>
          <w:hyperlink w:anchor="__RefHeading___Toc152406875">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3.1</w:t>
          </w:r>
          <w:r>
            <w:rPr>
              <w:b w:val="false"/>
              <w:sz w:val="18"/>
              <w:szCs w:val="18"/>
              <w:lang w:val="en-US" w:eastAsia="en-US"/>
            </w:rPr>
            <w:tab/>
          </w:r>
          <w:r>
            <w:rPr>
              <w:sz w:val="18"/>
              <w:szCs w:val="18"/>
              <w:lang w:val="en-GB" w:eastAsia="en-US"/>
            </w:rPr>
            <w:t>Step 1: Assess the type of Change</w:t>
          </w:r>
          <w:r>
            <w:rPr>
              <w:sz w:val="18"/>
              <w:szCs w:val="18"/>
              <w:lang w:val="en-US" w:eastAsia="en-US"/>
            </w:rPr>
            <w:tab/>
          </w:r>
          <w:hyperlink w:anchor="__RefHeading___Toc152406876">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3.2</w:t>
          </w:r>
          <w:r>
            <w:rPr>
              <w:b w:val="false"/>
              <w:sz w:val="18"/>
              <w:szCs w:val="18"/>
              <w:lang w:val="en-US" w:eastAsia="en-US"/>
            </w:rPr>
            <w:tab/>
          </w:r>
          <w:r>
            <w:rPr>
              <w:bCs/>
              <w:sz w:val="18"/>
              <w:szCs w:val="18"/>
              <w:lang w:val="en-GB" w:eastAsia="en-US"/>
            </w:rPr>
            <w:t>Definitions of Changes</w:t>
          </w:r>
          <w:r>
            <w:rPr>
              <w:sz w:val="18"/>
              <w:szCs w:val="18"/>
              <w:lang w:val="en-US" w:eastAsia="en-US"/>
            </w:rPr>
            <w:tab/>
          </w:r>
          <w:hyperlink w:anchor="__RefHeading___Toc152406877">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3.3</w:t>
          </w:r>
          <w:r>
            <w:rPr>
              <w:b w:val="false"/>
              <w:sz w:val="18"/>
              <w:szCs w:val="18"/>
              <w:lang w:val="en-US" w:eastAsia="en-US"/>
            </w:rPr>
            <w:tab/>
          </w:r>
          <w:r>
            <w:rPr>
              <w:bCs/>
              <w:sz w:val="18"/>
              <w:szCs w:val="18"/>
              <w:lang w:val="en-GB" w:eastAsia="en-US"/>
            </w:rPr>
            <w:t>Change Control Procedure</w:t>
          </w:r>
          <w:r>
            <w:rPr>
              <w:sz w:val="18"/>
              <w:szCs w:val="18"/>
              <w:lang w:val="en-US" w:eastAsia="en-US"/>
            </w:rPr>
            <w:tab/>
          </w:r>
          <w:hyperlink w:anchor="__RefHeading___Toc152406878">
            <w:r>
              <w:rPr>
                <w:rStyle w:val="IndexLink"/>
                <w:sz w:val="18"/>
                <w:szCs w:val="18"/>
                <w:lang w:val="en-US" w:eastAsia="en-US"/>
              </w:rPr>
              <w:t>2</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3.4</w:t>
          </w:r>
          <w:r>
            <w:rPr>
              <w:b w:val="false"/>
              <w:sz w:val="18"/>
              <w:szCs w:val="18"/>
              <w:lang w:val="en-US" w:eastAsia="en-US"/>
            </w:rPr>
            <w:tab/>
          </w:r>
          <w:r>
            <w:rPr>
              <w:bCs/>
              <w:sz w:val="18"/>
              <w:szCs w:val="18"/>
              <w:lang w:val="en-GB" w:eastAsia="en-US"/>
            </w:rPr>
            <w:t>Chargeable or Non-Chargeable Changes</w:t>
          </w:r>
          <w:r>
            <w:rPr>
              <w:sz w:val="18"/>
              <w:szCs w:val="18"/>
              <w:lang w:val="en-US" w:eastAsia="en-US"/>
            </w:rPr>
            <w:tab/>
          </w:r>
          <w:hyperlink w:anchor="__RefHeading___Toc152406879">
            <w:r>
              <w:rPr>
                <w:rStyle w:val="IndexLink"/>
                <w:sz w:val="18"/>
                <w:szCs w:val="18"/>
                <w:lang w:val="en-US" w:eastAsia="en-US"/>
              </w:rPr>
              <w:t>2</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3.5</w:t>
          </w:r>
          <w:r>
            <w:rPr>
              <w:b w:val="false"/>
              <w:sz w:val="18"/>
              <w:szCs w:val="18"/>
              <w:lang w:val="en-US" w:eastAsia="en-US"/>
            </w:rPr>
            <w:tab/>
          </w:r>
          <w:r>
            <w:rPr>
              <w:bCs/>
              <w:sz w:val="18"/>
              <w:szCs w:val="18"/>
              <w:lang w:val="en-GB" w:eastAsia="en-US"/>
            </w:rPr>
            <w:t>Step 2: Assess the Costs of Administering the Significant Change or Procedural Change</w:t>
          </w:r>
          <w:r>
            <w:rPr>
              <w:sz w:val="18"/>
              <w:szCs w:val="18"/>
              <w:lang w:val="en-US" w:eastAsia="en-US"/>
            </w:rPr>
            <w:tab/>
          </w:r>
          <w:hyperlink w:anchor="__RefHeading___Toc152406880">
            <w:r>
              <w:rPr>
                <w:rStyle w:val="IndexLink"/>
                <w:sz w:val="18"/>
                <w:szCs w:val="18"/>
                <w:lang w:val="en-US" w:eastAsia="en-US"/>
              </w:rPr>
              <w:t>3</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3.6</w:t>
          </w:r>
          <w:r>
            <w:rPr>
              <w:b w:val="false"/>
              <w:sz w:val="18"/>
              <w:szCs w:val="18"/>
              <w:lang w:val="en-US" w:eastAsia="en-US"/>
            </w:rPr>
            <w:tab/>
          </w:r>
          <w:r>
            <w:rPr>
              <w:bCs/>
              <w:sz w:val="18"/>
              <w:szCs w:val="18"/>
              <w:lang w:val="en-GB" w:eastAsia="en-US"/>
            </w:rPr>
            <w:t>Step 3: The Charge Review Procedure</w:t>
          </w:r>
          <w:r>
            <w:rPr>
              <w:sz w:val="18"/>
              <w:szCs w:val="18"/>
              <w:lang w:val="en-US" w:eastAsia="en-US"/>
            </w:rPr>
            <w:tab/>
          </w:r>
          <w:hyperlink w:anchor="__RefHeading___Toc152406881">
            <w:r>
              <w:rPr>
                <w:rStyle w:val="IndexLink"/>
                <w:sz w:val="18"/>
                <w:szCs w:val="18"/>
                <w:lang w:val="en-US" w:eastAsia="en-US"/>
              </w:rPr>
              <w:t>4</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4.</w:t>
          </w:r>
          <w:r>
            <w:rPr>
              <w:b w:val="false"/>
              <w:sz w:val="18"/>
              <w:szCs w:val="18"/>
              <w:lang w:val="en-US" w:eastAsia="en-US"/>
            </w:rPr>
            <w:tab/>
          </w:r>
          <w:r>
            <w:rPr>
              <w:bCs/>
              <w:sz w:val="18"/>
              <w:szCs w:val="18"/>
              <w:lang w:val="en-GB" w:eastAsia="en-US"/>
            </w:rPr>
            <w:t>SIGNIFICANT CHANGE CONTROL PROCEDURE</w:t>
          </w:r>
          <w:r>
            <w:rPr>
              <w:sz w:val="18"/>
              <w:szCs w:val="18"/>
              <w:lang w:val="en-US" w:eastAsia="en-US"/>
            </w:rPr>
            <w:tab/>
          </w:r>
          <w:hyperlink w:anchor="__RefHeading___Toc152406882">
            <w:r>
              <w:rPr>
                <w:rStyle w:val="IndexLink"/>
                <w:sz w:val="18"/>
                <w:szCs w:val="18"/>
                <w:lang w:val="en-US" w:eastAsia="en-US"/>
              </w:rPr>
              <w:t>5</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4.1</w:t>
          </w:r>
          <w:r>
            <w:rPr>
              <w:b w:val="false"/>
              <w:sz w:val="18"/>
              <w:szCs w:val="18"/>
              <w:lang w:val="en-US" w:eastAsia="en-US"/>
            </w:rPr>
            <w:tab/>
          </w:r>
          <w:r>
            <w:rPr>
              <w:bCs/>
              <w:sz w:val="18"/>
              <w:szCs w:val="18"/>
              <w:lang w:val="en-GB" w:eastAsia="en-US"/>
            </w:rPr>
            <w:t>Change Control Notice</w:t>
          </w:r>
          <w:r>
            <w:rPr>
              <w:sz w:val="18"/>
              <w:szCs w:val="18"/>
              <w:lang w:val="en-US" w:eastAsia="en-US"/>
            </w:rPr>
            <w:tab/>
          </w:r>
          <w:hyperlink w:anchor="__RefHeading___Toc152406883">
            <w:r>
              <w:rPr>
                <w:rStyle w:val="IndexLink"/>
                <w:sz w:val="18"/>
                <w:szCs w:val="18"/>
                <w:lang w:val="en-US" w:eastAsia="en-US"/>
              </w:rPr>
              <w:t>5</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4.2</w:t>
          </w:r>
          <w:r>
            <w:rPr>
              <w:b w:val="false"/>
              <w:sz w:val="18"/>
              <w:szCs w:val="18"/>
              <w:lang w:val="en-US" w:eastAsia="en-US"/>
            </w:rPr>
            <w:tab/>
          </w:r>
          <w:r>
            <w:rPr>
              <w:bCs/>
              <w:sz w:val="18"/>
              <w:szCs w:val="18"/>
              <w:lang w:val="en-GB" w:eastAsia="en-US"/>
            </w:rPr>
            <w:t>2IM and PST Supplier’s Obligations</w:t>
          </w:r>
          <w:r>
            <w:rPr>
              <w:sz w:val="18"/>
              <w:szCs w:val="18"/>
              <w:lang w:val="en-US" w:eastAsia="en-US"/>
            </w:rPr>
            <w:tab/>
          </w:r>
          <w:hyperlink w:anchor="__RefHeading___Toc152406884">
            <w:r>
              <w:rPr>
                <w:rStyle w:val="IndexLink"/>
                <w:sz w:val="18"/>
                <w:szCs w:val="18"/>
                <w:lang w:val="en-US" w:eastAsia="en-US"/>
              </w:rPr>
              <w:t>5</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4.3</w:t>
          </w:r>
          <w:r>
            <w:rPr>
              <w:b w:val="false"/>
              <w:sz w:val="18"/>
              <w:szCs w:val="18"/>
              <w:lang w:val="en-US" w:eastAsia="en-US"/>
            </w:rPr>
            <w:tab/>
          </w:r>
          <w:r>
            <w:rPr>
              <w:bCs/>
              <w:sz w:val="18"/>
              <w:szCs w:val="18"/>
              <w:lang w:val="en-GB" w:eastAsia="en-US"/>
            </w:rPr>
            <w:t>Impact Analysis</w:t>
          </w:r>
          <w:r>
            <w:rPr>
              <w:sz w:val="18"/>
              <w:szCs w:val="18"/>
              <w:lang w:val="en-US" w:eastAsia="en-US"/>
            </w:rPr>
            <w:tab/>
          </w:r>
          <w:hyperlink w:anchor="__RefHeading___Toc152406885">
            <w:r>
              <w:rPr>
                <w:rStyle w:val="IndexLink"/>
                <w:sz w:val="18"/>
                <w:szCs w:val="18"/>
                <w:lang w:val="en-US" w:eastAsia="en-US"/>
              </w:rPr>
              <w:t>6</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5.</w:t>
          </w:r>
          <w:r>
            <w:rPr>
              <w:b w:val="false"/>
              <w:sz w:val="18"/>
              <w:szCs w:val="18"/>
              <w:lang w:val="en-US" w:eastAsia="en-US"/>
            </w:rPr>
            <w:tab/>
          </w:r>
          <w:r>
            <w:rPr>
              <w:bCs/>
              <w:sz w:val="18"/>
              <w:szCs w:val="18"/>
              <w:lang w:val="en-GB" w:eastAsia="en-US"/>
            </w:rPr>
            <w:t>APPROVAL</w:t>
          </w:r>
          <w:r>
            <w:rPr>
              <w:sz w:val="18"/>
              <w:szCs w:val="18"/>
              <w:lang w:val="en-US" w:eastAsia="en-US"/>
            </w:rPr>
            <w:tab/>
          </w:r>
          <w:hyperlink w:anchor="__RefHeading___Toc152406886">
            <w:r>
              <w:rPr>
                <w:rStyle w:val="IndexLink"/>
                <w:sz w:val="18"/>
                <w:szCs w:val="18"/>
                <w:lang w:val="en-US" w:eastAsia="en-US"/>
              </w:rPr>
              <w:t>6</w:t>
            </w:r>
          </w:hyperlink>
        </w:p>
        <w:p>
          <w:pPr>
            <w:pStyle w:val="TOC1"/>
            <w:tabs>
              <w:tab w:val="clear" w:pos="720"/>
              <w:tab w:val="left" w:pos="440" w:leader="none"/>
              <w:tab w:val="right" w:pos="8441" w:leader="dot"/>
            </w:tabs>
            <w:rPr>
              <w:sz w:val="18"/>
              <w:szCs w:val="18"/>
              <w:lang w:val="en-US" w:eastAsia="en-US"/>
            </w:rPr>
          </w:pPr>
          <w:r>
            <w:rPr>
              <w:b w:val="false"/>
              <w:bCs/>
              <w:sz w:val="18"/>
              <w:szCs w:val="18"/>
              <w:lang w:val="en-GB" w:eastAsia="en-US"/>
            </w:rPr>
            <w:t>6.</w:t>
          </w:r>
          <w:r>
            <w:rPr>
              <w:b w:val="false"/>
              <w:sz w:val="18"/>
              <w:szCs w:val="18"/>
              <w:lang w:val="en-US" w:eastAsia="en-US"/>
            </w:rPr>
            <w:tab/>
          </w:r>
          <w:r>
            <w:rPr>
              <w:b w:val="false"/>
              <w:bCs/>
              <w:sz w:val="18"/>
              <w:szCs w:val="18"/>
              <w:lang w:val="en-GB" w:eastAsia="en-US"/>
            </w:rPr>
            <w:t>CHANGE MANAGEMENT</w:t>
          </w:r>
          <w:r>
            <w:rPr>
              <w:b w:val="false"/>
              <w:sz w:val="18"/>
              <w:szCs w:val="18"/>
              <w:lang w:val="en-US" w:eastAsia="en-US"/>
            </w:rPr>
            <w:tab/>
          </w:r>
          <w:hyperlink w:anchor="__RefHeading___Toc152406887">
            <w:r>
              <w:rPr>
                <w:rStyle w:val="IndexLink"/>
                <w:b w:val="false"/>
                <w:sz w:val="18"/>
                <w:szCs w:val="18"/>
                <w:lang w:val="en-US" w:eastAsia="en-US"/>
              </w:rPr>
              <w:t>7</w:t>
            </w:r>
          </w:hyperlink>
          <w:r>
            <w:rPr>
              <w:rStyle w:val="IndexLink"/>
              <w:sz w:val="18"/>
              <w:b w:val="false"/>
              <w:szCs w:val="18"/>
              <w:lang w:val="en-US" w:eastAsia="en-US"/>
            </w:rPr>
            <w:fldChar w:fldCharType="end"/>
          </w:r>
        </w:p>
      </w:sdtContent>
    </w:sdt>
    <w:p>
      <w:pPr>
        <w:pStyle w:val="Normal"/>
        <w:jc w:val="both"/>
        <w:rPr>
          <w:b/>
          <w:caps/>
          <w:sz w:val="18"/>
          <w:szCs w:val="18"/>
          <w:lang w:val="en-GB" w:eastAsia="en-US"/>
        </w:rPr>
      </w:pPr>
      <w:r>
        <w:rPr>
          <w:b/>
          <w:caps/>
          <w:sz w:val="18"/>
          <w:szCs w:val="18"/>
          <w:lang w:val="en-GB" w:eastAsia="en-US"/>
        </w:rPr>
      </w:r>
    </w:p>
    <w:p>
      <w:pPr>
        <w:pStyle w:val="Normal"/>
        <w:jc w:val="both"/>
        <w:rPr>
          <w:caps/>
          <w:sz w:val="18"/>
          <w:szCs w:val="18"/>
          <w:lang w:val="en-GB"/>
        </w:rPr>
      </w:pPr>
      <w:r>
        <w:rPr>
          <w:caps/>
          <w:sz w:val="18"/>
          <w:szCs w:val="18"/>
          <w:lang w:val="en-GB"/>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jc w:val="both"/>
        <w:rPr>
          <w:caps/>
          <w:sz w:val="18"/>
          <w:szCs w:val="22"/>
          <w:lang w:val="en-GB"/>
        </w:rPr>
      </w:pPr>
      <w:r>
        <w:rPr>
          <w:caps/>
          <w:sz w:val="18"/>
          <w:szCs w:val="22"/>
          <w:lang w:val="en-GB"/>
        </w:rPr>
      </w:r>
    </w:p>
    <w:p>
      <w:pPr>
        <w:pStyle w:val="Normal"/>
        <w:spacing w:before="0" w:after="0"/>
        <w:jc w:val="both"/>
        <w:rPr>
          <w:szCs w:val="22"/>
          <w:lang w:val="en-GB"/>
        </w:rPr>
      </w:pPr>
      <w:r>
        <w:rPr>
          <w:szCs w:val="22"/>
          <w:lang w:val="en-GB"/>
        </w:rPr>
      </w:r>
    </w:p>
    <w:p>
      <w:pPr>
        <w:pStyle w:val="Heading1Numbered"/>
        <w:numPr>
          <w:ilvl w:val="0"/>
          <w:numId w:val="2"/>
        </w:numPr>
        <w:ind w:hanging="0" w:start="0"/>
        <w:jc w:val="both"/>
        <w:rPr>
          <w:rFonts w:ascii="Times New Roman" w:hAnsi="Times New Roman" w:cs="Times New Roman"/>
          <w:sz w:val="22"/>
          <w:szCs w:val="22"/>
          <w:lang w:val="en-GB"/>
        </w:rPr>
      </w:pPr>
      <w:bookmarkStart w:id="0" w:name="__RefHeading___Toc152406873"/>
      <w:bookmarkEnd w:id="0"/>
      <w:r>
        <w:rPr>
          <w:rFonts w:cs="Times New Roman" w:ascii="Times New Roman" w:hAnsi="Times New Roman"/>
          <w:sz w:val="22"/>
          <w:szCs w:val="22"/>
          <w:lang w:val="en-GB"/>
        </w:rPr>
        <w:t>INTRODUCTION</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The parties agree that, throughout the Term, the process for making any Changes will be in accordance with the procedures set out in this Exhibit.</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This Exhibit sets out the procedures that will apply in the classification, processing and approval or rejection of Changes.</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It is the intent of the parties that the procedure for the classification and processing of Changes does not automatically give rise to a change in the Charges unless: (i) the classification of a specific Change is such that the Charge Review Procedure, as described in paragraph 3.6 below, applies and that procedure results in a change to the Charges, or (ii) the Change is exempted from the Charge Review Procedure pursuant to paragraph 3.4.2(a) and a change to the Charges follows from Exhibit 4 (Pricing and financial provisions).</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Change requests can emanate from either party and will be documented as a change control note (“</w:t>
      </w:r>
      <w:r>
        <w:rPr>
          <w:rFonts w:cs="Times New Roman" w:ascii="Times New Roman" w:hAnsi="Times New Roman"/>
          <w:i/>
          <w:sz w:val="22"/>
          <w:szCs w:val="22"/>
        </w:rPr>
        <w:t>CCN</w:t>
      </w:r>
      <w:r>
        <w:rPr>
          <w:rFonts w:cs="Times New Roman" w:ascii="Times New Roman" w:hAnsi="Times New Roman"/>
          <w:b w:val="false"/>
          <w:sz w:val="22"/>
          <w:szCs w:val="22"/>
        </w:rPr>
        <w:t>”) in the form set out in Attachment 22-B (</w:t>
      </w:r>
      <w:r>
        <w:rPr>
          <w:rFonts w:cs="Times New Roman" w:ascii="Times New Roman" w:hAnsi="Times New Roman"/>
          <w:b w:val="false"/>
          <w:i/>
          <w:sz w:val="22"/>
          <w:szCs w:val="22"/>
        </w:rPr>
        <w:t>Significant Change Control Notice</w:t>
      </w:r>
      <w:r>
        <w:rPr>
          <w:rFonts w:cs="Times New Roman" w:ascii="Times New Roman" w:hAnsi="Times New Roman"/>
          <w:b w:val="false"/>
          <w:sz w:val="22"/>
          <w:szCs w:val="22"/>
        </w:rPr>
        <w:t>).</w:t>
      </w:r>
    </w:p>
    <w:p>
      <w:pPr>
        <w:pStyle w:val="Heading1Numbered"/>
        <w:numPr>
          <w:ilvl w:val="0"/>
          <w:numId w:val="2"/>
        </w:numPr>
        <w:ind w:hanging="0" w:start="0"/>
        <w:jc w:val="both"/>
        <w:rPr>
          <w:rFonts w:ascii="Times New Roman" w:hAnsi="Times New Roman" w:cs="Times New Roman"/>
          <w:bCs/>
          <w:sz w:val="22"/>
          <w:szCs w:val="22"/>
          <w:lang w:val="en-GB"/>
        </w:rPr>
      </w:pPr>
      <w:bookmarkStart w:id="1" w:name="__RefHeading___Toc152406874"/>
      <w:bookmarkEnd w:id="1"/>
      <w:r>
        <w:rPr>
          <w:rFonts w:cs="Times New Roman" w:ascii="Times New Roman" w:hAnsi="Times New Roman"/>
          <w:bCs/>
          <w:sz w:val="22"/>
          <w:szCs w:val="22"/>
          <w:lang w:val="en-GB"/>
        </w:rPr>
        <w:t>DESCRIPTION OF THIS EXHIBIT</w:t>
      </w:r>
    </w:p>
    <w:p>
      <w:pPr>
        <w:pStyle w:val="Normal"/>
        <w:spacing w:before="0" w:after="0"/>
        <w:jc w:val="both"/>
        <w:rPr>
          <w:szCs w:val="22"/>
          <w:lang w:val="en-GB"/>
        </w:rPr>
      </w:pPr>
      <w:r>
        <w:rPr>
          <w:szCs w:val="22"/>
          <w:lang w:val="en-GB"/>
        </w:rPr>
        <w:t>This Exhibit consists of the following documents:</w:t>
      </w:r>
    </w:p>
    <w:p>
      <w:pPr>
        <w:pStyle w:val="Normal"/>
        <w:spacing w:before="0" w:after="0"/>
        <w:jc w:val="both"/>
        <w:rPr>
          <w:szCs w:val="22"/>
          <w:lang w:val="en-GB"/>
        </w:rPr>
      </w:pPr>
      <w:r>
        <w:rPr>
          <w:szCs w:val="22"/>
          <w:lang w:val="en-GB"/>
        </w:rPr>
      </w:r>
    </w:p>
    <w:p>
      <w:pPr>
        <w:pStyle w:val="Normal"/>
        <w:spacing w:before="0" w:after="0"/>
        <w:ind w:start="720" w:end="0"/>
        <w:jc w:val="both"/>
        <w:rPr>
          <w:szCs w:val="22"/>
          <w:lang w:val="en-GB"/>
        </w:rPr>
      </w:pPr>
      <w:r>
        <w:rPr>
          <w:szCs w:val="22"/>
          <w:lang w:val="en-GB"/>
        </w:rPr>
        <w:t>(a)</w:t>
        <w:tab/>
        <w:t>this Exhibit;</w:t>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lang w:val="en-GB"/>
        </w:rPr>
        <w:t>(b)</w:t>
        <w:tab/>
        <w:t xml:space="preserve">Attachment 22A - </w:t>
      </w:r>
      <w:r>
        <w:rPr>
          <w:i/>
          <w:szCs w:val="22"/>
          <w:lang w:val="en-GB"/>
        </w:rPr>
        <w:t>Procedural Change Management Procedure</w:t>
      </w:r>
      <w:r>
        <w:rPr>
          <w:szCs w:val="22"/>
          <w:lang w:val="en-GB"/>
        </w:rPr>
        <w:t>; and</w:t>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lang w:val="en-GB"/>
        </w:rPr>
        <w:t>(c)</w:t>
        <w:tab/>
        <w:t xml:space="preserve">Attachment 22-B – </w:t>
      </w:r>
      <w:r>
        <w:rPr>
          <w:i/>
          <w:szCs w:val="22"/>
          <w:lang w:val="en-GB"/>
        </w:rPr>
        <w:t>Significant Change Control Notice</w:t>
      </w:r>
      <w:r>
        <w:rPr>
          <w:szCs w:val="22"/>
          <w:lang w:val="en-GB"/>
        </w:rPr>
        <w:t>.</w:t>
      </w:r>
    </w:p>
    <w:p>
      <w:pPr>
        <w:pStyle w:val="Normal"/>
        <w:spacing w:before="0" w:after="0"/>
        <w:jc w:val="both"/>
        <w:rPr>
          <w:szCs w:val="22"/>
          <w:lang w:val="en-GB"/>
        </w:rPr>
      </w:pPr>
      <w:r>
        <w:rPr>
          <w:szCs w:val="22"/>
          <w:lang w:val="en-GB"/>
        </w:rPr>
      </w:r>
    </w:p>
    <w:p>
      <w:pPr>
        <w:pStyle w:val="Heading1Numbered"/>
        <w:numPr>
          <w:ilvl w:val="0"/>
          <w:numId w:val="2"/>
        </w:numPr>
        <w:ind w:hanging="0" w:start="0"/>
        <w:jc w:val="both"/>
        <w:rPr>
          <w:rFonts w:ascii="Times New Roman" w:hAnsi="Times New Roman" w:cs="Times New Roman"/>
          <w:bCs/>
          <w:sz w:val="22"/>
          <w:szCs w:val="22"/>
          <w:lang w:val="en-GB"/>
        </w:rPr>
      </w:pPr>
      <w:bookmarkStart w:id="2" w:name="__RefHeading___Toc152406875"/>
      <w:bookmarkEnd w:id="2"/>
      <w:r>
        <w:rPr>
          <w:rFonts w:cs="Times New Roman" w:ascii="Times New Roman" w:hAnsi="Times New Roman"/>
          <w:bCs/>
          <w:sz w:val="22"/>
          <w:szCs w:val="22"/>
          <w:lang w:val="en-GB"/>
        </w:rPr>
        <w:t>CHANGE CLASSIFICATION</w:t>
      </w:r>
    </w:p>
    <w:p>
      <w:pPr>
        <w:pStyle w:val="Heading2Numbered"/>
        <w:numPr>
          <w:ilvl w:val="1"/>
          <w:numId w:val="2"/>
        </w:numPr>
        <w:ind w:hanging="0" w:start="0"/>
        <w:rPr>
          <w:sz w:val="22"/>
          <w:szCs w:val="22"/>
          <w:lang w:val="en-GB"/>
        </w:rPr>
      </w:pPr>
      <w:bookmarkStart w:id="3" w:name="__RefHeading___Toc152406876"/>
      <w:bookmarkEnd w:id="3"/>
      <w:r>
        <w:rPr>
          <w:sz w:val="22"/>
          <w:szCs w:val="22"/>
          <w:lang w:val="en-GB"/>
        </w:rPr>
        <w:t>Step 1: Assess the type of Change</w:t>
      </w:r>
    </w:p>
    <w:p>
      <w:pPr>
        <w:pStyle w:val="Normal"/>
        <w:spacing w:before="0" w:after="0"/>
        <w:jc w:val="both"/>
        <w:rPr>
          <w:szCs w:val="22"/>
          <w:lang w:val="en-GB"/>
        </w:rPr>
      </w:pPr>
      <w:r>
        <w:rPr>
          <w:szCs w:val="22"/>
          <w:lang w:val="en-GB"/>
        </w:rPr>
        <w:t>The assessment of the classification of a change is to first determine whether the change is a Procedural Change or a Significant Change in order to establish which procedure applies to the administration and implementation of that change and secondly to establish, in the case of a Significant Change, whether such change has the potential for a charge or a reduction in the Charges as applicable as described in paragraph 3.4 below.</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4" w:name="__RefHeading___Toc152406877"/>
      <w:bookmarkEnd w:id="4"/>
      <w:r>
        <w:rPr>
          <w:bCs/>
          <w:sz w:val="22"/>
          <w:lang w:val="en-GB"/>
        </w:rPr>
        <w:t>Definitions of Changes</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sz w:val="22"/>
          <w:szCs w:val="22"/>
        </w:rPr>
        <w:t>Procedural Change</w:t>
      </w:r>
      <w:r>
        <w:rPr>
          <w:rFonts w:cs="Times New Roman" w:ascii="Times New Roman" w:hAnsi="Times New Roman"/>
          <w:b w:val="false"/>
          <w:sz w:val="22"/>
          <w:szCs w:val="22"/>
        </w:rPr>
        <w:t>: changes in the manner in which the Services are performed or provided, which, when implemented do not modify, add to or reduce the scope of the Services, together with any other change that is not a Significant Change.</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sz w:val="22"/>
          <w:szCs w:val="22"/>
        </w:rPr>
        <w:t>Significant Change</w:t>
      </w:r>
      <w:r>
        <w:rPr>
          <w:rFonts w:cs="Times New Roman" w:ascii="Times New Roman" w:hAnsi="Times New Roman"/>
          <w:b w:val="false"/>
          <w:sz w:val="22"/>
          <w:szCs w:val="22"/>
        </w:rPr>
        <w:t>: Any change that:</w:t>
      </w:r>
    </w:p>
    <w:p>
      <w:pPr>
        <w:pStyle w:val="Normal"/>
        <w:spacing w:before="0" w:after="0"/>
        <w:ind w:hanging="720" w:start="1440" w:end="0"/>
        <w:jc w:val="both"/>
        <w:rPr>
          <w:szCs w:val="22"/>
          <w:lang w:val="en-GB"/>
        </w:rPr>
      </w:pPr>
      <w:r>
        <w:rPr>
          <w:szCs w:val="22"/>
          <w:lang w:val="en-GB"/>
        </w:rPr>
        <w:t>(a)</w:t>
        <w:tab/>
        <w:t>modifies, adds to or reduces the scope of the Services or any Service;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(b)</w:t>
        <w:tab/>
        <w:t>is a change to the terms of this MSA, including a change to any Service Levels, Charges or an Exhibit;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(c)</w:t>
        <w:tab/>
        <w:t>a change that adversely affects the function or performance of, or decreases the resource efficiency of the Services, or that adversely affects the way in which EuroBank conducts its business or operations, or increases EuroBank’s costs (including any internal costs); or</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(d)</w:t>
        <w:tab/>
        <w:t>a change that is stated under this MSA to be subject to the Significant Change Control Procedure, or any other changes which the parties agree from time to time are subject to the Significant Change Control Procedure.</w:t>
      </w:r>
    </w:p>
    <w:p>
      <w:pPr>
        <w:pStyle w:val="Normal"/>
        <w:spacing w:before="0" w:after="0"/>
        <w:jc w:val="both"/>
        <w:rPr>
          <w:szCs w:val="22"/>
          <w:lang w:val="en-GB"/>
        </w:rPr>
      </w:pPr>
      <w:r>
        <w:rPr>
          <w:szCs w:val="22"/>
          <w:lang w:val="en-GB"/>
        </w:rPr>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 xml:space="preserve">Any reference to a </w:t>
      </w:r>
      <w:r>
        <w:rPr>
          <w:rFonts w:cs="Times New Roman" w:ascii="Times New Roman" w:hAnsi="Times New Roman"/>
          <w:sz w:val="22"/>
          <w:szCs w:val="22"/>
        </w:rPr>
        <w:t>Change</w:t>
      </w:r>
      <w:r>
        <w:rPr>
          <w:rFonts w:cs="Times New Roman" w:ascii="Times New Roman" w:hAnsi="Times New Roman"/>
          <w:b w:val="false"/>
          <w:sz w:val="22"/>
          <w:szCs w:val="22"/>
        </w:rPr>
        <w:t xml:space="preserve"> shall mean a Procedural Change or a Significant Change, as classified in accordance with this paragraph 3.</w:t>
      </w:r>
    </w:p>
    <w:p>
      <w:pPr>
        <w:pStyle w:val="Heading2Numbered"/>
        <w:numPr>
          <w:ilvl w:val="1"/>
          <w:numId w:val="2"/>
        </w:numPr>
        <w:ind w:hanging="0" w:start="0"/>
        <w:rPr>
          <w:bCs/>
          <w:sz w:val="22"/>
          <w:lang w:val="en-GB"/>
        </w:rPr>
      </w:pPr>
      <w:bookmarkStart w:id="5" w:name="__RefHeading___Toc152406878"/>
      <w:bookmarkEnd w:id="5"/>
      <w:r>
        <w:rPr>
          <w:bCs/>
          <w:sz w:val="22"/>
          <w:lang w:val="en-GB"/>
        </w:rPr>
        <w:t>Change Control Procedure</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The process described in this Exhibit recognises that there are two procedures for the implementation of Changes that occur in the performance of the Services by the 2IM and each PST Supplier:</w:t>
      </w:r>
    </w:p>
    <w:p>
      <w:pPr>
        <w:pStyle w:val="Normal"/>
        <w:spacing w:before="0" w:after="0"/>
        <w:ind w:hanging="720" w:start="1440" w:end="0"/>
        <w:jc w:val="both"/>
        <w:rPr/>
      </w:pPr>
      <w:r>
        <w:rPr>
          <w:szCs w:val="22"/>
          <w:lang w:val="en-GB"/>
        </w:rPr>
        <w:t>(a)</w:t>
        <w:tab/>
        <w:t xml:space="preserve">the </w:t>
      </w:r>
      <w:r>
        <w:rPr>
          <w:szCs w:val="22"/>
          <w:u w:val="single"/>
          <w:lang w:val="en-GB"/>
        </w:rPr>
        <w:t>Procedural Change Management Procedure</w:t>
      </w:r>
      <w:r>
        <w:rPr>
          <w:szCs w:val="22"/>
          <w:lang w:val="en-GB"/>
        </w:rPr>
        <w:t>, described in Attachment 22-A and intended to be a fast-track process for the implementation of Procedural Changes; and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(b)</w:t>
        <w:tab/>
        <w:t xml:space="preserve">the </w:t>
      </w:r>
      <w:r>
        <w:rPr>
          <w:szCs w:val="22"/>
          <w:u w:val="single"/>
          <w:lang w:val="en-GB"/>
        </w:rPr>
        <w:t>Significant Change Control Procedure</w:t>
      </w:r>
      <w:r>
        <w:rPr>
          <w:szCs w:val="22"/>
          <w:lang w:val="en-GB"/>
        </w:rPr>
        <w:t xml:space="preserve">, described in paragraph 4 below, is the procedure which applies to any Significant Change. </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 xml:space="preserve">It is possible for a Change which starts as a Procedural Change and is implemented through the Procedural Change Management Procedure, to become a Significant Change. </w:t>
      </w:r>
    </w:p>
    <w:p>
      <w:pPr>
        <w:pStyle w:val="Heading2Numbered"/>
        <w:numPr>
          <w:ilvl w:val="1"/>
          <w:numId w:val="2"/>
        </w:numPr>
        <w:ind w:hanging="0" w:start="0"/>
        <w:rPr>
          <w:bCs/>
          <w:sz w:val="22"/>
          <w:lang w:val="en-GB"/>
        </w:rPr>
      </w:pPr>
      <w:bookmarkStart w:id="6" w:name="__RefHeading___Toc152406879"/>
      <w:bookmarkEnd w:id="6"/>
      <w:r>
        <w:rPr>
          <w:bCs/>
          <w:sz w:val="22"/>
          <w:lang w:val="en-GB"/>
        </w:rPr>
        <w:t>Chargeable or Non-Chargeable Changes</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All Procedural Changes introduced by the 2IM or PST Supplier will be non-chargeable unless otherwise agreed in advance with EuroBank.  Procedural Changes introduced as a result of an EuroBank request might be chargeable if they have an impact on the 2IM or PST Supplier's costs, in which case they will be treated in accordance with the Significant Change Control Procedure.</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Changes governed by the Significant Change Control Procedure are not automatically chargeable and may result in reduction in the Charges. The following are classifications of Significant Changes for which the Charge Review Procedure will not apply:</w:t>
      </w:r>
    </w:p>
    <w:p>
      <w:pPr>
        <w:pStyle w:val="Normal"/>
        <w:spacing w:before="0" w:after="0"/>
        <w:ind w:hanging="720" w:start="1440" w:end="0"/>
        <w:jc w:val="both"/>
        <w:rPr/>
      </w:pPr>
      <w:r>
        <w:rPr>
          <w:szCs w:val="22"/>
          <w:lang w:val="en-GB"/>
        </w:rPr>
        <w:t>(a)</w:t>
        <w:tab/>
        <w:t>Changes to the consumption of Resource Units as described in Exhibit 4 (</w:t>
      </w:r>
      <w:r>
        <w:rPr>
          <w:i/>
          <w:szCs w:val="22"/>
          <w:lang w:val="en-GB"/>
        </w:rPr>
        <w:t>Pricing and Financial Provisions</w:t>
      </w:r>
      <w:r>
        <w:rPr>
          <w:szCs w:val="22"/>
          <w:lang w:val="en-GB"/>
        </w:rPr>
        <w:t>); and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(b)</w:t>
        <w:tab/>
        <w:t>Changes required for the 2IM or PST Supplier to carry out its obligations under this MSA where the costs and expenses associated with such Changes are included in the Charges, including the following:</w:t>
      </w:r>
    </w:p>
    <w:p>
      <w:pPr>
        <w:pStyle w:val="Normal"/>
        <w:spacing w:before="0" w:after="0"/>
        <w:ind w:hanging="720" w:start="144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(i)</w:t>
        <w:tab/>
        <w:t>Projects that EuroBank has not specifically requested;</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pPr>
      <w:r>
        <w:rPr>
          <w:szCs w:val="22"/>
          <w:lang w:val="en-GB"/>
        </w:rPr>
        <w:t>(ii)</w:t>
        <w:tab/>
        <w:t>Projects that EuroBank has specifically requested, the project activities of which are defined in the Statements of Work, expressly (or implicitly by reference to Exhibit 3-A (Service Levels Matrix)) and not explicitly stated to be subject to Change Control but excluding the projects referred to in paragraph 3.4.3;</w:t>
      </w:r>
      <w:r>
        <w:rPr>
          <w:i/>
          <w:szCs w:val="22"/>
          <w:lang w:val="en-GB"/>
        </w:rPr>
      </w:r>
      <w:r>
        <w:rPr>
          <w:szCs w:val="22"/>
          <w:lang w:val="en-GB"/>
        </w:rPr>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pPr>
      <w:r>
        <w:rPr>
          <w:szCs w:val="22"/>
          <w:lang w:val="en-GB"/>
        </w:rPr>
        <w:t>(iii)</w:t>
        <w:tab/>
        <w:t>Project activities relating to life cycle management as defined in Exhibit 2.7 (</w:t>
      </w:r>
      <w:r>
        <w:rPr>
          <w:i/>
          <w:szCs w:val="22"/>
          <w:lang w:val="en-GB"/>
        </w:rPr>
        <w:t>2IM Services &amp; Governance</w:t>
      </w:r>
      <w:r>
        <w:rPr>
          <w:szCs w:val="22"/>
          <w:lang w:val="en-GB"/>
        </w:rPr>
        <w:t>);</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pPr>
      <w:r>
        <w:rPr>
          <w:szCs w:val="22"/>
          <w:lang w:val="en-GB"/>
        </w:rPr>
        <w:t>(iv)</w:t>
        <w:tab/>
        <w:t>Project activities related to continuous service improvement except for those projects which are agreed to be EuroBank’s expense as specified in section 12 of Exhibit 3 (Service Levels); and</w:t>
      </w:r>
      <w:r>
        <w:rPr>
          <w:i/>
          <w:szCs w:val="22"/>
          <w:lang w:val="en-GB"/>
        </w:rPr>
      </w:r>
      <w:r>
        <w:rPr>
          <w:szCs w:val="22"/>
          <w:lang w:val="en-GB"/>
        </w:rPr>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(v)</w:t>
        <w:tab/>
        <w:t>Project activities related to improvements in the operational environment (e.g. tooling) except those which EuroBank has agreed in advance to pay for.</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The parties agree that the following projects are not included in the Charges:</w:t>
      </w:r>
    </w:p>
    <w:p>
      <w:pPr>
        <w:pStyle w:val="Normal"/>
        <w:spacing w:before="0" w:after="0"/>
        <w:ind w:hanging="720" w:start="1440" w:end="0"/>
        <w:jc w:val="both"/>
        <w:rPr>
          <w:szCs w:val="22"/>
          <w:lang w:val="en-GB"/>
        </w:rPr>
      </w:pPr>
      <w:r>
        <w:rPr>
          <w:szCs w:val="22"/>
          <w:lang w:val="en-GB"/>
        </w:rPr>
        <w:t>(a)</w:t>
        <w:tab/>
        <w:t>Projects that EuroBank specifically requests to bring any software or system to version n-1; and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(b)</w:t>
        <w:tab/>
        <w:t>Project activities due to New Services or the expansion of Services.</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For Significant Changes that are not excluded in the list above, the Change will be assessed in accordance with the Charge Review Procedure, as defined below.</w:t>
      </w:r>
    </w:p>
    <w:p>
      <w:pPr>
        <w:pStyle w:val="Heading2Numbered"/>
        <w:numPr>
          <w:ilvl w:val="1"/>
          <w:numId w:val="2"/>
        </w:numPr>
        <w:ind w:hanging="0" w:start="0"/>
        <w:rPr>
          <w:bCs/>
          <w:sz w:val="22"/>
          <w:lang w:val="en-GB"/>
        </w:rPr>
      </w:pPr>
      <w:bookmarkStart w:id="7" w:name="__RefHeading___Toc152406880"/>
      <w:bookmarkEnd w:id="7"/>
      <w:r>
        <w:rPr>
          <w:bCs/>
          <w:sz w:val="22"/>
          <w:lang w:val="en-GB"/>
        </w:rPr>
        <w:t>Step 2: Assess the Costs of Administering the Significant Change or Procedural Change</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The preparation by the 2IM or PST Supplier of the CCN for changes that are non-chargeable, as specified above, will be performed at no additional cost to EuroBank.</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 xml:space="preserve">Implementing the Procedural Change Management Procedure will be at no additional cost to EuroBank. </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Except as set out below, each party shall be responsible for their own costs incurred in the preparation and assessment of CCNs:</w:t>
      </w:r>
    </w:p>
    <w:p>
      <w:pPr>
        <w:pStyle w:val="Normal"/>
        <w:spacing w:before="0" w:after="0"/>
        <w:ind w:hanging="720" w:start="1440" w:end="0"/>
        <w:jc w:val="both"/>
        <w:rPr/>
      </w:pPr>
      <w:r>
        <w:rPr>
          <w:szCs w:val="22"/>
          <w:lang w:val="en-GB"/>
        </w:rPr>
        <w:t>(a)</w:t>
        <w:tab/>
        <w:t>the 2IM or PST Supplier reserves the right to charge EuroBank for the preparation of CCNs (including the impact analysis) for Significant Changes requested by EuroBank: (i) where the Charge Review Procedure applies; or (ii) which are for New Services.  Where the preparation of such CCNs is performed by personnel included within the Charges, then, if such preparation cannot be accommodated within such resources, the 2IM or PST Supplier may levy a charge for the time of the additional resources necessary to prepare the CCN, provided that no charge will be made for minor CCN preparation which requires less than one (1) man-day of effort.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(b)</w:t>
        <w:tab/>
        <w:t xml:space="preserve">For those CCNs for which the 2IM or PST Supplier may make a charge, the 2IM or PST Supplier will be entitled to charge solely for: (i) the reasonable and actual time engaged by its personnel in preparation of the CCN; and (ii) for reasonable out–of-pocket expenses agreed in advance with EuroBank. The 2IM or PST Supplier will not automatically make a charge and may waive its entitlement to charge where there is a business benefit to the 2IM or PST Supplier in making the Change. Where a Charge is to be made, rates applicable for the time engaged by the 2IM or PST Supplier Personnel will be no greater than the applicable rates specified in Exhibit 4 (Pricing and Financial Provisions).  The total cost for preparation will be estimated and agreed in advance of incurring any cost and such estimate shall not be exceeded unless by agreement with EuroBank.  </w:t>
      </w:r>
      <w:r>
        <w:rPr>
          <w:i/>
          <w:szCs w:val="22"/>
          <w:lang w:val="en-GB"/>
        </w:rPr>
      </w:r>
      <w:r>
        <w:rPr>
          <w:szCs w:val="22"/>
          <w:lang w:val="en-GB"/>
        </w:rPr>
      </w:r>
    </w:p>
    <w:p>
      <w:pPr>
        <w:pStyle w:val="Heading2Numbered"/>
        <w:numPr>
          <w:ilvl w:val="1"/>
          <w:numId w:val="2"/>
        </w:numPr>
        <w:ind w:hanging="0" w:start="0"/>
        <w:rPr>
          <w:bCs/>
          <w:sz w:val="22"/>
          <w:lang w:val="en-GB"/>
        </w:rPr>
      </w:pPr>
      <w:bookmarkStart w:id="8" w:name="__RefHeading___Toc152406881"/>
      <w:bookmarkEnd w:id="8"/>
      <w:r>
        <w:rPr>
          <w:bCs/>
          <w:sz w:val="22"/>
          <w:lang w:val="en-GB"/>
        </w:rPr>
        <w:t>Step 3: The Charge Review Procedure</w:t>
      </w:r>
    </w:p>
    <w:p>
      <w:pPr>
        <w:pStyle w:val="Heading3Numbered"/>
        <w:numPr>
          <w:ilvl w:val="2"/>
          <w:numId w:val="2"/>
        </w:numPr>
        <w:ind w:hanging="0" w:start="0"/>
        <w:rPr>
          <w:rFonts w:ascii="Times New Roman" w:hAnsi="Times New Roman" w:cs="Times New Roman"/>
          <w:b w:val="false"/>
          <w:sz w:val="22"/>
          <w:szCs w:val="22"/>
          <w:u w:val="single"/>
        </w:rPr>
      </w:pPr>
      <w:r>
        <w:rPr>
          <w:rFonts w:cs="Times New Roman" w:ascii="Times New Roman" w:hAnsi="Times New Roman"/>
          <w:b w:val="false"/>
          <w:sz w:val="22"/>
          <w:szCs w:val="22"/>
          <w:u w:val="single"/>
        </w:rPr>
        <w:t>Scope</w:t>
      </w:r>
    </w:p>
    <w:p>
      <w:pPr>
        <w:pStyle w:val="Normal"/>
        <w:spacing w:before="0" w:after="0"/>
        <w:jc w:val="both"/>
        <w:rPr/>
      </w:pPr>
      <w:r>
        <w:rPr>
          <w:szCs w:val="22"/>
          <w:lang w:val="en-GB"/>
        </w:rPr>
        <w:t>The Charge Review Procedure is the only process by which the 2IM or PST Supplier may increase the Charges as a result of a Change except for:</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(a)</w:t>
        <w:tab/>
        <w:t>New Services (which are dealt with in accordance with Exhibit 23 (</w:t>
      </w:r>
      <w:r>
        <w:rPr>
          <w:i/>
          <w:szCs w:val="22"/>
          <w:lang w:val="en-GB"/>
        </w:rPr>
        <w:t>New Services</w:t>
      </w:r>
      <w:r>
        <w:rPr>
          <w:szCs w:val="22"/>
          <w:lang w:val="en-GB"/>
        </w:rPr>
        <w: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(b)</w:t>
        <w:tab/>
        <w:t xml:space="preserve">Changes classified under paragraph 3.4.2 above for which the Charge Review Procedure does not apply; and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(c)</w:t>
        <w:tab/>
        <w:t>Changes to the consumption of Resource Units as described in Exhibit 4 (</w:t>
      </w:r>
      <w:r>
        <w:rPr>
          <w:i/>
          <w:szCs w:val="22"/>
          <w:lang w:val="en-GB"/>
        </w:rPr>
        <w:t>Pricing and Financial Provisions</w:t>
      </w:r>
      <w:r>
        <w:rPr>
          <w:szCs w:val="22"/>
          <w:lang w:val="en-GB"/>
        </w:rPr>
        <w:t>) that have an automatic formula to adjust the volume.</w:t>
      </w:r>
    </w:p>
    <w:p>
      <w:pPr>
        <w:pStyle w:val="Heading3Numbered"/>
        <w:numPr>
          <w:ilvl w:val="2"/>
          <w:numId w:val="2"/>
        </w:numPr>
        <w:ind w:hanging="0" w:start="0"/>
        <w:rPr>
          <w:rFonts w:ascii="Times New Roman" w:hAnsi="Times New Roman" w:cs="Times New Roman"/>
          <w:b w:val="false"/>
          <w:sz w:val="22"/>
          <w:szCs w:val="22"/>
          <w:u w:val="single"/>
        </w:rPr>
      </w:pPr>
      <w:r>
        <w:rPr>
          <w:rFonts w:cs="Times New Roman" w:ascii="Times New Roman" w:hAnsi="Times New Roman"/>
          <w:b w:val="false"/>
          <w:sz w:val="22"/>
          <w:szCs w:val="22"/>
          <w:u w:val="single"/>
        </w:rPr>
        <w:t>Procedure</w:t>
      </w:r>
    </w:p>
    <w:p>
      <w:pPr>
        <w:pStyle w:val="Normal"/>
        <w:spacing w:before="0" w:after="0"/>
        <w:jc w:val="both"/>
        <w:rPr/>
      </w:pPr>
      <w:r>
        <w:rPr>
          <w:szCs w:val="22"/>
          <w:lang w:val="en-GB"/>
        </w:rPr>
        <w:t>Where the 2IM or PST Supplier believes an increase in the Charges is required as a result of a Change, the following will be provided with the CCN to justify the basis of the increase:</w:t>
      </w:r>
    </w:p>
    <w:p>
      <w:pPr>
        <w:pStyle w:val="Normal"/>
        <w:spacing w:before="0" w:after="0"/>
        <w:jc w:val="both"/>
        <w:rPr>
          <w:szCs w:val="22"/>
          <w:lang w:val="en-GB"/>
        </w:rPr>
      </w:pPr>
      <w:r>
        <w:rPr>
          <w:szCs w:val="22"/>
          <w:lang w:val="en-GB"/>
        </w:rPr>
      </w:r>
    </w:p>
    <w:p>
      <w:pPr>
        <w:pStyle w:val="Normal"/>
        <w:spacing w:before="0" w:after="0"/>
        <w:ind w:hanging="720" w:start="1440" w:end="0"/>
        <w:jc w:val="both"/>
        <w:rPr/>
      </w:pPr>
      <w:r>
        <w:rPr>
          <w:szCs w:val="22"/>
          <w:lang w:val="en-GB"/>
        </w:rPr>
        <w:t>(a)</w:t>
        <w:tab/>
        <w:t>an analysis of the reasons why the 2IM or PST Supplier believes its costs will be impacted by the Change and any applicable supporting documentation;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(b)</w:t>
        <w:tab/>
        <w:t>where applicable, reasonable evidence that the 2IM or PST Supplier is performing efficiently and that it has reviewed any alternatives to the 2IM or PST Supplier’s proposed way of implementing the requested Change without adjusting or increasing the Charges;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(c)</w:t>
        <w:tab/>
        <w:t>details of proposed one-off charges or changes to the Charges based upon the above; and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(d)</w:t>
        <w:tab/>
        <w:t>any other relevant information, including information justifying any proposed one-off charges or changes to the Charges and any base data and charging assumptions required by EuroBank to verify such proposed changes.</w:t>
      </w:r>
    </w:p>
    <w:p>
      <w:pPr>
        <w:pStyle w:val="Heading3Numbered"/>
        <w:numPr>
          <w:ilvl w:val="2"/>
          <w:numId w:val="2"/>
        </w:numPr>
        <w:ind w:hanging="0" w:start="0"/>
        <w:rPr>
          <w:rFonts w:ascii="Times New Roman" w:hAnsi="Times New Roman" w:cs="Times New Roman"/>
          <w:b w:val="false"/>
          <w:sz w:val="22"/>
          <w:szCs w:val="22"/>
          <w:u w:val="single"/>
        </w:rPr>
      </w:pPr>
      <w:r>
        <w:rPr>
          <w:rFonts w:cs="Times New Roman" w:ascii="Times New Roman" w:hAnsi="Times New Roman"/>
          <w:b w:val="false"/>
          <w:sz w:val="22"/>
          <w:szCs w:val="22"/>
          <w:u w:val="single"/>
        </w:rPr>
        <w:t>Review and Approval</w:t>
      </w:r>
    </w:p>
    <w:p>
      <w:pPr>
        <w:pStyle w:val="Normal"/>
        <w:spacing w:before="0" w:after="0"/>
        <w:jc w:val="both"/>
        <w:rPr>
          <w:szCs w:val="22"/>
          <w:lang w:val="en-GB"/>
        </w:rPr>
      </w:pPr>
      <w:r>
        <w:rPr>
          <w:szCs w:val="22"/>
          <w:lang w:val="en-GB"/>
        </w:rPr>
        <w:t xml:space="preserve">EuroBank will review the CCN and, following such review, either: </w:t>
      </w:r>
    </w:p>
    <w:p>
      <w:pPr>
        <w:pStyle w:val="Normal"/>
        <w:spacing w:before="0" w:after="0"/>
        <w:jc w:val="both"/>
        <w:rPr>
          <w:szCs w:val="22"/>
          <w:lang w:val="en-GB"/>
        </w:rPr>
      </w:pPr>
      <w:r>
        <w:rPr>
          <w:szCs w:val="22"/>
          <w:lang w:val="en-GB"/>
        </w:rPr>
      </w:r>
    </w:p>
    <w:p>
      <w:pPr>
        <w:pStyle w:val="Normal"/>
        <w:spacing w:before="0" w:after="0"/>
        <w:ind w:hanging="720" w:start="1440" w:end="0"/>
        <w:jc w:val="both"/>
        <w:rPr/>
      </w:pPr>
      <w:r>
        <w:rPr>
          <w:szCs w:val="22"/>
          <w:lang w:val="en-GB"/>
        </w:rPr>
        <w:t>(a)</w:t>
        <w:tab/>
        <w:t>will accept or reject the 2IM or PST Supplier’s proposal;</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(b)</w:t>
        <w:tab/>
        <w:t xml:space="preserve">will request amendment to the notification providing reasonable details of the items in the notification that EuroBank rejects; or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(c)</w:t>
        <w:tab/>
        <w:t>will request more information from the 2IM or PST Supplier as may be reasonably required by EuroBank to review the CCN.</w:t>
      </w:r>
    </w:p>
    <w:p>
      <w:pPr>
        <w:pStyle w:val="Normal"/>
        <w:spacing w:before="0" w:after="0"/>
        <w:jc w:val="both"/>
        <w:rPr/>
      </w:pPr>
      <w:r>
        <w:rPr>
          <w:szCs w:val="22"/>
          <w:lang w:val="en-GB"/>
        </w:rPr>
        <w:t>At EuroBank’s request, the 2IM or PST Supplier will resubmit its proposal with amendments as discussed between the parties.  Any agreed one-off Charges, ongoing separate Charge or adjustment to the Charges will be subject to the approval of EuroBank and the 2IM or PST Supplier.</w:t>
      </w:r>
    </w:p>
    <w:p>
      <w:pPr>
        <w:pStyle w:val="Heading1Numbered"/>
        <w:numPr>
          <w:ilvl w:val="0"/>
          <w:numId w:val="2"/>
        </w:numPr>
        <w:ind w:hanging="0" w:start="0"/>
        <w:jc w:val="both"/>
        <w:rPr>
          <w:rFonts w:ascii="Times New Roman" w:hAnsi="Times New Roman" w:cs="Times New Roman"/>
          <w:bCs/>
          <w:sz w:val="22"/>
          <w:szCs w:val="22"/>
          <w:lang w:val="en-GB"/>
        </w:rPr>
      </w:pPr>
      <w:bookmarkStart w:id="9" w:name="__RefHeading___Toc152406882"/>
      <w:bookmarkEnd w:id="9"/>
      <w:r>
        <w:rPr>
          <w:rFonts w:cs="Times New Roman" w:ascii="Times New Roman" w:hAnsi="Times New Roman"/>
          <w:bCs/>
          <w:sz w:val="22"/>
          <w:szCs w:val="22"/>
          <w:lang w:val="en-GB"/>
        </w:rPr>
        <w:t>SIGNIFICANT CHANGE CONTROL PROCEDURE</w:t>
      </w:r>
    </w:p>
    <w:p>
      <w:pPr>
        <w:pStyle w:val="Normal"/>
        <w:spacing w:before="0" w:after="0"/>
        <w:jc w:val="both"/>
        <w:rPr>
          <w:szCs w:val="22"/>
          <w:lang w:val="en-GB"/>
        </w:rPr>
      </w:pPr>
      <w:r>
        <w:rPr>
          <w:szCs w:val="22"/>
          <w:lang w:val="en-GB"/>
        </w:rPr>
        <w:t>This paragraph 4 sets out the procedures to be followed to raise, request, record and agree  Significant Changes.</w:t>
      </w:r>
    </w:p>
    <w:p>
      <w:pPr>
        <w:pStyle w:val="Heading2Numbered"/>
        <w:numPr>
          <w:ilvl w:val="1"/>
          <w:numId w:val="2"/>
        </w:numPr>
        <w:ind w:hanging="0" w:start="0"/>
        <w:rPr>
          <w:bCs/>
          <w:sz w:val="22"/>
          <w:lang w:val="en-GB"/>
        </w:rPr>
      </w:pPr>
      <w:bookmarkStart w:id="10" w:name="__RefHeading___Toc152406883"/>
      <w:bookmarkEnd w:id="10"/>
      <w:r>
        <w:rPr>
          <w:bCs/>
          <w:sz w:val="22"/>
          <w:lang w:val="en-GB"/>
        </w:rPr>
        <w:t>Change Control Notice</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All CCNs will be executed by an authorised representative of the party that requests the Significant Change, who will act as the CCN sponsor throughout the Change Control Procedure, and who will complete Part A of the CCN.  Part B of the CCN will be completed by the 2IM or PST Supplier.  CCNs will be presented to the appropriate authorised representative who will acknowledge receipt of the CCN.  The 2IM or PST Supplier and EuroBank will agree the timescale for completion of each CCN.  One Significant Change shall generate a single CCN.</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All Significant Changes will further be classified as categorised by the originator as:</w:t>
      </w:r>
    </w:p>
    <w:p>
      <w:pPr>
        <w:pStyle w:val="Normal"/>
        <w:spacing w:before="0" w:after="0"/>
        <w:ind w:hanging="720" w:start="1440" w:end="0"/>
        <w:jc w:val="both"/>
        <w:rPr>
          <w:szCs w:val="22"/>
          <w:lang w:val="en-GB"/>
        </w:rPr>
      </w:pPr>
      <w:r>
        <w:rPr>
          <w:szCs w:val="22"/>
          <w:lang w:val="en-GB"/>
        </w:rPr>
        <w:t>(a)</w:t>
        <w:tab/>
        <w:t>Priority 1 (urgent); or</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(b)</w:t>
        <w:tab/>
        <w:t>Priority 2 (normal).</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It is also possible that Significant Changes may fall into more than one priority category in which case the CCN shall detail the categories into which the elements of the Significant Change are divided.</w:t>
      </w:r>
    </w:p>
    <w:p>
      <w:pPr>
        <w:pStyle w:val="Heading2Numbered"/>
        <w:numPr>
          <w:ilvl w:val="1"/>
          <w:numId w:val="2"/>
        </w:numPr>
        <w:ind w:hanging="0" w:start="0"/>
        <w:rPr>
          <w:bCs/>
          <w:sz w:val="22"/>
          <w:lang w:val="en-GB"/>
        </w:rPr>
      </w:pPr>
      <w:bookmarkStart w:id="11" w:name="__RefHeading___Toc152406884"/>
      <w:bookmarkEnd w:id="11"/>
      <w:r>
        <w:rPr>
          <w:bCs/>
          <w:sz w:val="22"/>
          <w:lang w:val="en-GB"/>
        </w:rPr>
        <w:t>2IM and PST Supplier’s Obligations</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For each CCN, the 2IM or PST Supplier shall assess the CCN and complete Part B of the CCN form in accordance with the timescales agreed with EuroBank.  In completing Part B of the CCN form, at a minimum the 2IM or PST Supplier will provide:</w:t>
      </w:r>
    </w:p>
    <w:p>
      <w:pPr>
        <w:pStyle w:val="Normal"/>
        <w:spacing w:before="0" w:after="0"/>
        <w:ind w:hanging="720" w:start="1440" w:end="0"/>
        <w:jc w:val="both"/>
        <w:rPr/>
      </w:pPr>
      <w:r>
        <w:rPr>
          <w:szCs w:val="22"/>
          <w:lang w:val="en-GB"/>
        </w:rPr>
        <w:t>(a)</w:t>
        <w:tab/>
        <w:t>a description of the Significant Change and whether the 2IM or PST Supplier considers that the Significant Change is a New Service and should be dealt with in accordance with Exhibit 23 (</w:t>
      </w:r>
      <w:r>
        <w:rPr>
          <w:i/>
          <w:szCs w:val="22"/>
          <w:lang w:val="en-GB"/>
        </w:rPr>
        <w:t>New Services</w:t>
      </w:r>
      <w:r>
        <w:rPr>
          <w:szCs w:val="22"/>
          <w:lang w:val="en-GB"/>
        </w:rPr>
        <w: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(b)</w:t>
        <w:tab/>
        <w:t>where the Charge Review Procedure is applicable, the information that is required by paragraph 3.6;</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(c)</w:t>
        <w:tab/>
        <w:t>a list of deliverables required for implementing the Significant Change;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(d)</w:t>
        <w:tab/>
        <w:t>a timetable for implementation;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(e)</w:t>
        <w:tab/>
        <w:t>an impact analysis (as more fully described in paragraph 4.3);</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(f)</w:t>
        <w:tab/>
        <w:t>any relevant acceptance criteria;</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(g)</w:t>
        <w:tab/>
        <w:t>an assessment of the added value of a proposed change to EuroBank for 2IM or PST Supplier initiated Significant Changes; and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(h)</w:t>
        <w:tab/>
        <w:t>proposed amendments to this MSA as required.</w:t>
      </w:r>
    </w:p>
    <w:p>
      <w:pPr>
        <w:pStyle w:val="Heading2Numbered"/>
        <w:numPr>
          <w:ilvl w:val="1"/>
          <w:numId w:val="2"/>
        </w:numPr>
        <w:ind w:hanging="0" w:start="0"/>
        <w:rPr>
          <w:bCs/>
          <w:sz w:val="22"/>
          <w:lang w:val="en-GB"/>
        </w:rPr>
      </w:pPr>
      <w:bookmarkStart w:id="12" w:name="__RefHeading___Toc152406885"/>
      <w:bookmarkEnd w:id="12"/>
      <w:r>
        <w:rPr>
          <w:bCs/>
          <w:sz w:val="22"/>
          <w:lang w:val="en-GB"/>
        </w:rPr>
        <w:t>Impact Analysis</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The purpose of the impact analysis is to provide a context for a discussion around the approval and implementation of the proposed Significant Change.</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The impact analysis will consider the material effect of any proposed Significant Change on any other existing Services provided under this MSA.  The impact analysis should also consider the effect on other applicable services provided by EuroBank or any third party.  If the proposed Significant Change has no such impact, a “no impact” statement will be made.</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The impact analysis will consider the impact of the proposed Significant Change using, among others, the following parameters, when relevant to each particular Significant Change:</w:t>
      </w:r>
    </w:p>
    <w:p>
      <w:pPr>
        <w:pStyle w:val="Normal"/>
        <w:spacing w:before="0" w:after="0"/>
        <w:ind w:hanging="720" w:start="1440" w:end="0"/>
        <w:jc w:val="both"/>
        <w:rPr>
          <w:szCs w:val="22"/>
          <w:lang w:val="en-GB"/>
        </w:rPr>
      </w:pPr>
      <w:r>
        <w:rPr>
          <w:szCs w:val="22"/>
          <w:lang w:val="en-GB"/>
        </w:rPr>
        <w:t>(a)</w:t>
        <w:tab/>
        <w:t>the scope of this MSA;</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(b)</w:t>
        <w:tab/>
        <w:t>whether the proposed Significant Change is a New Service (in which case the procedures set out in Exhibit 23 (</w:t>
      </w:r>
      <w:r>
        <w:rPr>
          <w:i/>
          <w:szCs w:val="22"/>
          <w:lang w:val="en-GB"/>
        </w:rPr>
        <w:t>New Services</w:t>
      </w:r>
      <w:r>
        <w:rPr>
          <w:szCs w:val="22"/>
          <w:lang w:val="en-GB"/>
        </w:rPr>
        <w:t>) will apply);</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(c)</w:t>
        <w:tab/>
        <w:t>consideration of location;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(d)</w:t>
        <w:tab/>
        <w:t>Service Levels;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(e)</w:t>
        <w:tab/>
        <w:t>pricing elements;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(f)</w:t>
        <w:tab/>
        <w:t>delivery dates;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(g)</w:t>
        <w:tab/>
        <w:t>acceptance criteria, including End User acceptance criteria where applicable;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(h)</w:t>
        <w:tab/>
        <w:t>the Disaster Recovery Plan;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roll-back provision, including the cost and impact of such provision;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(j)</w:t>
        <w:tab/>
        <w:t>the Policies;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(k)</w:t>
        <w:tab/>
        <w:t>infrastructure requirements including new equipment and/or software;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(l)</w:t>
        <w:tab/>
        <w:t>third party agreements; and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(m)</w:t>
        <w:tab/>
        <w:t>any other matter reasonably requested by EuroBank at the time of the impact analysis or reasonably considered by the 2IM or PST Supplier to be relevant.</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The preceding is not an exhaustive list, and there may be more parameters to consider in the context of a particular Significant Change and some of the parameters described above may not be relevant to every Significant Change.</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The above parameters  should be considered in such a way to ensure that the impact analysis clearly shows the impact (if any) on the Charges, Service Levels, the Services and any other relevant matter covered by this MSA.  The resulting impact analysis will confirm the authority level required to authorise the Significant Change.</w:t>
      </w:r>
    </w:p>
    <w:p>
      <w:pPr>
        <w:pStyle w:val="Heading1Numbered"/>
        <w:numPr>
          <w:ilvl w:val="0"/>
          <w:numId w:val="2"/>
        </w:numPr>
        <w:ind w:hanging="0" w:start="0"/>
        <w:jc w:val="both"/>
        <w:rPr>
          <w:rFonts w:ascii="Times New Roman" w:hAnsi="Times New Roman" w:cs="Times New Roman"/>
          <w:bCs/>
          <w:sz w:val="22"/>
          <w:szCs w:val="22"/>
          <w:lang w:val="en-GB"/>
        </w:rPr>
      </w:pPr>
      <w:bookmarkStart w:id="13" w:name="__RefHeading___Toc152406886"/>
      <w:bookmarkEnd w:id="13"/>
      <w:r>
        <w:rPr>
          <w:rFonts w:cs="Times New Roman" w:ascii="Times New Roman" w:hAnsi="Times New Roman"/>
          <w:bCs/>
          <w:sz w:val="22"/>
          <w:szCs w:val="22"/>
          <w:lang w:val="en-GB"/>
        </w:rPr>
        <w:t>APPROVAL</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 xml:space="preserve">Prior to submission of the completed CCN to EuroBank, the 2IM or PST Supplier will undertake its own internal review of the proposal and obtain all necessary internal approvals.  As a part of this internal review process, the 2IM or PST Supplier will consider the materiality of the proposed Change in the context both of the Services affected by the change and the effect on this MSA that may arise from implementation of the Change. For greater certainty, such review is not intended to replace an impact analysis. </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EuroBank may accept or reject the CCN in whole or in part.  Where EuroBank requires the 2IM or PST Supplier to resubmit the CCN, EuroBank will provide reasonable detail to the 2IM or PST Supplier of the parts of the CCN that do not meet with its approval, setting out reasons for such rejection.  The parties will negotiate in good faith on those matters in the CCN that do not meet with EuroBank’s approval.</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Subject to the following paragraph, following an internal process of approval by EuroBank and agreement between EuroBank and the 2IM or PST Supplier, Part C of the CCN will be authorised in accordance with the authority levels agreed pursuant to Exhibit 2.7 (2IM Services &amp; Governance) or otherwise as agreed by the parties.</w:t>
      </w:r>
      <w:r>
        <w:rPr>
          <w:rFonts w:cs="Times New Roman" w:ascii="Times New Roman" w:hAnsi="Times New Roman"/>
          <w:b w:val="false"/>
          <w:i/>
          <w:sz w:val="22"/>
          <w:szCs w:val="22"/>
        </w:rPr>
      </w:r>
      <w:r>
        <w:rPr>
          <w:rFonts w:cs="Times New Roman" w:ascii="Times New Roman" w:hAnsi="Times New Roman"/>
          <w:b w:val="false"/>
          <w:sz w:val="22"/>
          <w:szCs w:val="22"/>
        </w:rPr>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If the 2IM or PST Supplier proceeds with a Significant Change without EuroBank’s prior written authorisation, such Significant Change will be entirely at the 2IM or PST Supplier’s cost and risk (and may require the 2IM or PST Supplier to undo the Significant Change at the 2IM or PST Supplier’s expense), except in emergencies where immediate risk of loss or damage to either party exists; however in such case, the 2IM or PST Supplier shall notify EuroBank as soon as practicable after implementation of the Significant Change.</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 xml:space="preserve">Subject to agreement on the price of a Significant Change (where applicable) the 2IM or PST Supplier is compelled to implement Changes at EuroBank’s request. </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For the avoidance of doubt a Significant Change will not be deemed acceptable unless agreed upon in writing by the respective authorised signatories of the parties.</w:t>
      </w:r>
    </w:p>
    <w:p>
      <w:pPr>
        <w:pStyle w:val="Heading1Numbered"/>
        <w:numPr>
          <w:ilvl w:val="0"/>
          <w:numId w:val="2"/>
        </w:numPr>
        <w:ind w:hanging="0" w:start="0"/>
        <w:jc w:val="both"/>
        <w:rPr>
          <w:rFonts w:ascii="Times New Roman" w:hAnsi="Times New Roman" w:cs="Times New Roman"/>
          <w:bCs/>
          <w:sz w:val="22"/>
          <w:szCs w:val="22"/>
          <w:lang w:val="en-GB"/>
        </w:rPr>
      </w:pPr>
      <w:bookmarkStart w:id="14" w:name="__RefHeading___Toc152406887"/>
      <w:bookmarkEnd w:id="14"/>
      <w:r>
        <w:rPr>
          <w:rFonts w:cs="Times New Roman" w:ascii="Times New Roman" w:hAnsi="Times New Roman"/>
          <w:bCs/>
          <w:sz w:val="22"/>
          <w:szCs w:val="22"/>
          <w:lang w:val="en-GB"/>
        </w:rPr>
        <w:t>CHANGE MANAGEMENT</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The 2IM or PST Supplier will record and track the progress of all CCNs and report the status of CCNs in accordance with Exhibit 13 (</w:t>
      </w:r>
      <w:r>
        <w:rPr>
          <w:rFonts w:cs="Times New Roman" w:ascii="Times New Roman" w:hAnsi="Times New Roman"/>
          <w:b w:val="false"/>
          <w:i/>
          <w:sz w:val="22"/>
          <w:szCs w:val="22"/>
        </w:rPr>
        <w:t>Reports</w:t>
      </w:r>
      <w:r>
        <w:rPr>
          <w:rFonts w:cs="Times New Roman" w:ascii="Times New Roman" w:hAnsi="Times New Roman"/>
          <w:b w:val="false"/>
          <w:sz w:val="22"/>
          <w:szCs w:val="22"/>
        </w:rPr>
        <w:t>).</w:t>
      </w:r>
    </w:p>
    <w:p>
      <w:pPr>
        <w:pStyle w:val="Heading3Numbered"/>
        <w:numPr>
          <w:ilvl w:val="2"/>
          <w:numId w:val="2"/>
        </w:numPr>
        <w:ind w:hanging="0" w:start="0"/>
        <w:rPr>
          <w:rFonts w:ascii="Times New Roman" w:hAnsi="Times New Roman" w:cs="Times New Roman"/>
          <w:b w:val="false"/>
          <w:sz w:val="22"/>
          <w:szCs w:val="22"/>
        </w:rPr>
      </w:pPr>
      <w:r>
        <w:rPr>
          <w:rFonts w:cs="Times New Roman" w:ascii="Times New Roman" w:hAnsi="Times New Roman"/>
          <w:b w:val="false"/>
          <w:sz w:val="22"/>
          <w:szCs w:val="22"/>
        </w:rPr>
        <w:t>Each party will perform its responsibilities for the management of Changes in accordance with Exhibits 2.7 (</w:t>
      </w:r>
      <w:r>
        <w:rPr>
          <w:rFonts w:cs="Times New Roman" w:ascii="Times New Roman" w:hAnsi="Times New Roman"/>
          <w:b w:val="false"/>
          <w:i/>
          <w:sz w:val="22"/>
          <w:szCs w:val="22"/>
        </w:rPr>
        <w:t>2IM Services &amp; Governance</w:t>
      </w:r>
      <w:r>
        <w:rPr>
          <w:rFonts w:cs="Times New Roman" w:ascii="Times New Roman" w:hAnsi="Times New Roman"/>
          <w:b w:val="false"/>
          <w:sz w:val="22"/>
          <w:szCs w:val="22"/>
        </w:rPr>
        <w:t>) and 6 (</w:t>
      </w:r>
      <w:r>
        <w:rPr>
          <w:rFonts w:cs="Times New Roman" w:ascii="Times New Roman" w:hAnsi="Times New Roman"/>
          <w:b w:val="false"/>
          <w:i/>
          <w:sz w:val="22"/>
          <w:szCs w:val="22"/>
        </w:rPr>
        <w:t>Governance</w:t>
      </w:r>
      <w:r>
        <w:rPr>
          <w:rFonts w:cs="Times New Roman" w:ascii="Times New Roman" w:hAnsi="Times New Roman"/>
          <w:b w:val="false"/>
          <w:sz w:val="22"/>
          <w:szCs w:val="22"/>
        </w:rPr>
        <w:t>).</w:t>
      </w:r>
    </w:p>
    <w:p>
      <w:pPr>
        <w:pStyle w:val="Normal"/>
        <w:spacing w:before="0" w:after="0"/>
        <w:jc w:val="both"/>
        <w:rPr>
          <w:rFonts w:ascii="Times New Roman" w:hAnsi="Times New Roman" w:cs="Times New Roman"/>
          <w:b/>
          <w:sz w:val="22"/>
          <w:szCs w:val="22"/>
          <w:lang w:val="en-GB"/>
        </w:rPr>
      </w:pPr>
      <w:r>
        <w:rPr>
          <w:rFonts w:cs="Times New Roman"/>
          <w:b/>
          <w:sz w:val="22"/>
          <w:szCs w:val="22"/>
          <w:lang w:val="en-GB"/>
        </w:rPr>
      </w:r>
    </w:p>
    <w:sectPr>
      <w:headerReference w:type="default" r:id="rId8"/>
      <w:headerReference w:type="first" r:id="rId9"/>
      <w:footerReference w:type="default" r:id="rId10"/>
      <w:footerReference w:type="first" r:id="rId11"/>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7</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22 (Change Control) Final v1.4.doc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22 (Change Control) Final v1.4.doc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22 (Change Control) Final v1.4.doc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2"/>
        <w:i w:val="false"/>
        <w:b w:val="false"/>
        <w:szCs w:val="22"/>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Bold;Times New Roman" w:hAnsi="Times New Roman Bold;Times New Roman" w:cs="Times New Roman Bold;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5">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2">
    <w:name w:val="WW8Num1z2"/>
    <w:qFormat/>
    <w:rPr>
      <w:rFonts w:ascii="Times New Roman" w:hAnsi="Times New Roman" w:cs="Times New Roman"/>
      <w:b w:val="false"/>
      <w:i w:val="false"/>
      <w:sz w:val="22"/>
      <w:szCs w:val="22"/>
    </w:rPr>
  </w:style>
  <w:style w:type="character" w:styleId="WW8Num1z3">
    <w:name w:val="WW8Num1z3"/>
    <w:qFormat/>
    <w:rPr>
      <w:rFonts w:ascii="Times New Roman Bold;Times New Roman" w:hAnsi="Times New Roman Bold;Times New Roman" w:cs="Times New Roman Bold;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Times New Roman" w:hAnsi="Times New Roman" w:cs="Times New Roman"/>
      <w:b w:val="false"/>
      <w:i w:val="false"/>
      <w:color w:val="000000"/>
      <w:sz w:val="22"/>
    </w:rPr>
  </w:style>
  <w:style w:type="character" w:styleId="WW8Num4z1">
    <w:name w:val="WW8Num4z1"/>
    <w:qFormat/>
    <w:rPr>
      <w:rFonts w:ascii="Times New Roman" w:hAnsi="Times New Roman" w:cs="Times New Roman"/>
      <w:b w:val="false"/>
      <w:i w:val="false"/>
      <w:sz w:val="22"/>
    </w:rPr>
  </w:style>
  <w:style w:type="character" w:styleId="WW8Num4z4">
    <w:name w:val="WW8Num4z4"/>
    <w:qFormat/>
    <w:rPr/>
  </w:style>
  <w:style w:type="character" w:styleId="WW8Num5z0">
    <w:name w:val="WW8Num5z0"/>
    <w:qFormat/>
    <w:rPr>
      <w:rFonts w:ascii="Times New Roman" w:hAnsi="Times New Roman" w:cs="Times New Roman"/>
      <w:b w:val="false"/>
      <w:i w:val="false"/>
      <w:color w:val="000000"/>
      <w:sz w:val="22"/>
    </w:rPr>
  </w:style>
  <w:style w:type="character" w:styleId="WW8Num5z1">
    <w:name w:val="WW8Num5z1"/>
    <w:qFormat/>
    <w:rPr>
      <w:rFonts w:ascii="Times New Roman" w:hAnsi="Times New Roman" w:cs="Times New Roman"/>
      <w:b w:val="false"/>
      <w:i w:val="false"/>
      <w:sz w:val="22"/>
    </w:rPr>
  </w:style>
  <w:style w:type="character" w:styleId="WW8Num5z4">
    <w:name w:val="WW8Num5z4"/>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Heading3NumberedChar">
    <w:name w:val="Heading 3 Numbered Char"/>
    <w:basedOn w:val="DefaultParagraphFont"/>
    <w:qFormat/>
    <w:rPr>
      <w:rFonts w:ascii="Times New Roman Bold;Times New Roman" w:hAnsi="Times New Roman Bold;Times New Roman" w:cs="Times New Roman Bold;Times New Roman"/>
      <w:b/>
      <w:sz w:val="24"/>
      <w:szCs w:val="24"/>
      <w:lang w:val="en-US" w:bidi="ar-SA"/>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6"/>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5"/>
      </w:numPr>
    </w:pPr>
    <w:rPr>
      <w:bCs/>
    </w:rPr>
  </w:style>
  <w:style w:type="paragraph" w:styleId="TableLevel3Numbered">
    <w:name w:val="Table Level 3 Numbered"/>
    <w:basedOn w:val="Normal"/>
    <w:qFormat/>
    <w:pPr>
      <w:numPr>
        <w:ilvl w:val="0"/>
        <w:numId w:val="5"/>
      </w:numPr>
    </w:pPr>
    <w:rPr/>
  </w:style>
  <w:style w:type="paragraph" w:styleId="TableLevel4Numbered">
    <w:name w:val="Table Level 4 Numbered"/>
    <w:basedOn w:val="Normal"/>
    <w:qFormat/>
    <w:pPr>
      <w:numPr>
        <w:ilvl w:val="0"/>
        <w:numId w:val="5"/>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4"/>
      </w:numPr>
      <w:spacing w:before="240" w:after="240"/>
    </w:pPr>
    <w:rPr/>
  </w:style>
  <w:style w:type="paragraph" w:styleId="BodyLevel2Numbered">
    <w:name w:val="Body Level 2 Numbered"/>
    <w:basedOn w:val="Normal"/>
    <w:qFormat/>
    <w:pPr>
      <w:numPr>
        <w:ilvl w:val="0"/>
        <w:numId w:val="4"/>
      </w:numPr>
      <w:spacing w:before="240" w:after="240"/>
    </w:pPr>
    <w:rPr/>
  </w:style>
  <w:style w:type="paragraph" w:styleId="BodyLevel3Numbered">
    <w:name w:val="Body Level 3 Numbered"/>
    <w:basedOn w:val="Normal"/>
    <w:qFormat/>
    <w:pPr>
      <w:numPr>
        <w:ilvl w:val="0"/>
        <w:numId w:val="4"/>
      </w:numPr>
      <w:spacing w:before="240" w:after="240"/>
    </w:pPr>
    <w:rPr/>
  </w:style>
  <w:style w:type="paragraph" w:styleId="BodyLevel4Numbered">
    <w:name w:val="Body Level 4 Numbered"/>
    <w:basedOn w:val="Normal"/>
    <w:qFormat/>
    <w:pPr>
      <w:numPr>
        <w:ilvl w:val="0"/>
        <w:numId w:val="4"/>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alloonText">
    <w:name w:val="Balloon Text"/>
    <w:basedOn w:val="Normal"/>
    <w:qFormat/>
    <w:pPr/>
    <w:rPr>
      <w:rFonts w:ascii="Tahoma" w:hAnsi="Tahoma" w:cs="Tahoma"/>
      <w:sz w:val="16"/>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2006-12-01T04:24:00Z</dcterms:created>
  <dc:creator> </dc:creator>
  <dc:description/>
  <cp:keywords/>
  <dc:language>en-US</dc:language>
  <cp:lastModifiedBy>Stuart Johnson</cp:lastModifiedBy>
  <cp:lastPrinted>2005-07-04T16:19:00Z</cp:lastPrinted>
  <dcterms:modified xsi:type="dcterms:W3CDTF">2006-12-01T04:25:00Z</dcterms:modified>
  <cp:revision>4</cp:revision>
  <dc:subject/>
  <dc:title> </dc:title>
</cp:coreProperties>
</file>