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r>
    </w:p>
    <w:p>
      <w:pPr>
        <w:pStyle w:val="Title"/>
        <w:rPr>
          <w:lang w:val="en-GB"/>
        </w:rPr>
      </w:pPr>
      <w:r>
        <w:rPr>
          <w:lang w:val="en-GB"/>
        </w:rPr>
        <w:t xml:space="preserve">Exhibit </w:t>
      </w:r>
      <w:r>
        <w:rPr>
          <w:rFonts w:cs="Times New Roman"/>
          <w:lang w:val="en-GB"/>
        </w:rPr>
        <w:t>23</w:t>
      </w:r>
    </w:p>
    <w:p>
      <w:pPr>
        <w:pStyle w:val="Title"/>
        <w:rPr>
          <w:lang w:val="en-GB"/>
        </w:rPr>
      </w:pPr>
      <w:r>
        <w:rPr>
          <w:lang w:val="en-GB"/>
        </w:rPr>
      </w:r>
    </w:p>
    <w:p>
      <w:pPr>
        <w:pStyle w:val="Title"/>
        <w:rPr>
          <w:lang w:val="en-GB"/>
        </w:rPr>
      </w:pPr>
      <w:r>
        <w:rPr>
          <w:lang w:val="en-GB"/>
        </w:rPr>
        <w:t>New Services</w:t>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418" w:right="1829" w:gutter="0" w:header="357" w:top="1418" w:footer="680" w:bottom="1418"/>
          <w:pgNumType w:start="0" w:fmt="decimal"/>
          <w:formProt w:val="false"/>
          <w:textDirection w:val="lrTb"/>
          <w:docGrid w:type="default" w:linePitch="360" w:charSpace="0"/>
        </w:sectPr>
        <w:pStyle w:val="Title"/>
        <w:rPr>
          <w:lang w:val="en-GB"/>
        </w:rPr>
      </w:pPr>
      <w:r>
        <w:rPr>
          <w:lang w:val="en-GB"/>
        </w:rPr>
      </w:r>
    </w:p>
    <w:p>
      <w:pPr>
        <w:pStyle w:val="Subtitle"/>
        <w:jc w:val="center"/>
        <w:rPr>
          <w:rFonts w:ascii="Times New Roman" w:hAnsi="Times New Roman" w:cs="Times New Roman"/>
          <w:sz w:val="18"/>
          <w:szCs w:val="18"/>
          <w:lang w:val="en-GB"/>
        </w:rPr>
      </w:pPr>
      <w:r>
        <w:rPr>
          <w:rFonts w:cs="Times New Roman" w:ascii="Times New Roman" w:hAnsi="Times New Roman"/>
          <w:sz w:val="18"/>
          <w:szCs w:val="18"/>
          <w:lang w:val="en-GB"/>
        </w:rPr>
        <w:t>Table of Contents</w:t>
      </w:r>
    </w:p>
    <w:p>
      <w:pPr>
        <w:pStyle w:val="Subtitle"/>
        <w:rPr>
          <w:rFonts w:ascii="Times New Roman" w:hAnsi="Times New Roman" w:cs="Times New Roman"/>
          <w:sz w:val="18"/>
          <w:szCs w:val="18"/>
          <w:lang w:val="en-GB"/>
        </w:rPr>
      </w:pPr>
      <w:r>
        <w:rPr>
          <w:rFonts w:cs="Times New Roman" w:ascii="Times New Roman" w:hAnsi="Times New Roman"/>
          <w:sz w:val="18"/>
          <w:szCs w:val="18"/>
          <w:lang w:val="en-GB"/>
        </w:rPr>
      </w:r>
    </w:p>
    <w:sdt>
      <w:sdtPr>
        <w:docPartObj>
          <w:docPartGallery w:val="Table of Contents"/>
          <w:docPartUnique w:val="true"/>
        </w:docPartObj>
      </w:sdtPr>
      <w:sdtContent>
        <w:p>
          <w:pPr>
            <w:pStyle w:val="TOC1"/>
            <w:rPr>
              <w:caps w:val="false"/>
              <w:smallCaps w:val="false"/>
              <w:sz w:val="18"/>
              <w:szCs w:val="18"/>
              <w:lang w:val="en-US" w:eastAsia="en-US"/>
            </w:rPr>
          </w:pPr>
          <w:r>
            <w:fldChar w:fldCharType="begin"/>
          </w:r>
          <w:r>
            <w:rPr>
              <w:sz w:val="18"/>
              <w:szCs w:val="18"/>
              <w:lang w:val="en-US" w:eastAsia="en-US"/>
            </w:rPr>
            <w:instrText xml:space="preserve"> TOC \t "Heading 1 Numbered,1" </w:instrText>
          </w:r>
          <w:r>
            <w:rPr>
              <w:sz w:val="18"/>
              <w:szCs w:val="18"/>
              <w:lang w:val="en-US" w:eastAsia="en-US"/>
            </w:rPr>
            <w:fldChar w:fldCharType="separate"/>
          </w:r>
          <w:r>
            <w:rPr>
              <w:sz w:val="18"/>
              <w:szCs w:val="18"/>
              <w:lang w:val="en-US" w:eastAsia="en-US"/>
            </w:rPr>
            <w:t>1.0</w:t>
          </w:r>
          <w:r>
            <w:rPr>
              <w:caps w:val="false"/>
              <w:smallCaps w:val="false"/>
              <w:sz w:val="18"/>
              <w:szCs w:val="18"/>
              <w:lang w:val="en-US" w:eastAsia="en-US"/>
            </w:rPr>
            <w:tab/>
          </w:r>
          <w:r>
            <w:rPr>
              <w:sz w:val="18"/>
              <w:szCs w:val="18"/>
              <w:lang w:val="en-US" w:eastAsia="en-US"/>
            </w:rPr>
            <w:t>New Services</w:t>
            <w:tab/>
          </w:r>
          <w:hyperlink w:anchor="__RefHeading___Toc152695003">
            <w:r>
              <w:rPr>
                <w:rStyle w:val="IndexLink"/>
                <w:sz w:val="18"/>
                <w:szCs w:val="18"/>
                <w:lang w:val="en-US" w:eastAsia="en-US"/>
              </w:rPr>
              <w:t>1</w:t>
            </w:r>
          </w:hyperlink>
        </w:p>
        <w:p>
          <w:pPr>
            <w:pStyle w:val="TOC1"/>
            <w:rPr>
              <w:caps w:val="false"/>
              <w:smallCaps w:val="false"/>
              <w:sz w:val="18"/>
              <w:szCs w:val="18"/>
              <w:lang w:val="en-US" w:eastAsia="en-US"/>
            </w:rPr>
          </w:pPr>
          <w:r>
            <w:rPr>
              <w:sz w:val="18"/>
              <w:szCs w:val="18"/>
              <w:lang w:val="en-US" w:eastAsia="en-US"/>
            </w:rPr>
            <w:t>2.0</w:t>
          </w:r>
          <w:r>
            <w:rPr>
              <w:caps w:val="false"/>
              <w:smallCaps w:val="false"/>
              <w:sz w:val="18"/>
              <w:szCs w:val="18"/>
              <w:lang w:val="en-US" w:eastAsia="en-US"/>
            </w:rPr>
            <w:tab/>
          </w:r>
          <w:r>
            <w:rPr>
              <w:sz w:val="18"/>
              <w:szCs w:val="18"/>
              <w:lang w:val="en-US" w:eastAsia="en-US"/>
            </w:rPr>
            <w:t>Definition of New Services</w:t>
            <w:tab/>
          </w:r>
          <w:hyperlink w:anchor="__RefHeading___Toc152695004">
            <w:r>
              <w:rPr>
                <w:rStyle w:val="IndexLink"/>
                <w:sz w:val="18"/>
                <w:szCs w:val="18"/>
                <w:lang w:val="en-US" w:eastAsia="en-US"/>
              </w:rPr>
              <w:t>1</w:t>
            </w:r>
          </w:hyperlink>
        </w:p>
        <w:p>
          <w:pPr>
            <w:pStyle w:val="TOC1"/>
            <w:rPr>
              <w:caps w:val="false"/>
              <w:smallCaps w:val="false"/>
              <w:sz w:val="18"/>
              <w:szCs w:val="18"/>
              <w:lang w:val="en-US" w:eastAsia="en-US"/>
            </w:rPr>
          </w:pPr>
          <w:r>
            <w:rPr>
              <w:sz w:val="18"/>
              <w:szCs w:val="18"/>
              <w:lang w:val="en-US" w:eastAsia="en-US"/>
            </w:rPr>
            <w:t>3.0</w:t>
          </w:r>
          <w:r>
            <w:rPr>
              <w:caps w:val="false"/>
              <w:smallCaps w:val="false"/>
              <w:sz w:val="18"/>
              <w:szCs w:val="18"/>
              <w:lang w:val="en-US" w:eastAsia="en-US"/>
            </w:rPr>
            <w:tab/>
          </w:r>
          <w:r>
            <w:rPr>
              <w:sz w:val="18"/>
              <w:szCs w:val="18"/>
              <w:lang w:val="en-US" w:eastAsia="en-US"/>
            </w:rPr>
            <w:t>Pricing for New Services</w:t>
            <w:tab/>
          </w:r>
          <w:hyperlink w:anchor="__RefHeading___Toc152695005">
            <w:r>
              <w:rPr>
                <w:rStyle w:val="IndexLink"/>
                <w:sz w:val="18"/>
                <w:szCs w:val="18"/>
                <w:lang w:val="en-US" w:eastAsia="en-US"/>
              </w:rPr>
              <w:t>1</w:t>
            </w:r>
          </w:hyperlink>
        </w:p>
        <w:p>
          <w:pPr>
            <w:pStyle w:val="TOC1"/>
            <w:rPr>
              <w:sz w:val="18"/>
              <w:szCs w:val="18"/>
              <w:lang w:val="en-US" w:eastAsia="en-US"/>
            </w:rPr>
          </w:pPr>
          <w:r>
            <w:rPr>
              <w:caps w:val="false"/>
              <w:smallCaps w:val="false"/>
              <w:sz w:val="18"/>
              <w:szCs w:val="18"/>
              <w:lang w:val="en-US" w:eastAsia="en-US"/>
            </w:rPr>
            <w:t>4.0</w:t>
          </w:r>
          <w:r>
            <w:rPr>
              <w:caps w:val="false"/>
              <w:smallCaps w:val="false"/>
              <w:sz w:val="18"/>
              <w:szCs w:val="18"/>
              <w:lang w:val="en-US" w:eastAsia="en-US"/>
            </w:rPr>
            <w:tab/>
          </w:r>
          <w:r>
            <w:rPr>
              <w:caps w:val="false"/>
              <w:smallCaps w:val="false"/>
              <w:sz w:val="18"/>
              <w:szCs w:val="18"/>
              <w:lang w:val="en-US" w:eastAsia="en-US"/>
            </w:rPr>
            <w:t>Third Party Vendor Bids</w:t>
            <w:tab/>
          </w:r>
          <w:hyperlink w:anchor="__RefHeading___Toc152695006">
            <w:r>
              <w:rPr>
                <w:rStyle w:val="IndexLink"/>
                <w:caps w:val="false"/>
                <w:smallCaps w:val="false"/>
                <w:sz w:val="18"/>
                <w:szCs w:val="18"/>
                <w:lang w:val="en-US" w:eastAsia="en-US"/>
              </w:rPr>
              <w:t>1</w:t>
            </w:r>
          </w:hyperlink>
          <w:r>
            <w:rPr>
              <w:rStyle w:val="IndexLink"/>
              <w:smallCaps w:val="false"/>
              <w:caps w:val="false"/>
              <w:sz w:val="18"/>
              <w:szCs w:val="18"/>
              <w:lang w:val="en-US" w:eastAsia="en-US"/>
            </w:rPr>
            <w:fldChar w:fldCharType="end"/>
          </w:r>
        </w:p>
      </w:sdtContent>
    </w:sdt>
    <w:p>
      <w:pPr>
        <w:pStyle w:val="Subtitle"/>
        <w:rPr>
          <w:rFonts w:ascii="Times New Roman" w:hAnsi="Times New Roman" w:cs="Times New Roman"/>
          <w:b w:val="false"/>
          <w:caps/>
          <w:sz w:val="18"/>
          <w:szCs w:val="18"/>
          <w:lang w:val="en-GB" w:eastAsia="en-US"/>
        </w:rPr>
      </w:pPr>
      <w:r>
        <w:rPr>
          <w:rFonts w:cs="Times New Roman" w:ascii="Times New Roman" w:hAnsi="Times New Roman"/>
          <w:b w:val="false"/>
          <w:caps/>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418" w:right="1829" w:gutter="0" w:header="357" w:top="1418" w:footer="680" w:bottom="1418"/>
          <w:pgNumType w:start="0" w:fmt="decimal"/>
          <w:formProt w:val="false"/>
          <w:textDirection w:val="lrTb"/>
          <w:docGrid w:type="default" w:linePitch="360" w:charSpace="0"/>
        </w:sectPr>
        <w:pStyle w:val="Subtitle"/>
        <w:rPr>
          <w:b w:val="false"/>
          <w:sz w:val="18"/>
          <w:szCs w:val="18"/>
          <w:lang w:val="en-GB"/>
        </w:rPr>
      </w:pPr>
      <w:r>
        <w:rPr>
          <w:b w:val="false"/>
          <w:sz w:val="18"/>
          <w:szCs w:val="18"/>
          <w:lang w:val="en-GB"/>
        </w:rPr>
      </w:r>
    </w:p>
    <w:p>
      <w:pPr>
        <w:pStyle w:val="Heading1Numbered"/>
        <w:numPr>
          <w:ilvl w:val="0"/>
          <w:numId w:val="0"/>
        </w:numPr>
        <w:ind w:hanging="0" w:start="0" w:end="898"/>
        <w:rPr>
          <w:b w:val="false"/>
          <w:sz w:val="22"/>
          <w:szCs w:val="22"/>
          <w:lang w:val="en-GB"/>
        </w:rPr>
      </w:pPr>
      <w:r>
        <w:rPr>
          <w:b w:val="false"/>
          <w:sz w:val="22"/>
          <w:szCs w:val="22"/>
          <w:lang w:val="en-GB"/>
        </w:rPr>
      </w:r>
    </w:p>
    <w:p>
      <w:pPr>
        <w:pStyle w:val="Heading1Numbered"/>
        <w:numPr>
          <w:ilvl w:val="0"/>
          <w:numId w:val="4"/>
        </w:numPr>
        <w:ind w:hanging="720" w:start="720" w:end="898"/>
        <w:rPr>
          <w:sz w:val="22"/>
          <w:szCs w:val="22"/>
        </w:rPr>
      </w:pPr>
      <w:bookmarkStart w:id="0" w:name="__RefHeading___Toc152695003"/>
      <w:bookmarkEnd w:id="0"/>
      <w:r>
        <w:rPr>
          <w:sz w:val="22"/>
          <w:szCs w:val="22"/>
        </w:rPr>
        <w:t>New Services</w:t>
      </w:r>
    </w:p>
    <w:p>
      <w:pPr>
        <w:pStyle w:val="BodytextHM"/>
        <w:ind w:start="0" w:end="22"/>
        <w:jc w:val="both"/>
        <w:rPr/>
      </w:pPr>
      <w:r>
        <w:rPr>
          <w:rFonts w:cs="Times New Roman" w:ascii="Times New Roman" w:hAnsi="Times New Roman"/>
          <w:lang w:val="en-GB"/>
        </w:rPr>
        <w:t>In the event that EuroBank requests the PST Supplier(s) and / or 2IM to perform functions that are materially different from, and in addition to, the Services, the Parties obligations with respect to such functions shall be as follows:</w:t>
      </w:r>
    </w:p>
    <w:p>
      <w:pPr>
        <w:pStyle w:val="Heading1Numbered"/>
        <w:numPr>
          <w:ilvl w:val="0"/>
          <w:numId w:val="4"/>
        </w:numPr>
        <w:ind w:hanging="720" w:start="720" w:end="22"/>
        <w:rPr>
          <w:sz w:val="22"/>
          <w:szCs w:val="22"/>
        </w:rPr>
      </w:pPr>
      <w:bookmarkStart w:id="1" w:name="__RefHeading___Toc152695004"/>
      <w:bookmarkEnd w:id="1"/>
      <w:r>
        <w:rPr>
          <w:sz w:val="22"/>
          <w:szCs w:val="22"/>
        </w:rPr>
        <w:t>Definition of New Services</w:t>
      </w:r>
    </w:p>
    <w:p>
      <w:pPr>
        <w:pStyle w:val="Normal"/>
        <w:ind w:end="22"/>
        <w:rPr/>
      </w:pPr>
      <w:r>
        <w:rPr>
          <w:lang w:val="en-GB"/>
        </w:rPr>
        <w:t>“</w:t>
      </w:r>
      <w:r>
        <w:rPr>
          <w:lang w:val="en-GB"/>
        </w:rPr>
        <w:t>New Services” shall be defined as requests to perform services that fall outside of the scope of the Services;</w:t>
      </w:r>
    </w:p>
    <w:p>
      <w:pPr>
        <w:pStyle w:val="Normal"/>
        <w:ind w:end="22"/>
        <w:rPr>
          <w:lang w:val="en-GB"/>
        </w:rPr>
      </w:pPr>
      <w:r>
        <w:rPr>
          <w:lang w:val="en-GB"/>
        </w:rPr>
      </w:r>
    </w:p>
    <w:p>
      <w:pPr>
        <w:pStyle w:val="Heading1Numbered"/>
        <w:numPr>
          <w:ilvl w:val="0"/>
          <w:numId w:val="4"/>
        </w:numPr>
        <w:ind w:hanging="720" w:start="720" w:end="22"/>
        <w:rPr>
          <w:sz w:val="22"/>
          <w:szCs w:val="22"/>
        </w:rPr>
      </w:pPr>
      <w:bookmarkStart w:id="2" w:name="__RefHeading___Toc152695005"/>
      <w:bookmarkEnd w:id="2"/>
      <w:r>
        <w:rPr>
          <w:sz w:val="22"/>
          <w:szCs w:val="22"/>
        </w:rPr>
        <w:t>Pricing for New Services</w:t>
      </w:r>
    </w:p>
    <w:p>
      <w:pPr>
        <w:pStyle w:val="BodytextHM"/>
        <w:ind w:hanging="709" w:end="22"/>
        <w:jc w:val="both"/>
        <w:rPr>
          <w:rFonts w:ascii="Times New Roman" w:hAnsi="Times New Roman" w:cs="Times New Roman"/>
          <w:lang w:val="en-GB"/>
        </w:rPr>
      </w:pPr>
      <w:r>
        <w:rPr>
          <w:rFonts w:cs="Times New Roman" w:ascii="Times New Roman" w:hAnsi="Times New Roman"/>
          <w:lang w:val="en-GB"/>
        </w:rPr>
        <w:t>a)</w:t>
        <w:tab/>
        <w:t>Where the PST Supplier(s) and / or 2IM is requested to provide New Services which are materially not similar in nature to the Service, EuroBank shall ask the PST to quote EuroBank a price for performing the New Service, which the PST shall do.</w:t>
      </w:r>
    </w:p>
    <w:p>
      <w:pPr>
        <w:pStyle w:val="BodytextHM"/>
        <w:ind w:hanging="709" w:end="22"/>
        <w:jc w:val="both"/>
        <w:rPr/>
      </w:pPr>
      <w:r>
        <w:rPr>
          <w:rFonts w:cs="Times New Roman" w:ascii="Times New Roman" w:hAnsi="Times New Roman"/>
          <w:lang w:val="en-GB"/>
        </w:rPr>
        <w:t>b)</w:t>
        <w:tab/>
        <w:t xml:space="preserve">The PST Supplier(s) and / or 2IM  and EuroBank shall agree on the nature and scope of the New Service, including the Service Level for performance, the related pricing, and appropriate amendments to the Agreement.  EuroBank reserves the right to utilise all related pricing data to benchmark the cost of the New Service.  </w:t>
      </w:r>
    </w:p>
    <w:p>
      <w:pPr>
        <w:pStyle w:val="Normal"/>
        <w:ind w:hanging="709" w:start="709" w:end="22"/>
        <w:jc w:val="both"/>
        <w:rPr/>
      </w:pPr>
      <w:r>
        <w:rPr>
          <w:lang w:val="en-GB"/>
        </w:rPr>
        <w:t>c)</w:t>
        <w:tab/>
        <w:t>EuroBank may elect to solicit bids from Third Party Vendors for the performance of the New Service and may contract with a Third Party Vendor for the performance of such New Service or elect to provide in-house resources to handle the New Service, at its sole discretion</w:t>
      </w:r>
    </w:p>
    <w:p>
      <w:pPr>
        <w:pStyle w:val="Normal"/>
        <w:ind w:hanging="720" w:start="720" w:end="22"/>
        <w:jc w:val="both"/>
        <w:rPr/>
      </w:pPr>
      <w:r>
        <w:rPr/>
        <w:t>d)</w:t>
        <w:tab/>
        <w:t>If, however, EuroBank contracts with a Third Party Vendor for the New Service or elects to handle the New Service with in-house resources as a result of the PST Supplier(s) and / or 2IM: (1) past performance, (2) non-competitive pricing, or (3) inability or unwillingness to provide the New Service where the New Service partially or completely displaces an existing Service, the Resource Baseline for the Service impacted shall be reduced accordingly and EuroBank shall receive no further charges for that Service.</w:t>
      </w:r>
      <w:r>
        <w:rPr>
          <w:lang w:val="en-GB"/>
        </w:rPr>
      </w:r>
    </w:p>
    <w:p>
      <w:pPr>
        <w:pStyle w:val="Heading1Numbered"/>
        <w:numPr>
          <w:ilvl w:val="0"/>
          <w:numId w:val="4"/>
        </w:numPr>
        <w:ind w:hanging="720" w:start="720" w:end="22"/>
        <w:rPr>
          <w:sz w:val="22"/>
          <w:szCs w:val="22"/>
        </w:rPr>
      </w:pPr>
      <w:bookmarkStart w:id="3" w:name="__RefHeading___Toc152695006"/>
      <w:bookmarkEnd w:id="3"/>
      <w:r>
        <w:rPr>
          <w:sz w:val="22"/>
          <w:szCs w:val="22"/>
        </w:rPr>
        <w:t>Third Party Vendor Bids</w:t>
      </w:r>
    </w:p>
    <w:p>
      <w:pPr>
        <w:pStyle w:val="Normal"/>
        <w:ind w:end="22"/>
        <w:jc w:val="both"/>
        <w:rPr/>
      </w:pPr>
      <w:r>
        <w:rPr>
          <w:lang w:val="en-GB"/>
        </w:rPr>
        <w:t>EuroBank may elect to solicit and receive bids from Third Party Vendors to perform such additional functions.  If EuroBank elects to procure such Third Party Vendor services, the PST Supplier(s) and / or 2IM  shall cooperate with those Third Party Vendors with respect to the provision of such services.</w:t>
      </w:r>
    </w:p>
    <w:p>
      <w:pPr>
        <w:pStyle w:val="BodytextHM"/>
        <w:ind w:start="0" w:end="22"/>
        <w:jc w:val="both"/>
        <w:rPr>
          <w:rFonts w:ascii="Times New Roman" w:hAnsi="Times New Roman" w:cs="Times New Roman"/>
          <w:lang w:val="en-GB"/>
        </w:rPr>
      </w:pPr>
      <w:r>
        <w:rPr>
          <w:rFonts w:cs="Times New Roman" w:ascii="Times New Roman" w:hAnsi="Times New Roman"/>
          <w:lang w:val="en-GB"/>
        </w:rPr>
      </w:r>
    </w:p>
    <w:p>
      <w:pPr>
        <w:pStyle w:val="Normal"/>
        <w:spacing w:before="120" w:after="120"/>
        <w:ind w:end="22"/>
        <w:rPr>
          <w:rFonts w:ascii="Times New Roman" w:hAnsi="Times New Roman" w:cs="Times New Roman"/>
          <w:lang w:val="en-GB"/>
        </w:rPr>
      </w:pPr>
      <w:r>
        <w:rPr>
          <w:rFonts w:cs="Times New Roman"/>
          <w:lang w:val="en-GB"/>
        </w:rPr>
      </w:r>
    </w:p>
    <w:sectPr>
      <w:headerReference w:type="default" r:id="rId8"/>
      <w:headerReference w:type="first" r:id="rId9"/>
      <w:footerReference w:type="default" r:id="rId10"/>
      <w:footerReference w:type="first" r:id="rId11"/>
      <w:type w:val="nextPage"/>
      <w:pgSz w:w="11906" w:h="16838"/>
      <w:pgMar w:left="1418" w:right="2009" w:gutter="0" w:header="357" w:top="1418" w:footer="680"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Times">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right" w:pos="8640" w:leader="none"/>
        <w:tab w:val="right" w:pos="14040" w:leader="none"/>
      </w:tabs>
      <w:spacing w:before="120" w:after="120"/>
      <w:ind w:end="898"/>
      <w:rPr/>
    </w:pPr>
    <w:r>
      <w:rPr>
        <w:sz w:val="16"/>
        <w:szCs w:val="16"/>
      </w:rPr>
      <w:t>Ops&amp;IT Banking Confidential</w:t>
    </w:r>
    <w:r>
      <w:rPr>
        <w:rStyle w:val="Heading4YYCharChar"/>
        <w:sz w:val="16"/>
        <w:szCs w:val="16"/>
      </w:rPr>
      <w:t xml:space="preserve"> </w:t>
      <w:tab/>
      <w:t>30/11</w:t>
    </w:r>
    <w:r>
      <w:rPr>
        <w:sz w:val="16"/>
        <w:szCs w:val="16"/>
      </w:rPr>
      <w:t>/2006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right" w:pos="8640" w:leader="none"/>
        <w:tab w:val="right" w:pos="14040" w:leader="none"/>
      </w:tabs>
      <w:spacing w:before="120" w:after="120"/>
      <w:ind w:end="898"/>
      <w:rPr/>
    </w:pPr>
    <w:r>
      <w:rPr>
        <w:sz w:val="16"/>
        <w:szCs w:val="16"/>
      </w:rPr>
      <w:t>Ops&amp;IT Banking Confidential</w:t>
    </w:r>
    <w:r>
      <w:rPr>
        <w:rStyle w:val="Heading4YYCharChar"/>
        <w:sz w:val="16"/>
        <w:szCs w:val="16"/>
      </w:rPr>
      <w:t xml:space="preserve"> </w:t>
      <w:tab/>
      <w:t>30/11</w:t>
    </w:r>
    <w:r>
      <w:rPr>
        <w:sz w:val="16"/>
        <w:szCs w:val="16"/>
      </w:rPr>
      <w:t>/2006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500" w:leader="none"/>
        <w:tab w:val="right" w:pos="8460" w:leader="none"/>
        <w:tab w:val="right" w:pos="14040" w:leader="none"/>
      </w:tabs>
      <w:spacing w:before="120" w:after="120"/>
      <w:ind w:end="22"/>
      <w:jc w:val="both"/>
      <w:rPr/>
    </w:pPr>
    <w:r>
      <w:rPr>
        <w:sz w:val="16"/>
        <w:szCs w:val="16"/>
      </w:rPr>
      <w:t>Ops&amp;IT Banking Confidential</w:t>
    </w:r>
    <w:r>
      <w:rPr>
        <w:rStyle w:val="Heading4YYCharChar"/>
        <w:sz w:val="16"/>
        <w:szCs w:val="16"/>
      </w:rPr>
      <w:t xml:space="preserve"> </w:t>
      <w:tab/>
    </w: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1</w:t>
    </w:r>
    <w:r>
      <w:rPr>
        <w:rStyle w:val="PageNumber"/>
        <w:sz w:val="16"/>
        <w:szCs w:val="16"/>
      </w:rPr>
      <w:fldChar w:fldCharType="end"/>
    </w:r>
    <w:r>
      <w:rPr>
        <w:rStyle w:val="Heading4YYCharChar"/>
        <w:sz w:val="16"/>
        <w:szCs w:val="16"/>
      </w:rPr>
      <w:tab/>
      <w:t>30/11</w:t>
    </w:r>
    <w:r>
      <w:rPr>
        <w:sz w:val="16"/>
        <w:szCs w:val="16"/>
      </w:rPr>
      <w:t>/2006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4860" w:leader="none"/>
        <w:tab w:val="right" w:pos="8460" w:leader="none"/>
        <w:tab w:val="right" w:pos="14040" w:leader="none"/>
      </w:tabs>
      <w:spacing w:before="120" w:after="120"/>
      <w:ind w:end="22"/>
      <w:rPr/>
    </w:pPr>
    <w:r>
      <w:rPr>
        <w:sz w:val="20"/>
      </w:rPr>
      <w:drawing>
        <wp:inline distT="0" distB="0" distL="0" distR="0">
          <wp:extent cx="961390" cy="315595"/>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1390" cy="315595"/>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23 (New Services)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4500" w:leader="none"/>
        <w:tab w:val="right" w:pos="8460" w:leader="none"/>
        <w:tab w:val="right" w:pos="14040" w:leader="none"/>
      </w:tabs>
      <w:spacing w:before="120" w:after="120"/>
      <w:ind w:end="22"/>
      <w:rPr/>
    </w:pPr>
    <w:r>
      <w:rPr>
        <w:sz w:val="20"/>
      </w:rPr>
      <w:drawing>
        <wp:inline distT="0" distB="0" distL="0" distR="0">
          <wp:extent cx="961390" cy="315595"/>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1390" cy="315595"/>
                  </a:xfrm>
                  <a:prstGeom prst="rect">
                    <a:avLst/>
                  </a:prstGeom>
                  <a:noFill/>
                </pic:spPr>
              </pic:pic>
            </a:graphicData>
          </a:graphic>
        </wp:inline>
      </w:drawing>
    </w:r>
    <w:r>
      <w:rPr>
        <w:sz w:val="16"/>
        <w:szCs w:val="16"/>
      </w:rPr>
      <w:tab/>
      <w:tab/>
    </w:r>
    <w:r>
      <w:rPr>
        <w:rStyle w:val="Heading4YYCharChar"/>
        <w:sz w:val="16"/>
        <w:szCs w:val="16"/>
      </w:rPr>
      <w:fldChar w:fldCharType="begin"/>
    </w:r>
    <w:r>
      <w:rPr>
        <w:rStyle w:val="Heading4YYCharChar"/>
        <w:sz w:val="16"/>
        <w:szCs w:val="16"/>
      </w:rPr>
      <w:instrText xml:space="preserve"> FILENAME </w:instrText>
    </w:r>
    <w:r>
      <w:rPr>
        <w:rStyle w:val="Heading4YYCharChar"/>
        <w:sz w:val="16"/>
        <w:szCs w:val="16"/>
      </w:rPr>
      <w:fldChar w:fldCharType="separate"/>
    </w:r>
    <w:r>
      <w:rPr>
        <w:rStyle w:val="Heading4YYCharChar"/>
        <w:sz w:val="16"/>
        <w:szCs w:val="16"/>
      </w:rPr>
      <w:t>Exhibit 23 (New Services) Final v1.5.doc</w:t>
    </w:r>
    <w:r>
      <w:rPr>
        <w:rStyle w:val="Heading4YYCharCha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4500" w:leader="none"/>
        <w:tab w:val="right" w:pos="8460" w:leader="none"/>
        <w:tab w:val="right" w:pos="14040" w:leader="none"/>
      </w:tabs>
      <w:spacing w:before="120" w:after="120"/>
      <w:ind w:end="22"/>
      <w:rPr/>
    </w:pPr>
    <w:r>
      <w:rPr>
        <w:sz w:val="20"/>
      </w:rPr>
      <w:drawing>
        <wp:inline distT="0" distB="0" distL="0" distR="0">
          <wp:extent cx="961390" cy="31559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28" t="-97" r="-28" b="-97"/>
                  <a:stretch>
                    <a:fillRect/>
                  </a:stretch>
                </pic:blipFill>
                <pic:spPr bwMode="auto">
                  <a:xfrm>
                    <a:off x="0" y="0"/>
                    <a:ext cx="961390" cy="315595"/>
                  </a:xfrm>
                  <a:prstGeom prst="rect">
                    <a:avLst/>
                  </a:prstGeom>
                  <a:noFill/>
                </pic:spPr>
              </pic:pic>
            </a:graphicData>
          </a:graphic>
        </wp:inline>
      </w:drawing>
    </w:r>
    <w:r>
      <w:rPr>
        <w:sz w:val="16"/>
        <w:szCs w:val="16"/>
      </w:rPr>
      <w:tab/>
      <w:tab/>
    </w:r>
    <w:r>
      <w:rPr>
        <w:rStyle w:val="Heading4YYCharChar"/>
        <w:sz w:val="16"/>
        <w:szCs w:val="16"/>
      </w:rPr>
      <w:fldChar w:fldCharType="begin"/>
    </w:r>
    <w:r>
      <w:rPr>
        <w:rStyle w:val="Heading4YYCharChar"/>
        <w:sz w:val="16"/>
        <w:szCs w:val="16"/>
      </w:rPr>
      <w:instrText xml:space="preserve"> FILENAME </w:instrText>
    </w:r>
    <w:r>
      <w:rPr>
        <w:rStyle w:val="Heading4YYCharChar"/>
        <w:sz w:val="16"/>
        <w:szCs w:val="16"/>
      </w:rPr>
      <w:fldChar w:fldCharType="separate"/>
    </w:r>
    <w:r>
      <w:rPr>
        <w:rStyle w:val="Heading4YYCharChar"/>
        <w:sz w:val="16"/>
        <w:szCs w:val="16"/>
      </w:rPr>
      <w:t>Exhibit 23 (New Services) Final v1.5.doc</w:t>
    </w:r>
    <w:r>
      <w:rPr>
        <w:rStyle w:val="Heading4YYCharCha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345"/>
        </w:tabs>
        <w:ind w:start="2325" w:hanging="340"/>
      </w:pPr>
      <w:rPr>
        <w:rFonts w:ascii="Symbol" w:hAnsi="Symbol" w:cs="Symbol" w:hint="default"/>
      </w:rPr>
    </w:lvl>
  </w:abstractNum>
  <w:abstractNum w:abstractNumId="3">
    <w:lvl w:ilvl="0">
      <w:start w:val="1"/>
      <w:numFmt w:val="lowerLetter"/>
      <w:lvlText w:val="%1."/>
      <w:lvlJc w:val="start"/>
      <w:pPr>
        <w:tabs>
          <w:tab w:val="num" w:pos="1607"/>
        </w:tabs>
        <w:ind w:start="1605" w:hanging="358"/>
      </w:pPr>
      <w:rPr>
        <w:sz w:val="22"/>
        <w:u w:val="none"/>
        <w:rFonts w:ascii="Arial" w:hAnsi="Arial" w:cs="Arial"/>
      </w:rPr>
    </w:lvl>
    <w:lvl w:ilvl="1">
      <w:start w:val="1"/>
      <w:numFmt w:val="bullet"/>
      <w:lvlText w:val="•"/>
      <w:lvlJc w:val="start"/>
      <w:pPr>
        <w:tabs>
          <w:tab w:val="num" w:pos="2325"/>
        </w:tabs>
        <w:ind w:start="2325" w:hanging="471"/>
      </w:pPr>
      <w:rPr>
        <w:rFonts w:ascii="Times" w:hAnsi="Times" w:cs="Times" w:hint="default"/>
        <w:color w:val="auto"/>
      </w:rPr>
    </w:lvl>
    <w:lvl w:ilvl="2">
      <w:start w:val="1"/>
      <w:numFmt w:val="lowerRoman"/>
      <w:lvlText w:val="%3)"/>
      <w:lvlJc w:val="start"/>
      <w:pPr>
        <w:tabs>
          <w:tab w:val="num" w:pos="1080"/>
        </w:tabs>
        <w:ind w:start="1080" w:hanging="360"/>
      </w:pPr>
    </w:lvl>
    <w:lvl w:ilvl="3">
      <w:start w:val="1"/>
      <w:numFmt w:val="decimal"/>
      <w:lvlText w:val="(%4)"/>
      <w:lvlJc w:val="start"/>
      <w:pPr>
        <w:tabs>
          <w:tab w:val="num" w:pos="1440"/>
        </w:tabs>
        <w:ind w:start="1440" w:hanging="360"/>
      </w:pPr>
    </w:lvl>
    <w:lvl w:ilvl="4">
      <w:start w:val="1"/>
      <w:numFmt w:val="lowerLetter"/>
      <w:lvlText w:val="(%5)"/>
      <w:lvlJc w:val="start"/>
      <w:pPr>
        <w:tabs>
          <w:tab w:val="num" w:pos="1800"/>
        </w:tabs>
        <w:ind w:start="1800" w:hanging="360"/>
      </w:pPr>
    </w:lvl>
    <w:lvl w:ilvl="5">
      <w:start w:val="1"/>
      <w:numFmt w:val="lowerRoman"/>
      <w:lvlText w:val="(%6)"/>
      <w:lvlJc w:val="start"/>
      <w:pPr>
        <w:tabs>
          <w:tab w:val="num" w:pos="2160"/>
        </w:tabs>
        <w:ind w:start="2160" w:hanging="360"/>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4">
    <w:lvl w:ilvl="0">
      <w:start w:val="1"/>
      <w:numFmt w:val="decimal"/>
      <w:lvlText w:val="%1.0"/>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decimal"/>
      <w:lvlText w:val="ARTICLE %1"/>
      <w:lvlJc w:val="start"/>
      <w:pPr>
        <w:tabs>
          <w:tab w:val="num" w:pos="1440"/>
        </w:tabs>
        <w:ind w:start="771" w:hanging="771"/>
      </w:pPr>
      <w:rPr/>
    </w:lvl>
    <w:lvl w:ilvl="1">
      <w:start w:val="1"/>
      <w:isLgl/>
      <w:numFmt w:val="decimalZero"/>
      <w:lvlText w:val="%1.%2."/>
      <w:lvlJc w:val="start"/>
      <w:pPr>
        <w:tabs>
          <w:tab w:val="num" w:pos="900"/>
        </w:tabs>
        <w:ind w:start="90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7">
    <w:lvl w:ilvl="0">
      <w:start w:val="1"/>
      <w:numFmt w:val="bullet"/>
      <w:lvlText w:val=""/>
      <w:lvlJc w:val="start"/>
      <w:pPr>
        <w:tabs>
          <w:tab w:val="num" w:pos="1080"/>
        </w:tabs>
        <w:ind w:start="108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Wingdings" w:hAnsi="Wingdings" w:cs="Wingdings" w:hint="default"/>
      </w:rPr>
    </w:lvl>
  </w:abstractNum>
  <w:abstractNum w:abstractNumId="9">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10">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Symbol" w:hAnsi="Symbol" w:cs="Symbol"/>
    </w:rPr>
  </w:style>
  <w:style w:type="character" w:styleId="WW8Num2z0">
    <w:name w:val="WW8Num2z0"/>
    <w:qFormat/>
    <w:rPr>
      <w:rFonts w:ascii="Arial" w:hAnsi="Arial" w:cs="Arial"/>
      <w:sz w:val="22"/>
      <w:u w:val="none"/>
    </w:rPr>
  </w:style>
  <w:style w:type="character" w:styleId="WW8Num2z1">
    <w:name w:val="WW8Num2z1"/>
    <w:qFormat/>
    <w:rPr>
      <w:rFonts w:ascii="Times" w:hAnsi="Times" w:cs="Times"/>
      <w:color w:val="auto"/>
    </w:rPr>
  </w:style>
  <w:style w:type="character" w:styleId="WW8Num3z0">
    <w:name w:val="WW8Num3z0"/>
    <w:qFormat/>
    <w:rPr>
      <w:rFonts w:ascii="Times New Roman Bold;Times New Roman" w:hAnsi="Times New Roman Bold;Times New Roman" w:cs="Times New Roman Bold;Times New Roman"/>
      <w:b/>
      <w:i w:val="false"/>
      <w:sz w:val="22"/>
      <w:szCs w:val="22"/>
    </w:rPr>
  </w:style>
  <w:style w:type="character" w:styleId="WW8Num3z1">
    <w:name w:val="WW8Num3z1"/>
    <w:qFormat/>
    <w:rPr>
      <w:rFonts w:ascii="Times New Roman Bold;Times New Roman" w:hAnsi="Times New Roman Bold;Times New Roman" w:cs="Times New Roman Bold;Times New Roman"/>
      <w:b/>
      <w:i w:val="false"/>
      <w:sz w:val="28"/>
    </w:rPr>
  </w:style>
  <w:style w:type="character" w:styleId="WW8Num3z2">
    <w:name w:val="WW8Num3z2"/>
    <w:qFormat/>
    <w:rPr>
      <w:rFonts w:ascii="Times New Roman" w:hAnsi="Times New Roman" w:cs="Times New Roman"/>
      <w:b/>
      <w:i w:val="false"/>
      <w:sz w:val="24"/>
    </w:rPr>
  </w:style>
  <w:style w:type="character" w:styleId="WW8Num3z4">
    <w:name w:val="WW8Num3z4"/>
    <w:qFormat/>
    <w:rPr>
      <w:rFonts w:ascii="Times New Roman" w:hAnsi="Times New Roman" w:cs="Times New Roman"/>
      <w:b w:val="false"/>
      <w:i w:val="false"/>
      <w:sz w:val="22"/>
    </w:rPr>
  </w:style>
  <w:style w:type="character" w:styleId="WW8Num3z8">
    <w:name w:val="WW8Num3z8"/>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cs="Times New Roman"/>
      <w:sz w:val="22"/>
      <w:szCs w:val="22"/>
    </w:rPr>
  </w:style>
  <w:style w:type="character" w:styleId="WW8Num9z0">
    <w:name w:val="WW8Num9z0"/>
    <w:qFormat/>
    <w:rPr>
      <w:rFonts w:ascii="Times New Roman" w:hAnsi="Times New Roman" w:cs="Times New Roman"/>
      <w:sz w:val="22"/>
      <w:szCs w:val="22"/>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cs="Times New Roman"/>
      <w:sz w:val="22"/>
      <w:szCs w:val="22"/>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ommentReference">
    <w:name w:val="Comment Reference"/>
    <w:basedOn w:val="DefaultParagraphFont"/>
    <w:qFormat/>
    <w:rPr>
      <w:sz w:val="16"/>
      <w:szCs w:val="16"/>
    </w:rPr>
  </w:style>
  <w:style w:type="character" w:styleId="PageNumber">
    <w:name w:val="page number"/>
    <w:basedOn w:val="DefaultParagraphFont"/>
    <w:rPr/>
  </w:style>
  <w:style w:type="character" w:styleId="Heading4YYCharChar">
    <w:name w:val="Heading 4 YY Char Char"/>
    <w:basedOn w:val="DefaultParagraphFont"/>
    <w:qFormat/>
    <w:rPr>
      <w:sz w:val="22"/>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tabs>
        <w:tab w:val="clear" w:pos="720"/>
        <w:tab w:val="left" w:pos="660" w:leader="none"/>
        <w:tab w:val="right" w:pos="8460" w:leader="dot"/>
      </w:tabs>
      <w:ind w:hanging="0" w:start="0" w:end="898"/>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7"/>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5"/>
      </w:numPr>
      <w:spacing w:before="240" w:after="240"/>
    </w:pPr>
    <w:rPr/>
  </w:style>
  <w:style w:type="paragraph" w:styleId="Bullet1Table">
    <w:name w:val="Bullet 1 Table"/>
    <w:basedOn w:val="Normal"/>
    <w:qFormat/>
    <w:pPr>
      <w:numPr>
        <w:ilvl w:val="0"/>
        <w:numId w:val="11"/>
      </w:numPr>
    </w:pPr>
    <w:rPr/>
  </w:style>
  <w:style w:type="paragraph" w:styleId="Heading1Numbered">
    <w:name w:val="Heading 1 Numbered"/>
    <w:basedOn w:val="Normal"/>
    <w:qFormat/>
    <w:pPr>
      <w:numPr>
        <w:ilvl w:val="0"/>
        <w:numId w:val="4"/>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4"/>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4"/>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4"/>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10"/>
      </w:numPr>
    </w:pPr>
    <w:rPr>
      <w:bCs/>
    </w:rPr>
  </w:style>
  <w:style w:type="paragraph" w:styleId="TableLevel2Numbered">
    <w:name w:val="Table Level 2 Numbered"/>
    <w:basedOn w:val="Normal"/>
    <w:qFormat/>
    <w:pPr>
      <w:numPr>
        <w:ilvl w:val="0"/>
        <w:numId w:val="10"/>
      </w:numPr>
    </w:pPr>
    <w:rPr>
      <w:bCs/>
    </w:rPr>
  </w:style>
  <w:style w:type="paragraph" w:styleId="TableLevel3Numbered">
    <w:name w:val="Table Level 3 Numbered"/>
    <w:basedOn w:val="Normal"/>
    <w:qFormat/>
    <w:pPr>
      <w:numPr>
        <w:ilvl w:val="0"/>
        <w:numId w:val="10"/>
      </w:numPr>
    </w:pPr>
    <w:rPr/>
  </w:style>
  <w:style w:type="paragraph" w:styleId="TableLevel4Numbered">
    <w:name w:val="Table Level 4 Numbered"/>
    <w:basedOn w:val="Normal"/>
    <w:qFormat/>
    <w:pPr>
      <w:numPr>
        <w:ilvl w:val="0"/>
        <w:numId w:val="10"/>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9"/>
      </w:numPr>
      <w:ind w:hanging="357" w:start="1434" w:end="0"/>
    </w:pPr>
    <w:rPr/>
  </w:style>
  <w:style w:type="paragraph" w:styleId="BodyLevel2Numbered">
    <w:name w:val="Body Level 2 Numbered"/>
    <w:basedOn w:val="Normal"/>
    <w:qFormat/>
    <w:pPr>
      <w:numPr>
        <w:ilvl w:val="0"/>
        <w:numId w:val="9"/>
      </w:numPr>
      <w:spacing w:before="240" w:after="240"/>
    </w:pPr>
    <w:rPr/>
  </w:style>
  <w:style w:type="paragraph" w:styleId="BodyLevel3Numbered">
    <w:name w:val="Body Level 3 Numbered"/>
    <w:basedOn w:val="Normal"/>
    <w:qFormat/>
    <w:pPr>
      <w:numPr>
        <w:ilvl w:val="0"/>
        <w:numId w:val="9"/>
      </w:numPr>
      <w:spacing w:before="240" w:after="240"/>
    </w:pPr>
    <w:rPr/>
  </w:style>
  <w:style w:type="paragraph" w:styleId="BodyLevel4Numbered">
    <w:name w:val="Body Level 4 Numbered"/>
    <w:basedOn w:val="Normal"/>
    <w:qFormat/>
    <w:pPr>
      <w:numPr>
        <w:ilvl w:val="0"/>
        <w:numId w:val="9"/>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CommentText">
    <w:name w:val="Comment Text"/>
    <w:basedOn w:val="Normal"/>
    <w:qFormat/>
    <w:pPr/>
    <w:rPr>
      <w:sz w:val="20"/>
      <w:szCs w:val="20"/>
    </w:rPr>
  </w:style>
  <w:style w:type="paragraph" w:styleId="CommentSubject1">
    <w:name w:val="Comment Subject1"/>
    <w:basedOn w:val="CommentText"/>
    <w:next w:val="CommentText"/>
    <w:qFormat/>
    <w:pPr/>
    <w:rPr>
      <w:b/>
      <w:bCs/>
    </w:rPr>
  </w:style>
  <w:style w:type="paragraph" w:styleId="BalloonText1">
    <w:name w:val="Balloon Text1"/>
    <w:basedOn w:val="Normal"/>
    <w:qFormat/>
    <w:pPr/>
    <w:rPr>
      <w:rFonts w:ascii="Tahoma" w:hAnsi="Tahoma" w:cs="Tahoma"/>
      <w:sz w:val="16"/>
      <w:szCs w:val="16"/>
    </w:rPr>
  </w:style>
  <w:style w:type="paragraph" w:styleId="BalloonText">
    <w:name w:val="Balloon 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6"/>
      </w:numPr>
      <w:ind w:hanging="0" w:start="0" w:end="0"/>
    </w:pPr>
    <w:rPr>
      <w:b/>
      <w:bCs/>
      <w:caps/>
      <w:sz w:val="24"/>
      <w:u w:val="single"/>
      <w:lang w:val="en-GB"/>
    </w:rPr>
  </w:style>
  <w:style w:type="paragraph" w:styleId="Heading21">
    <w:name w:val="Heading 21"/>
    <w:basedOn w:val="HEADING11"/>
    <w:next w:val="Normal"/>
    <w:qFormat/>
    <w:pPr>
      <w:numPr>
        <w:ilvl w:val="0"/>
        <w:numId w:val="6"/>
      </w:numPr>
      <w:tabs>
        <w:tab w:val="clear" w:pos="720"/>
        <w:tab w:val="left" w:pos="2127" w:leader="none"/>
      </w:tabs>
      <w:ind w:hanging="590" w:start="874" w:end="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8"/>
      </w:numPr>
      <w:tabs>
        <w:tab w:val="left" w:pos="1260" w:leader="none"/>
        <w:tab w:val="left" w:pos="7200" w:leader="none"/>
      </w:tabs>
      <w:ind w:hanging="0" w:start="1260" w:end="0"/>
    </w:pPr>
    <w:rPr/>
  </w:style>
  <w:style w:type="paragraph" w:styleId="Heading31">
    <w:name w:val="Heading 31"/>
    <w:basedOn w:val="Bodytext1"/>
    <w:qFormat/>
    <w:pPr>
      <w:numPr>
        <w:ilvl w:val="0"/>
        <w:numId w:val="6"/>
      </w:numPr>
      <w:tabs>
        <w:tab w:val="clear" w:pos="7200"/>
      </w:tabs>
      <w:ind w:hanging="0" w:start="567" w:end="0"/>
    </w:pPr>
    <w:rPr/>
  </w:style>
  <w:style w:type="paragraph" w:styleId="Heading41">
    <w:name w:val="Heading 41"/>
    <w:basedOn w:val="Heading31"/>
    <w:qFormat/>
    <w:pPr>
      <w:numPr>
        <w:ilvl w:val="0"/>
        <w:numId w:val="6"/>
      </w:numPr>
      <w:spacing w:before="120" w:after="0"/>
      <w:ind w:hanging="0" w:start="851" w:end="0"/>
    </w:pPr>
    <w:rPr/>
  </w:style>
  <w:style w:type="paragraph" w:styleId="Heading51">
    <w:name w:val="Heading 51"/>
    <w:basedOn w:val="Heading31"/>
    <w:qFormat/>
    <w:pPr>
      <w:numPr>
        <w:ilvl w:val="0"/>
        <w:numId w:val="6"/>
      </w:numPr>
      <w:tabs>
        <w:tab w:val="left" w:pos="2127" w:leader="none"/>
      </w:tabs>
      <w:ind w:hanging="0" w:start="1134" w:end="0"/>
    </w:pPr>
    <w:rPr/>
  </w:style>
  <w:style w:type="paragraph" w:styleId="Text2">
    <w:name w:val="Text 2"/>
    <w:basedOn w:val="Normal"/>
    <w:qFormat/>
    <w:pPr>
      <w:spacing w:before="0" w:after="240"/>
      <w:ind w:hanging="0" w:start="864" w:end="0"/>
    </w:pPr>
    <w:rPr>
      <w:szCs w:val="20"/>
    </w:rPr>
  </w:style>
  <w:style w:type="paragraph" w:styleId="Heading1Text">
    <w:name w:val="Heading 1 Text"/>
    <w:basedOn w:val="BodyText"/>
    <w:qFormat/>
    <w:pPr>
      <w:spacing w:before="0" w:after="120"/>
      <w:ind w:hanging="0" w:start="851" w:end="0"/>
    </w:pPr>
    <w:rPr>
      <w:szCs w:val="20"/>
      <w:lang w:val="en-AU"/>
    </w:rPr>
  </w:style>
  <w:style w:type="paragraph" w:styleId="BodytextHM">
    <w:name w:val="Body text HM"/>
    <w:basedOn w:val="Normal"/>
    <w:qFormat/>
    <w:pPr>
      <w:tabs>
        <w:tab w:val="clear" w:pos="720"/>
        <w:tab w:val="left" w:pos="709" w:leader="none"/>
      </w:tabs>
      <w:spacing w:before="0" w:after="180"/>
      <w:ind w:hanging="0" w:start="709" w:end="0"/>
    </w:pPr>
    <w:rPr>
      <w:rFonts w:ascii="Arial" w:hAnsi="Arial" w:cs="Arial"/>
      <w:szCs w:val="20"/>
    </w:rPr>
  </w:style>
  <w:style w:type="paragraph" w:styleId="BulletsHM">
    <w:name w:val="Bullets HM"/>
    <w:basedOn w:val="BodytextHM"/>
    <w:qFormat/>
    <w:pPr>
      <w:numPr>
        <w:ilvl w:val="0"/>
        <w:numId w:val="2"/>
      </w:numPr>
    </w:pPr>
    <w:rPr>
      <w:lang w:val="en-GB"/>
    </w:rPr>
  </w:style>
  <w:style w:type="paragraph" w:styleId="FourthLevelaHM">
    <w:name w:val="Fourth Level a. HM"/>
    <w:basedOn w:val="Normal"/>
    <w:qFormat/>
    <w:pPr>
      <w:numPr>
        <w:ilvl w:val="0"/>
        <w:numId w:val="3"/>
      </w:numPr>
      <w:spacing w:before="0" w:after="180"/>
    </w:pPr>
    <w:rPr>
      <w:rFonts w:ascii="Arial" w:hAnsi="Arial" w:cs="Arial"/>
      <w:szCs w:val="20"/>
    </w:rPr>
  </w:style>
  <w:style w:type="paragraph" w:styleId="StyleFourthLevelaHMTimesNewRoman">
    <w:name w:val="Style Fourth Level a. HM + Times New Roman"/>
    <w:basedOn w:val="FourthLevelaHM"/>
    <w:qFormat/>
    <w:pPr>
      <w:tabs>
        <w:tab w:val="clear" w:pos="720"/>
      </w:tabs>
    </w:pPr>
    <w:rPr>
      <w:rFonts w:ascii="Times New Roman" w:hAnsi="Times New Roman" w:cs="Times New Roman"/>
    </w:rPr>
  </w:style>
  <w:style w:type="paragraph" w:styleId="StyleFourthLevelaHMTimesNewRoman1">
    <w:name w:val="Style Fourth Level a. HM + Times New Roman1"/>
    <w:basedOn w:val="FourthLevelaHM"/>
    <w:qFormat/>
    <w:pPr>
      <w:ind w:hanging="357" w:start="924" w:end="0"/>
    </w:pPr>
    <w:rPr>
      <w:rFonts w:ascii="Times New Roman" w:hAnsi="Times New Roman" w:cs="Times New Roman"/>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2006-12-01T04:30:00Z</dcterms:created>
  <dc:creator>Andrew Walker</dc:creator>
  <dc:description/>
  <cp:keywords/>
  <dc:language>en-US</dc:language>
  <cp:lastModifiedBy>Stuart Johnson</cp:lastModifiedBy>
  <cp:lastPrinted>2005-07-04T17:21:00Z</cp:lastPrinted>
  <dcterms:modified xsi:type="dcterms:W3CDTF">2006-12-01T04:38:00Z</dcterms:modified>
  <cp:revision>4</cp:revision>
  <dc:subject/>
  <dc:title> </dc:title>
</cp:coreProperties>
</file>