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28" w:type="dxa"/>
        <w:jc w:val="start"/>
        <w:tblInd w:w="0" w:type="dxa"/>
        <w:tblLayout w:type="fixed"/>
        <w:tblCellMar>
          <w:top w:w="0" w:type="dxa"/>
          <w:start w:w="108" w:type="dxa"/>
          <w:bottom w:w="0" w:type="dxa"/>
          <w:end w:w="108" w:type="dxa"/>
        </w:tblCellMar>
      </w:tblPr>
      <w:tblGrid>
        <w:gridCol w:w="1188"/>
        <w:gridCol w:w="1800"/>
        <w:gridCol w:w="5540"/>
      </w:tblGrid>
      <w:tr>
        <w:trPr/>
        <w:tc>
          <w:tcPr>
            <w:tcW w:w="1188" w:type="dxa"/>
            <w:tcBorders/>
          </w:tcPr>
          <w:p>
            <w:pPr>
              <w:pStyle w:val="BodyText"/>
              <w:spacing w:before="0" w:after="0"/>
              <w:ind w:start="0" w:end="0"/>
              <w:rPr>
                <w:b/>
                <w:bCs/>
                <w:i/>
                <w:i/>
                <w:iCs/>
                <w:color w:val="FF0000"/>
                <w:sz w:val="16"/>
                <w:szCs w:val="16"/>
              </w:rPr>
            </w:pPr>
            <w:r>
              <w:rPr>
                <w:b/>
                <w:bCs/>
                <w:i/>
                <w:iCs/>
                <w:color w:val="FF0000"/>
                <w:sz w:val="16"/>
                <w:szCs w:val="16"/>
              </w:rPr>
              <w:t>Version</w:t>
            </w:r>
          </w:p>
        </w:tc>
        <w:tc>
          <w:tcPr>
            <w:tcW w:w="1800" w:type="dxa"/>
            <w:tcBorders/>
          </w:tcPr>
          <w:p>
            <w:pPr>
              <w:pStyle w:val="BodyText"/>
              <w:spacing w:before="0" w:after="0"/>
              <w:ind w:start="0" w:end="0"/>
              <w:rPr>
                <w:b/>
                <w:bCs/>
                <w:i/>
                <w:i/>
                <w:iCs/>
                <w:color w:val="FF0000"/>
                <w:sz w:val="16"/>
                <w:szCs w:val="16"/>
              </w:rPr>
            </w:pPr>
            <w:r>
              <w:rPr>
                <w:b/>
                <w:bCs/>
                <w:i/>
                <w:iCs/>
                <w:color w:val="FF0000"/>
                <w:sz w:val="16"/>
                <w:szCs w:val="16"/>
              </w:rPr>
              <w:t>Date</w:t>
            </w:r>
          </w:p>
        </w:tc>
        <w:tc>
          <w:tcPr>
            <w:tcW w:w="5540" w:type="dxa"/>
            <w:tcBorders/>
          </w:tcPr>
          <w:p>
            <w:pPr>
              <w:pStyle w:val="BodyText"/>
              <w:spacing w:before="0" w:after="0"/>
              <w:ind w:start="0" w:end="0"/>
              <w:rPr>
                <w:b/>
                <w:bCs/>
                <w:i/>
                <w:i/>
                <w:iCs/>
                <w:color w:val="FF0000"/>
                <w:sz w:val="16"/>
                <w:szCs w:val="16"/>
              </w:rPr>
            </w:pPr>
            <w:r>
              <w:rPr>
                <w:b/>
                <w:bCs/>
                <w:i/>
                <w:iCs/>
                <w:color w:val="FF0000"/>
                <w:sz w:val="16"/>
                <w:szCs w:val="16"/>
              </w:rPr>
              <w:t>Changes</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Base Text Conversion</w:t>
            </w:r>
          </w:p>
        </w:tc>
        <w:tc>
          <w:tcPr>
            <w:tcW w:w="1800" w:type="dxa"/>
            <w:tcBorders/>
          </w:tcPr>
          <w:p>
            <w:pPr>
              <w:pStyle w:val="BodyText"/>
              <w:spacing w:before="0" w:after="0"/>
              <w:ind w:start="0" w:end="0"/>
              <w:rPr>
                <w:bCs/>
                <w:iCs/>
                <w:color w:val="FF0000"/>
                <w:sz w:val="16"/>
                <w:szCs w:val="16"/>
              </w:rPr>
            </w:pPr>
            <w:r>
              <w:rPr>
                <w:bCs/>
                <w:iCs/>
                <w:color w:val="FF0000"/>
                <w:sz w:val="16"/>
                <w:szCs w:val="16"/>
              </w:rPr>
              <w:t>16th Oct 2006</w:t>
            </w:r>
          </w:p>
        </w:tc>
        <w:tc>
          <w:tcPr>
            <w:tcW w:w="5540" w:type="dxa"/>
            <w:tcBorders/>
          </w:tcPr>
          <w:p>
            <w:pPr>
              <w:pStyle w:val="BodyText"/>
              <w:numPr>
                <w:ilvl w:val="0"/>
                <w:numId w:val="3"/>
              </w:numPr>
              <w:tabs>
                <w:tab w:val="clear" w:pos="720"/>
                <w:tab w:val="left" w:pos="432" w:leader="none"/>
              </w:tabs>
              <w:spacing w:before="0" w:after="0"/>
              <w:ind w:hanging="0" w:start="0" w:end="0"/>
              <w:jc w:val="both"/>
              <w:rPr>
                <w:bCs/>
                <w:iCs/>
                <w:color w:val="FF0000"/>
                <w:sz w:val="16"/>
                <w:szCs w:val="16"/>
              </w:rPr>
            </w:pPr>
            <w:r>
              <w:rPr>
                <w:bCs/>
                <w:iCs/>
                <w:color w:val="FF0000"/>
                <w:sz w:val="16"/>
                <w:szCs w:val="16"/>
              </w:rPr>
              <w:t>Copy MOU document used as the baseline. Filename changed &amp; this table inserted;</w:t>
            </w:r>
          </w:p>
          <w:p>
            <w:pPr>
              <w:pStyle w:val="BodyText"/>
              <w:numPr>
                <w:ilvl w:val="0"/>
                <w:numId w:val="3"/>
              </w:numPr>
              <w:tabs>
                <w:tab w:val="clear" w:pos="720"/>
                <w:tab w:val="left" w:pos="432" w:leader="none"/>
              </w:tabs>
              <w:spacing w:before="0" w:after="0"/>
              <w:ind w:hanging="0" w:start="0" w:end="0"/>
              <w:jc w:val="both"/>
              <w:rPr>
                <w:bCs/>
                <w:iCs/>
                <w:color w:val="FF0000"/>
                <w:sz w:val="16"/>
                <w:szCs w:val="16"/>
              </w:rPr>
            </w:pPr>
            <w:r>
              <w:rPr>
                <w:bCs/>
                <w:iCs/>
                <w:color w:val="FF0000"/>
                <w:sz w:val="16"/>
                <w:szCs w:val="16"/>
              </w:rPr>
              <w:t>Converted from “table” format to plain text; no formatting done &amp; diagrams copied across</w:t>
            </w:r>
          </w:p>
          <w:p>
            <w:pPr>
              <w:pStyle w:val="BodyText"/>
              <w:numPr>
                <w:ilvl w:val="0"/>
                <w:numId w:val="3"/>
              </w:numPr>
              <w:tabs>
                <w:tab w:val="clear" w:pos="720"/>
                <w:tab w:val="left" w:pos="432" w:leader="none"/>
              </w:tabs>
              <w:spacing w:before="0" w:after="0"/>
              <w:ind w:hanging="0" w:start="0" w:end="0"/>
              <w:jc w:val="both"/>
              <w:rPr>
                <w:bCs/>
                <w:iCs/>
                <w:color w:val="FF0000"/>
                <w:sz w:val="16"/>
                <w:szCs w:val="16"/>
              </w:rPr>
            </w:pPr>
            <w:r>
              <w:rPr>
                <w:bCs/>
                <w:iCs/>
                <w:color w:val="FF0000"/>
                <w:sz w:val="16"/>
                <w:szCs w:val="16"/>
              </w:rPr>
              <w:t>Red text used to highlight the 2 sections from the MOU version that cannot be viewed on-screen</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v1.0</w:t>
            </w:r>
          </w:p>
        </w:tc>
        <w:tc>
          <w:tcPr>
            <w:tcW w:w="1800" w:type="dxa"/>
            <w:tcBorders/>
          </w:tcPr>
          <w:p>
            <w:pPr>
              <w:pStyle w:val="BodyText"/>
              <w:spacing w:before="0" w:after="0"/>
              <w:ind w:start="0" w:end="0"/>
              <w:rPr>
                <w:bCs/>
                <w:iCs/>
                <w:color w:val="FF0000"/>
                <w:sz w:val="16"/>
                <w:szCs w:val="16"/>
              </w:rPr>
            </w:pPr>
            <w:r>
              <w:rPr>
                <w:bCs/>
                <w:iCs/>
                <w:color w:val="FF0000"/>
                <w:sz w:val="16"/>
                <w:szCs w:val="16"/>
              </w:rPr>
              <w:t>19</w:t>
            </w:r>
            <w:r>
              <w:rPr>
                <w:bCs/>
                <w:iCs/>
                <w:color w:val="FF0000"/>
                <w:sz w:val="16"/>
                <w:szCs w:val="16"/>
                <w:vertAlign w:val="superscript"/>
              </w:rPr>
              <w:t>th</w:t>
            </w:r>
            <w:r>
              <w:rPr>
                <w:bCs/>
                <w:iCs/>
                <w:color w:val="FF0000"/>
                <w:sz w:val="16"/>
                <w:szCs w:val="16"/>
              </w:rPr>
              <w:t xml:space="preserve"> Oct 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Formatting added &amp; minor typos corrected – the Mechanism has been set up in another part (B) to Section 5 rather than change the section references;</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v1.1</w:t>
            </w:r>
          </w:p>
        </w:tc>
        <w:tc>
          <w:tcPr>
            <w:tcW w:w="1800" w:type="dxa"/>
            <w:tcBorders/>
          </w:tcPr>
          <w:p>
            <w:pPr>
              <w:pStyle w:val="BodyText"/>
              <w:spacing w:before="0" w:after="0"/>
              <w:ind w:start="0" w:end="0"/>
              <w:rPr/>
            </w:pPr>
            <w:r>
              <w:rPr>
                <w:bCs/>
                <w:iCs/>
                <w:color w:val="FF0000"/>
                <w:sz w:val="16"/>
                <w:szCs w:val="16"/>
              </w:rPr>
              <w:t>19</w:t>
            </w:r>
            <w:r>
              <w:rPr>
                <w:bCs/>
                <w:iCs/>
                <w:color w:val="FF0000"/>
                <w:sz w:val="16"/>
                <w:szCs w:val="16"/>
                <w:vertAlign w:val="superscript"/>
              </w:rPr>
              <w:t>th</w:t>
            </w:r>
            <w:r>
              <w:rPr>
                <w:bCs/>
                <w:iCs/>
                <w:color w:val="FF0000"/>
                <w:sz w:val="16"/>
                <w:szCs w:val="16"/>
              </w:rPr>
              <w:t xml:space="preserve"> Oct 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Above changes saved &amp; document used as the baseline</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AJ v1.2</w:t>
            </w:r>
          </w:p>
        </w:tc>
        <w:tc>
          <w:tcPr>
            <w:tcW w:w="1800" w:type="dxa"/>
            <w:tcBorders/>
          </w:tcPr>
          <w:p>
            <w:pPr>
              <w:pStyle w:val="BodyText"/>
              <w:spacing w:before="0" w:after="0"/>
              <w:ind w:start="0" w:end="0"/>
              <w:rPr>
                <w:bCs/>
                <w:iCs/>
                <w:color w:val="FF0000"/>
                <w:sz w:val="16"/>
                <w:szCs w:val="16"/>
              </w:rPr>
            </w:pPr>
            <w:r>
              <w:rPr>
                <w:bCs/>
                <w:iCs/>
                <w:color w:val="FF0000"/>
                <w:sz w:val="16"/>
                <w:szCs w:val="16"/>
              </w:rPr>
              <w:t>30-10-2006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Last content changes and made unnecessary red text black again</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v1.3</w:t>
            </w:r>
          </w:p>
        </w:tc>
        <w:tc>
          <w:tcPr>
            <w:tcW w:w="1800" w:type="dxa"/>
            <w:tcBorders/>
          </w:tcPr>
          <w:p>
            <w:pPr>
              <w:pStyle w:val="BodyText"/>
              <w:spacing w:before="0" w:after="0"/>
              <w:ind w:start="0" w:end="0"/>
              <w:rPr/>
            </w:pPr>
            <w:r>
              <w:rPr>
                <w:bCs/>
                <w:iCs/>
                <w:color w:val="FF0000"/>
                <w:sz w:val="16"/>
                <w:szCs w:val="16"/>
              </w:rPr>
              <w:t>30</w:t>
            </w:r>
            <w:r>
              <w:rPr>
                <w:bCs/>
                <w:iCs/>
                <w:color w:val="FF0000"/>
                <w:sz w:val="16"/>
                <w:szCs w:val="16"/>
                <w:vertAlign w:val="superscript"/>
              </w:rPr>
              <w:t>th</w:t>
            </w:r>
            <w:r>
              <w:rPr>
                <w:bCs/>
                <w:iCs/>
                <w:color w:val="FF0000"/>
                <w:sz w:val="16"/>
                <w:szCs w:val="16"/>
              </w:rPr>
              <w:t xml:space="preserve"> Oct 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AJ’s changes accepted &amp; comments resolved; clause references in 5B corrected; ToC updated</w:t>
            </w:r>
          </w:p>
        </w:tc>
      </w:tr>
      <w:tr>
        <w:trPr/>
        <w:tc>
          <w:tcPr>
            <w:tcW w:w="1188" w:type="dxa"/>
            <w:tcBorders/>
          </w:tcPr>
          <w:p>
            <w:pPr>
              <w:pStyle w:val="BodyText"/>
              <w:spacing w:before="0" w:after="0"/>
              <w:ind w:start="0" w:end="0"/>
              <w:rPr/>
            </w:pPr>
            <w:r>
              <w:rPr>
                <w:bCs/>
                <w:iCs/>
                <w:color w:val="FF0000"/>
                <w:sz w:val="16"/>
                <w:szCs w:val="16"/>
              </w:rPr>
              <w:t>SJ v1.4</w:t>
            </w:r>
          </w:p>
        </w:tc>
        <w:tc>
          <w:tcPr>
            <w:tcW w:w="1800" w:type="dxa"/>
            <w:tcBorders/>
          </w:tcPr>
          <w:p>
            <w:pPr>
              <w:pStyle w:val="BodyText"/>
              <w:spacing w:before="0" w:after="0"/>
              <w:ind w:start="0" w:end="0"/>
              <w:rPr/>
            </w:pPr>
            <w:r>
              <w:rPr>
                <w:bCs/>
                <w:iCs/>
                <w:color w:val="FF0000"/>
                <w:sz w:val="16"/>
                <w:szCs w:val="16"/>
              </w:rPr>
              <w:t>30</w:t>
            </w:r>
            <w:r>
              <w:rPr>
                <w:bCs/>
                <w:iCs/>
                <w:color w:val="FF0000"/>
                <w:sz w:val="16"/>
                <w:szCs w:val="16"/>
                <w:vertAlign w:val="superscript"/>
              </w:rPr>
              <w:t>th</w:t>
            </w:r>
            <w:r>
              <w:rPr>
                <w:bCs/>
                <w:iCs/>
                <w:color w:val="FF0000"/>
                <w:sz w:val="16"/>
                <w:szCs w:val="16"/>
              </w:rPr>
              <w:t xml:space="preserve"> Oct 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All changes accepted</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v1.5</w:t>
            </w:r>
          </w:p>
        </w:tc>
        <w:tc>
          <w:tcPr>
            <w:tcW w:w="1800" w:type="dxa"/>
            <w:tcBorders/>
          </w:tcPr>
          <w:p>
            <w:pPr>
              <w:pStyle w:val="BodyText"/>
              <w:spacing w:before="0" w:after="0"/>
              <w:ind w:start="0" w:end="0"/>
              <w:rPr/>
            </w:pPr>
            <w:r>
              <w:rPr>
                <w:bCs/>
                <w:iCs/>
                <w:color w:val="FF0000"/>
                <w:sz w:val="16"/>
                <w:szCs w:val="16"/>
              </w:rPr>
              <w:t>1</w:t>
            </w:r>
            <w:r>
              <w:rPr>
                <w:bCs/>
                <w:iCs/>
                <w:color w:val="FF0000"/>
                <w:sz w:val="16"/>
                <w:szCs w:val="16"/>
                <w:vertAlign w:val="superscript"/>
              </w:rPr>
              <w:t>st</w:t>
            </w:r>
            <w:r>
              <w:rPr>
                <w:bCs/>
                <w:iCs/>
                <w:color w:val="FF0000"/>
                <w:sz w:val="16"/>
                <w:szCs w:val="16"/>
              </w:rPr>
              <w:t xml:space="preserve"> Nov 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Section 5B deleted (extracted to new Attachment 5-F). ToC re-calculated</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v1.6</w:t>
            </w:r>
          </w:p>
        </w:tc>
        <w:tc>
          <w:tcPr>
            <w:tcW w:w="1800" w:type="dxa"/>
            <w:tcBorders/>
          </w:tcPr>
          <w:p>
            <w:pPr>
              <w:pStyle w:val="BodyText"/>
              <w:spacing w:before="0" w:after="0"/>
              <w:ind w:start="0" w:end="0"/>
              <w:rPr/>
            </w:pPr>
            <w:r>
              <w:rPr>
                <w:bCs/>
                <w:iCs/>
                <w:color w:val="FF0000"/>
                <w:sz w:val="16"/>
                <w:szCs w:val="16"/>
              </w:rPr>
              <w:t>1</w:t>
            </w:r>
            <w:r>
              <w:rPr>
                <w:bCs/>
                <w:iCs/>
                <w:color w:val="FF0000"/>
                <w:sz w:val="16"/>
                <w:szCs w:val="16"/>
                <w:vertAlign w:val="superscript"/>
              </w:rPr>
              <w:t>st</w:t>
            </w:r>
            <w:r>
              <w:rPr>
                <w:bCs/>
                <w:iCs/>
                <w:color w:val="FF0000"/>
                <w:sz w:val="16"/>
                <w:szCs w:val="16"/>
              </w:rPr>
              <w:t xml:space="preserve"> Nov 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Above changes accepted</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v1.7</w:t>
            </w:r>
          </w:p>
        </w:tc>
        <w:tc>
          <w:tcPr>
            <w:tcW w:w="1800" w:type="dxa"/>
            <w:tcBorders/>
          </w:tcPr>
          <w:p>
            <w:pPr>
              <w:pStyle w:val="BodyText"/>
              <w:spacing w:before="0" w:after="0"/>
              <w:ind w:start="0" w:end="0"/>
              <w:rPr/>
            </w:pPr>
            <w:r>
              <w:rPr>
                <w:bCs/>
                <w:iCs/>
                <w:color w:val="FF0000"/>
                <w:sz w:val="16"/>
                <w:szCs w:val="16"/>
              </w:rPr>
              <w:t>22</w:t>
            </w:r>
            <w:r>
              <w:rPr>
                <w:bCs/>
                <w:iCs/>
                <w:color w:val="FF0000"/>
                <w:sz w:val="16"/>
                <w:szCs w:val="16"/>
                <w:vertAlign w:val="superscript"/>
              </w:rPr>
              <w:t>nd</w:t>
            </w:r>
            <w:r>
              <w:rPr>
                <w:bCs/>
                <w:iCs/>
                <w:color w:val="FF0000"/>
                <w:sz w:val="16"/>
                <w:szCs w:val="16"/>
              </w:rPr>
              <w:t xml:space="preserve"> Nov 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Defiinition tidy up etc</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AJ v1.8</w:t>
            </w:r>
          </w:p>
        </w:tc>
        <w:tc>
          <w:tcPr>
            <w:tcW w:w="1800" w:type="dxa"/>
            <w:tcBorders/>
          </w:tcPr>
          <w:p>
            <w:pPr>
              <w:pStyle w:val="BodyText"/>
              <w:spacing w:before="0" w:after="0"/>
              <w:ind w:start="0" w:end="0"/>
              <w:rPr/>
            </w:pPr>
            <w:r>
              <w:rPr>
                <w:bCs/>
                <w:iCs/>
                <w:color w:val="FF0000"/>
                <w:sz w:val="16"/>
                <w:szCs w:val="16"/>
              </w:rPr>
              <w:t>11</w:t>
            </w:r>
            <w:r>
              <w:rPr>
                <w:bCs/>
                <w:iCs/>
                <w:color w:val="FF0000"/>
                <w:sz w:val="16"/>
                <w:szCs w:val="16"/>
                <w:vertAlign w:val="superscript"/>
              </w:rPr>
              <w:t>th</w:t>
            </w:r>
            <w:r>
              <w:rPr>
                <w:bCs/>
                <w:iCs/>
                <w:color w:val="FF0000"/>
                <w:sz w:val="16"/>
                <w:szCs w:val="16"/>
              </w:rPr>
              <w:t xml:space="preserve"> Dec 2006</w:t>
            </w:r>
          </w:p>
        </w:tc>
        <w:tc>
          <w:tcPr>
            <w:tcW w:w="5540" w:type="dxa"/>
            <w:tcBorders/>
          </w:tcPr>
          <w:p>
            <w:pPr>
              <w:pStyle w:val="BodyText"/>
              <w:tabs>
                <w:tab w:val="clear" w:pos="720"/>
                <w:tab w:val="left" w:pos="432" w:leader="none"/>
              </w:tabs>
              <w:spacing w:before="0" w:after="0"/>
              <w:ind w:start="0" w:end="0"/>
              <w:jc w:val="both"/>
              <w:rPr>
                <w:bCs/>
                <w:iCs/>
                <w:color w:val="FF0000"/>
                <w:sz w:val="16"/>
                <w:szCs w:val="16"/>
              </w:rPr>
            </w:pPr>
            <w:r>
              <w:rPr>
                <w:bCs/>
                <w:iCs/>
                <w:color w:val="FF0000"/>
                <w:sz w:val="16"/>
                <w:szCs w:val="16"/>
              </w:rPr>
              <w:t>Wording on CD and ED</w:t>
            </w:r>
          </w:p>
        </w:tc>
      </w:tr>
    </w:tbl>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3</w:t>
      </w:r>
    </w:p>
    <w:p>
      <w:pPr>
        <w:pStyle w:val="Title"/>
        <w:rPr>
          <w:lang w:val="en-GB"/>
        </w:rPr>
      </w:pPr>
      <w:r>
        <w:rPr>
          <w:lang w:val="en-GB"/>
        </w:rPr>
      </w:r>
    </w:p>
    <w:p>
      <w:pPr>
        <w:pStyle w:val="Title"/>
        <w:rPr>
          <w:lang w:val="en-GB"/>
        </w:rPr>
      </w:pPr>
      <w:r>
        <w:rPr>
          <w:lang w:val="en-GB"/>
        </w:rPr>
        <w:t>Service Levels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"2-2" \t "Heading,1,Heading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GENERAL</w:t>
          </w:r>
          <w:r>
            <w:rPr>
              <w:sz w:val="18"/>
              <w:szCs w:val="18"/>
              <w:lang w:val="en-US" w:eastAsia="en-US"/>
            </w:rPr>
            <w:tab/>
          </w:r>
          <w:hyperlink w:anchor="__RefHeading___Toc150141095">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ATTACHMENTS</w:t>
          </w:r>
          <w:r>
            <w:rPr>
              <w:sz w:val="18"/>
              <w:szCs w:val="18"/>
              <w:lang w:val="en-US" w:eastAsia="en-US"/>
            </w:rPr>
            <w:tab/>
          </w:r>
          <w:hyperlink w:anchor="__RefHeading___Toc150141096">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3.</w:t>
          </w:r>
          <w:r>
            <w:rPr>
              <w:b w:val="false"/>
              <w:sz w:val="18"/>
              <w:szCs w:val="18"/>
              <w:lang w:val="en-US" w:eastAsia="en-US"/>
            </w:rPr>
            <w:tab/>
          </w:r>
          <w:r>
            <w:rPr>
              <w:sz w:val="18"/>
              <w:szCs w:val="18"/>
              <w:lang w:val="en-GB" w:eastAsia="en-US"/>
            </w:rPr>
            <w:t>REPORTING</w:t>
          </w:r>
          <w:r>
            <w:rPr>
              <w:sz w:val="18"/>
              <w:szCs w:val="18"/>
              <w:lang w:val="en-US" w:eastAsia="en-US"/>
            </w:rPr>
            <w:tab/>
          </w:r>
          <w:hyperlink w:anchor="__RefHeading___Toc150141097">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4.</w:t>
          </w:r>
          <w:r>
            <w:rPr>
              <w:b w:val="false"/>
              <w:sz w:val="18"/>
              <w:szCs w:val="18"/>
              <w:lang w:val="en-US" w:eastAsia="en-US"/>
            </w:rPr>
            <w:tab/>
          </w:r>
          <w:r>
            <w:rPr>
              <w:sz w:val="18"/>
              <w:szCs w:val="18"/>
              <w:lang w:val="en-GB" w:eastAsia="en-US"/>
            </w:rPr>
            <w:t>NOTICE REQUIREMENTS FOR ADDITIONS, DELETIONS AND MODIFICATIONS</w:t>
          </w:r>
          <w:r>
            <w:rPr>
              <w:sz w:val="18"/>
              <w:szCs w:val="18"/>
              <w:lang w:val="en-US" w:eastAsia="en-US"/>
            </w:rPr>
            <w:tab/>
          </w:r>
          <w:hyperlink w:anchor="__RefHeading___Toc150141098">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5.</w:t>
          </w:r>
          <w:r>
            <w:rPr>
              <w:b w:val="false"/>
              <w:sz w:val="18"/>
              <w:szCs w:val="18"/>
              <w:lang w:val="en-US" w:eastAsia="en-US"/>
            </w:rPr>
            <w:tab/>
          </w:r>
          <w:r>
            <w:rPr>
              <w:sz w:val="18"/>
              <w:szCs w:val="18"/>
              <w:lang w:val="en-GB" w:eastAsia="en-US"/>
            </w:rPr>
            <w:t>SERVICE CREDITS</w:t>
          </w:r>
          <w:r>
            <w:rPr>
              <w:sz w:val="18"/>
              <w:szCs w:val="18"/>
              <w:lang w:val="en-US" w:eastAsia="en-US"/>
            </w:rPr>
            <w:tab/>
          </w:r>
          <w:hyperlink w:anchor="__RefHeading___Toc150141099">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EARNBACK</w:t>
          </w:r>
          <w:r>
            <w:rPr>
              <w:sz w:val="18"/>
              <w:szCs w:val="18"/>
              <w:lang w:val="en-US" w:eastAsia="en-US"/>
            </w:rPr>
            <w:tab/>
          </w:r>
          <w:hyperlink w:anchor="__RefHeading___Toc150141100">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7.</w:t>
          </w:r>
          <w:r>
            <w:rPr>
              <w:b w:val="false"/>
              <w:sz w:val="18"/>
              <w:szCs w:val="18"/>
              <w:lang w:val="en-US" w:eastAsia="en-US"/>
            </w:rPr>
            <w:tab/>
          </w:r>
          <w:r>
            <w:rPr>
              <w:bCs/>
              <w:sz w:val="18"/>
              <w:szCs w:val="18"/>
              <w:lang w:val="en-GB" w:eastAsia="en-US"/>
            </w:rPr>
            <w:t>ADDITIONS AND DELETIONS OF PERFORMANCE CATEGORIES</w:t>
          </w:r>
          <w:r>
            <w:rPr>
              <w:sz w:val="18"/>
              <w:szCs w:val="18"/>
              <w:lang w:val="en-US" w:eastAsia="en-US"/>
            </w:rPr>
            <w:tab/>
          </w:r>
          <w:hyperlink w:anchor="__RefHeading___Toc150141101">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8.</w:t>
          </w:r>
          <w:r>
            <w:rPr>
              <w:b w:val="false"/>
              <w:sz w:val="18"/>
              <w:szCs w:val="18"/>
              <w:lang w:val="en-US" w:eastAsia="en-US"/>
            </w:rPr>
            <w:tab/>
          </w:r>
          <w:r>
            <w:rPr>
              <w:bCs/>
              <w:sz w:val="18"/>
              <w:szCs w:val="18"/>
              <w:lang w:val="en-GB" w:eastAsia="en-US"/>
            </w:rPr>
            <w:t>ADDITIONS AND DELETIONS OF SERVICE LEVELS</w:t>
          </w:r>
          <w:r>
            <w:rPr>
              <w:sz w:val="18"/>
              <w:szCs w:val="18"/>
              <w:lang w:val="en-US" w:eastAsia="en-US"/>
            </w:rPr>
            <w:tab/>
          </w:r>
          <w:hyperlink w:anchor="__RefHeading___Toc150141102">
            <w:r>
              <w:rPr>
                <w:rStyle w:val="IndexLink"/>
                <w:sz w:val="18"/>
                <w:szCs w:val="18"/>
                <w:lang w:val="en-US" w:eastAsia="en-US"/>
              </w:rPr>
              <w:t>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8.1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50141103">
            <w:r>
              <w:rPr>
                <w:rStyle w:val="IndexLink"/>
                <w:sz w:val="18"/>
                <w:szCs w:val="18"/>
                <w:lang w:val="en-US" w:eastAsia="en-US"/>
              </w:rPr>
              <w:t>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8.2</w:t>
          </w:r>
          <w:r>
            <w:rPr>
              <w:b w:val="false"/>
              <w:sz w:val="18"/>
              <w:szCs w:val="18"/>
              <w:lang w:val="en-US" w:eastAsia="en-US"/>
            </w:rPr>
            <w:tab/>
          </w:r>
          <w:r>
            <w:rPr>
              <w:sz w:val="18"/>
              <w:szCs w:val="18"/>
              <w:lang w:val="en-GB" w:eastAsia="en-US"/>
            </w:rPr>
            <w:t>Deletions</w:t>
          </w:r>
          <w:r>
            <w:rPr>
              <w:sz w:val="18"/>
              <w:szCs w:val="18"/>
              <w:lang w:val="en-US" w:eastAsia="en-US"/>
            </w:rPr>
            <w:tab/>
          </w:r>
          <w:hyperlink w:anchor="__RefHeading___Toc150141104">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8.3</w:t>
          </w:r>
          <w:r>
            <w:rPr>
              <w:b w:val="false"/>
              <w:sz w:val="18"/>
              <w:szCs w:val="18"/>
              <w:lang w:val="en-US" w:eastAsia="en-US"/>
            </w:rPr>
            <w:tab/>
          </w:r>
          <w:r>
            <w:rPr>
              <w:sz w:val="18"/>
              <w:szCs w:val="18"/>
              <w:lang w:val="en-GB" w:eastAsia="en-US"/>
            </w:rPr>
            <w:t>Impact of Additions and Deletions of Critical Service Levels on Service Credit Allocation Percentages</w:t>
          </w:r>
          <w:r>
            <w:rPr>
              <w:sz w:val="18"/>
              <w:szCs w:val="18"/>
              <w:lang w:val="en-US" w:eastAsia="en-US"/>
            </w:rPr>
            <w:tab/>
          </w:r>
          <w:hyperlink w:anchor="__RefHeading___Toc150141105">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8.4</w:t>
          </w:r>
          <w:r>
            <w:rPr>
              <w:b w:val="false"/>
              <w:sz w:val="18"/>
              <w:szCs w:val="18"/>
              <w:lang w:val="en-US" w:eastAsia="en-US"/>
            </w:rPr>
            <w:tab/>
          </w:r>
          <w:r>
            <w:rPr>
              <w:sz w:val="18"/>
              <w:szCs w:val="18"/>
              <w:lang w:val="en-GB" w:eastAsia="en-US"/>
            </w:rPr>
            <w:t>Modifications of Service Credit Allocation Percentages for Critical Service Levels</w:t>
          </w:r>
          <w:r>
            <w:rPr>
              <w:sz w:val="18"/>
              <w:szCs w:val="18"/>
              <w:lang w:val="en-US" w:eastAsia="en-US"/>
            </w:rPr>
            <w:tab/>
          </w:r>
          <w:hyperlink w:anchor="__RefHeading___Toc150141106">
            <w:r>
              <w:rPr>
                <w:rStyle w:val="IndexLink"/>
                <w:sz w:val="18"/>
                <w:szCs w:val="18"/>
                <w:lang w:val="en-US" w:eastAsia="en-US"/>
              </w:rPr>
              <w:t>6</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9.</w:t>
          </w:r>
          <w:r>
            <w:rPr>
              <w:b w:val="false"/>
              <w:sz w:val="18"/>
              <w:szCs w:val="18"/>
              <w:lang w:val="en-US" w:eastAsia="en-US"/>
            </w:rPr>
            <w:tab/>
          </w:r>
          <w:r>
            <w:rPr>
              <w:bCs/>
              <w:sz w:val="18"/>
              <w:szCs w:val="18"/>
              <w:lang w:val="en-GB" w:eastAsia="en-US"/>
            </w:rPr>
            <w:t>CRITICAL DELIVERABLES – AFTER COMMENCEMENT DATE</w:t>
          </w:r>
          <w:r>
            <w:rPr>
              <w:sz w:val="18"/>
              <w:szCs w:val="18"/>
              <w:lang w:val="en-US" w:eastAsia="en-US"/>
            </w:rPr>
            <w:tab/>
          </w:r>
          <w:hyperlink w:anchor="__RefHeading___Toc150141107">
            <w:r>
              <w:rPr>
                <w:rStyle w:val="IndexLink"/>
                <w:sz w:val="18"/>
                <w:szCs w:val="18"/>
                <w:lang w:val="en-US" w:eastAsia="en-US"/>
              </w:rPr>
              <w:t>6</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10.</w:t>
          </w:r>
          <w:r>
            <w:rPr>
              <w:b w:val="false"/>
              <w:sz w:val="18"/>
              <w:szCs w:val="18"/>
              <w:lang w:val="en-US" w:eastAsia="en-US"/>
            </w:rPr>
            <w:tab/>
          </w:r>
          <w:r>
            <w:rPr>
              <w:bCs/>
              <w:sz w:val="18"/>
              <w:szCs w:val="18"/>
              <w:lang w:val="en-GB" w:eastAsia="en-US"/>
            </w:rPr>
            <w:t>COMMENCEMENT OF OBLIGATIONS</w:t>
          </w:r>
          <w:r>
            <w:rPr>
              <w:sz w:val="18"/>
              <w:szCs w:val="18"/>
              <w:lang w:val="en-US" w:eastAsia="en-US"/>
            </w:rPr>
            <w:tab/>
          </w:r>
          <w:hyperlink w:anchor="__RefHeading___Toc150141108">
            <w:r>
              <w:rPr>
                <w:rStyle w:val="IndexLink"/>
                <w:sz w:val="18"/>
                <w:szCs w:val="18"/>
                <w:lang w:val="en-US" w:eastAsia="en-US"/>
              </w:rPr>
              <w:t>6</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11.</w:t>
          </w:r>
          <w:r>
            <w:rPr>
              <w:b w:val="false"/>
              <w:sz w:val="18"/>
              <w:szCs w:val="18"/>
              <w:lang w:val="en-US" w:eastAsia="en-US"/>
            </w:rPr>
            <w:tab/>
          </w:r>
          <w:r>
            <w:rPr>
              <w:bCs/>
              <w:sz w:val="18"/>
              <w:szCs w:val="18"/>
              <w:lang w:val="en-GB" w:eastAsia="en-US"/>
            </w:rPr>
            <w:t>COOPERATION</w:t>
          </w:r>
          <w:r>
            <w:rPr>
              <w:sz w:val="18"/>
              <w:szCs w:val="18"/>
              <w:lang w:val="en-US" w:eastAsia="en-US"/>
            </w:rPr>
            <w:tab/>
          </w:r>
          <w:hyperlink w:anchor="__RefHeading___Toc150141109">
            <w:r>
              <w:rPr>
                <w:rStyle w:val="IndexLink"/>
                <w:sz w:val="18"/>
                <w:szCs w:val="18"/>
                <w:lang w:val="en-US" w:eastAsia="en-US"/>
              </w:rPr>
              <w:t>7</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CONTINUOUS IMPROVEMENT – SERVICE LEVELS</w:t>
          </w:r>
          <w:r>
            <w:rPr>
              <w:sz w:val="18"/>
              <w:szCs w:val="18"/>
              <w:lang w:val="en-US" w:eastAsia="en-US"/>
            </w:rPr>
            <w:tab/>
          </w:r>
          <w:hyperlink w:anchor="__RefHeading___Toc150141110">
            <w:r>
              <w:rPr>
                <w:rStyle w:val="IndexLink"/>
                <w:sz w:val="18"/>
                <w:szCs w:val="18"/>
                <w:lang w:val="en-US" w:eastAsia="en-US"/>
              </w:rPr>
              <w:t>7</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13.</w:t>
          </w:r>
          <w:r>
            <w:rPr>
              <w:b w:val="false"/>
              <w:sz w:val="18"/>
              <w:szCs w:val="18"/>
              <w:lang w:val="en-US" w:eastAsia="en-US"/>
            </w:rPr>
            <w:tab/>
          </w:r>
          <w:r>
            <w:rPr>
              <w:bCs/>
              <w:sz w:val="18"/>
              <w:szCs w:val="18"/>
              <w:lang w:val="en-GB" w:eastAsia="en-US"/>
            </w:rPr>
            <w:t>CRITICAL SERVICE LEVEL OUTCOME EXAMPLES</w:t>
          </w:r>
          <w:r>
            <w:rPr>
              <w:sz w:val="18"/>
              <w:szCs w:val="18"/>
              <w:lang w:val="en-US" w:eastAsia="en-US"/>
            </w:rPr>
            <w:tab/>
          </w:r>
          <w:hyperlink w:anchor="__RefHeading___Toc150141111">
            <w:r>
              <w:rPr>
                <w:rStyle w:val="IndexLink"/>
                <w:sz w:val="18"/>
                <w:szCs w:val="18"/>
                <w:lang w:val="en-US" w:eastAsia="en-US"/>
              </w:rPr>
              <w:t>8</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14.</w:t>
          </w:r>
          <w:r>
            <w:rPr>
              <w:b w:val="false"/>
              <w:sz w:val="18"/>
              <w:szCs w:val="18"/>
              <w:lang w:val="en-US" w:eastAsia="en-US"/>
            </w:rPr>
            <w:tab/>
          </w:r>
          <w:r>
            <w:rPr>
              <w:bCs/>
              <w:sz w:val="18"/>
              <w:szCs w:val="18"/>
              <w:lang w:val="en-GB" w:eastAsia="en-US"/>
            </w:rPr>
            <w:t>IMPROVEMENT PLAN FOR KEY MEASUREMENTS</w:t>
          </w:r>
          <w:r>
            <w:rPr>
              <w:sz w:val="18"/>
              <w:szCs w:val="18"/>
              <w:lang w:val="en-US" w:eastAsia="en-US"/>
            </w:rPr>
            <w:tab/>
          </w:r>
          <w:hyperlink w:anchor="__RefHeading___Toc150141112">
            <w:r>
              <w:rPr>
                <w:rStyle w:val="IndexLink"/>
                <w:sz w:val="18"/>
                <w:szCs w:val="18"/>
                <w:lang w:val="en-US" w:eastAsia="en-US"/>
              </w:rPr>
              <w:t>9</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15.</w:t>
          </w:r>
          <w:r>
            <w:rPr>
              <w:b w:val="false"/>
              <w:sz w:val="18"/>
              <w:szCs w:val="18"/>
              <w:lang w:val="en-US" w:eastAsia="en-US"/>
            </w:rPr>
            <w:tab/>
          </w:r>
          <w:r>
            <w:rPr>
              <w:bCs/>
              <w:sz w:val="18"/>
              <w:szCs w:val="18"/>
              <w:lang w:val="en-GB" w:eastAsia="en-US"/>
            </w:rPr>
            <w:t>MEASURING TOOLS</w:t>
          </w:r>
          <w:r>
            <w:rPr>
              <w:sz w:val="18"/>
              <w:szCs w:val="18"/>
              <w:lang w:val="en-US" w:eastAsia="en-US"/>
            </w:rPr>
            <w:tab/>
          </w:r>
          <w:hyperlink w:anchor="__RefHeading___Toc150141113">
            <w:r>
              <w:rPr>
                <w:rStyle w:val="IndexLink"/>
                <w:sz w:val="18"/>
                <w:szCs w:val="18"/>
                <w:lang w:val="en-US" w:eastAsia="en-US"/>
              </w:rPr>
              <w:t>9</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16.</w:t>
          </w:r>
          <w:r>
            <w:rPr>
              <w:b w:val="false"/>
              <w:sz w:val="18"/>
              <w:szCs w:val="18"/>
              <w:lang w:val="en-US" w:eastAsia="en-US"/>
            </w:rPr>
            <w:tab/>
          </w:r>
          <w:r>
            <w:rPr>
              <w:bCs/>
              <w:sz w:val="18"/>
              <w:szCs w:val="18"/>
              <w:lang w:val="en-GB" w:eastAsia="en-US"/>
            </w:rPr>
            <w:t>TIMES</w:t>
          </w:r>
          <w:r>
            <w:rPr>
              <w:sz w:val="18"/>
              <w:szCs w:val="18"/>
              <w:lang w:val="en-US" w:eastAsia="en-US"/>
            </w:rPr>
            <w:tab/>
          </w:r>
          <w:hyperlink w:anchor="__RefHeading___Toc150141114">
            <w:r>
              <w:rPr>
                <w:rStyle w:val="IndexLink"/>
                <w:sz w:val="18"/>
                <w:szCs w:val="18"/>
                <w:lang w:val="en-US" w:eastAsia="en-US"/>
              </w:rPr>
              <w:t>9</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17.</w:t>
          </w:r>
          <w:r>
            <w:rPr>
              <w:b w:val="false"/>
              <w:sz w:val="18"/>
              <w:szCs w:val="18"/>
              <w:lang w:val="en-US" w:eastAsia="en-US"/>
            </w:rPr>
            <w:tab/>
          </w:r>
          <w:r>
            <w:rPr>
              <w:bCs/>
              <w:sz w:val="18"/>
              <w:szCs w:val="18"/>
              <w:lang w:val="en-GB" w:eastAsia="en-US"/>
            </w:rPr>
            <w:t>SINGLE INCIDENT/MULTIPLE DEFAULTS</w:t>
          </w:r>
          <w:r>
            <w:rPr>
              <w:sz w:val="18"/>
              <w:szCs w:val="18"/>
              <w:lang w:val="en-US" w:eastAsia="en-US"/>
            </w:rPr>
            <w:tab/>
          </w:r>
          <w:hyperlink w:anchor="__RefHeading___Toc150141115">
            <w:r>
              <w:rPr>
                <w:rStyle w:val="IndexLink"/>
                <w:sz w:val="18"/>
                <w:szCs w:val="18"/>
                <w:lang w:val="en-US" w:eastAsia="en-US"/>
              </w:rPr>
              <w:t>9</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18.</w:t>
          </w:r>
          <w:r>
            <w:rPr>
              <w:b w:val="false"/>
              <w:sz w:val="18"/>
              <w:szCs w:val="18"/>
              <w:lang w:val="en-US" w:eastAsia="en-US"/>
            </w:rPr>
            <w:tab/>
          </w:r>
          <w:r>
            <w:rPr>
              <w:bCs/>
              <w:sz w:val="18"/>
              <w:szCs w:val="18"/>
              <w:lang w:val="en-GB" w:eastAsia="en-US"/>
            </w:rPr>
            <w:t>EXCEPTIONS</w:t>
          </w:r>
          <w:r>
            <w:rPr>
              <w:sz w:val="18"/>
              <w:szCs w:val="18"/>
              <w:lang w:val="en-US" w:eastAsia="en-US"/>
            </w:rPr>
            <w:tab/>
          </w:r>
          <w:hyperlink w:anchor="__RefHeading___Toc150141116">
            <w:r>
              <w:rPr>
                <w:rStyle w:val="IndexLink"/>
                <w:sz w:val="18"/>
                <w:szCs w:val="18"/>
                <w:lang w:val="en-US" w:eastAsia="en-US"/>
              </w:rPr>
              <w:t>10</w:t>
            </w:r>
          </w:hyperlink>
        </w:p>
        <w:p>
          <w:pPr>
            <w:pStyle w:val="TOC1"/>
            <w:tabs>
              <w:tab w:val="clear" w:pos="720"/>
              <w:tab w:val="left" w:pos="660" w:leader="none"/>
              <w:tab w:val="right" w:pos="8441" w:leader="dot"/>
            </w:tabs>
            <w:rPr>
              <w:sz w:val="18"/>
              <w:szCs w:val="18"/>
              <w:lang w:val="en-US" w:eastAsia="en-US"/>
            </w:rPr>
          </w:pPr>
          <w:r>
            <w:rPr>
              <w:b w:val="false"/>
              <w:bCs/>
              <w:sz w:val="18"/>
              <w:szCs w:val="18"/>
              <w:lang w:val="en-GB" w:eastAsia="en-US"/>
            </w:rPr>
            <w:t>19.</w:t>
          </w:r>
          <w:r>
            <w:rPr>
              <w:b w:val="false"/>
              <w:sz w:val="18"/>
              <w:szCs w:val="18"/>
              <w:lang w:val="en-US" w:eastAsia="en-US"/>
            </w:rPr>
            <w:tab/>
          </w:r>
          <w:r>
            <w:rPr>
              <w:b w:val="false"/>
              <w:bCs/>
              <w:sz w:val="18"/>
              <w:szCs w:val="18"/>
              <w:lang w:val="en-GB" w:eastAsia="en-US"/>
            </w:rPr>
            <w:t>EXCLUSIONS</w:t>
          </w:r>
          <w:r>
            <w:rPr>
              <w:b w:val="false"/>
              <w:sz w:val="18"/>
              <w:szCs w:val="18"/>
              <w:lang w:val="en-US" w:eastAsia="en-US"/>
            </w:rPr>
            <w:tab/>
          </w:r>
          <w:hyperlink w:anchor="__RefHeading___Toc150141117">
            <w:r>
              <w:rPr>
                <w:rStyle w:val="IndexLink"/>
                <w:b w:val="false"/>
                <w:sz w:val="18"/>
                <w:szCs w:val="18"/>
                <w:lang w:val="en-US" w:eastAsia="en-US"/>
              </w:rPr>
              <w:t>10</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jc w:val="both"/>
        <w:rPr>
          <w:sz w:val="18"/>
          <w:szCs w:val="22"/>
          <w:lang w:val="en-GB"/>
        </w:rPr>
      </w:pPr>
      <w:r>
        <w:rPr>
          <w:sz w:val="18"/>
          <w:szCs w:val="22"/>
          <w:lang w:val="en-GB"/>
        </w:rPr>
      </w:r>
    </w:p>
    <w:p>
      <w:pPr>
        <w:pStyle w:val="Normal"/>
        <w:spacing w:before="0" w:after="0"/>
        <w:jc w:val="center"/>
        <w:rPr>
          <w:b/>
          <w:szCs w:val="22"/>
          <w:lang w:val="en-GB"/>
        </w:rPr>
      </w:pPr>
      <w:r>
        <w:rPr>
          <w:b/>
          <w:szCs w:val="22"/>
          <w:lang w:val="en-GB"/>
        </w:rPr>
        <w:t>EuroBank Requirements</w:t>
      </w:r>
    </w:p>
    <w:p>
      <w:pPr>
        <w:pStyle w:val="Normal"/>
        <w:spacing w:before="0" w:after="0"/>
        <w:jc w:val="both"/>
        <w:rPr>
          <w:b/>
          <w:szCs w:val="22"/>
          <w:lang w:val="en-GB"/>
        </w:rPr>
      </w:pPr>
      <w:r>
        <w:rPr>
          <w:b/>
          <w:szCs w:val="22"/>
          <w:lang w:val="en-GB"/>
        </w:rPr>
      </w:r>
    </w:p>
    <w:p>
      <w:pPr>
        <w:pStyle w:val="Heading1Numbered"/>
        <w:numPr>
          <w:ilvl w:val="0"/>
          <w:numId w:val="2"/>
        </w:numPr>
        <w:ind w:hanging="0" w:start="0"/>
        <w:rPr>
          <w:sz w:val="22"/>
          <w:szCs w:val="22"/>
          <w:lang w:val="en-GB"/>
        </w:rPr>
      </w:pPr>
      <w:bookmarkStart w:id="0" w:name="__RefHeading___Toc150141095"/>
      <w:bookmarkEnd w:id="0"/>
      <w:r>
        <w:rPr>
          <w:sz w:val="22"/>
          <w:szCs w:val="22"/>
          <w:lang w:val="en-GB"/>
        </w:rPr>
        <w:t>GENERAL</w:t>
      </w:r>
    </w:p>
    <w:p>
      <w:pPr>
        <w:pStyle w:val="Normal"/>
        <w:spacing w:before="0" w:after="0"/>
        <w:jc w:val="both"/>
        <w:rPr/>
      </w:pPr>
      <w:r>
        <w:rPr>
          <w:szCs w:val="22"/>
          <w:lang w:val="en-GB"/>
        </w:rPr>
        <w:t>As of the Commencement Date (or as otherwise specified in this Exhibit and the Attachments to this Exhibit), the PST Member will perform the Services described in this Exhibit.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New Performance Categories, Critical Service Levels and Key Measurements may be added or substituted by EuroBank as specified in this Exhibit during the Term in order to achieve a fair, accurate and consistent measurement of the PST Member’s performance of the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example, such additions or substitutions may occur in conjunction with changes to the environment and the introduction of new Equipment or Software or means of Service delivery; provided, however, that where such Equipment or Software or such means of Service delivery is a replacement or upgrade of existing technology, there shall be a presumption of equivalent or improved performance unless agreed otherwise..</w:t>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1" w:name="__RefHeading___Toc150141096"/>
      <w:bookmarkEnd w:id="1"/>
      <w:r>
        <w:rPr>
          <w:sz w:val="22"/>
          <w:szCs w:val="22"/>
          <w:lang w:val="en-GB"/>
        </w:rPr>
        <w:t>ATTACHMENTS</w:t>
      </w:r>
    </w:p>
    <w:p>
      <w:pPr>
        <w:pStyle w:val="Normal"/>
        <w:spacing w:before="0" w:after="0"/>
        <w:jc w:val="both"/>
        <w:rPr>
          <w:szCs w:val="22"/>
          <w:lang w:val="en-GB"/>
        </w:rPr>
      </w:pPr>
      <w:r>
        <w:rPr>
          <w:szCs w:val="22"/>
          <w:lang w:val="en-GB"/>
        </w:rPr>
        <w:t>The following Attachments are included with this Exhibit and are hereby incorporated by reference:</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b/>
          <w:szCs w:val="22"/>
          <w:lang w:val="en-GB"/>
        </w:rPr>
        <w:t xml:space="preserve">Attachment 3-A: Service Levels Matrix.  This Attachment sets forth the quantitative measurements associated with Critical Service Levels, Key Measurements, and Critical Deliverables. The PST Member shall perform the Services at or above the levels of performance indicated in this Attachment subject to agreement with EuroBank. </w:t>
      </w:r>
      <w:r>
        <w:rPr>
          <w:szCs w:val="22"/>
          <w:lang w:val="en-GB"/>
        </w:rPr>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b/>
          <w:szCs w:val="22"/>
          <w:lang w:val="en-GB"/>
        </w:rPr>
        <w:t>Attachment 3-B: Critical Service Levels and Key Measurements</w:t>
      </w:r>
      <w:r>
        <w:rPr>
          <w:szCs w:val="22"/>
          <w:lang w:val="en-GB"/>
        </w:rPr>
        <w:t>. This Attachment sets forth the descriptions and definitions of Critical Service Levels and Key Measurements.</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b/>
          <w:szCs w:val="22"/>
          <w:lang w:val="en-GB"/>
        </w:rPr>
        <w:t>Attachment 3-C: Critical Deliverables</w:t>
      </w:r>
      <w:r>
        <w:rPr>
          <w:szCs w:val="22"/>
          <w:lang w:val="en-GB"/>
        </w:rPr>
        <w:t xml:space="preserve">. This Attachment sets forth the descriptions and definitions of Critical Deliverables. </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b/>
          <w:szCs w:val="22"/>
          <w:lang w:val="en-GB"/>
        </w:rPr>
        <w:t>Attachment 3-D: Service Levels Outcome Examples</w:t>
      </w:r>
      <w:r>
        <w:rPr>
          <w:szCs w:val="22"/>
          <w:lang w:val="en-GB"/>
        </w:rPr>
        <w:t xml:space="preserve">.  This Attachment provides example scenarios regarding Earnback and continuous improvement. </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b/>
          <w:szCs w:val="22"/>
          <w:lang w:val="en-GB"/>
        </w:rPr>
        <w:t>Attachment 3-E: Priority Levels</w:t>
      </w:r>
      <w:r>
        <w:rPr>
          <w:szCs w:val="22"/>
          <w:lang w:val="en-GB"/>
        </w:rPr>
        <w:t>.  This Attachment provides a description of the various Severity Levels associated with each Bundle, Performance Category, or unique Service.</w:t>
      </w:r>
    </w:p>
    <w:p>
      <w:pPr>
        <w:pStyle w:val="Normal"/>
        <w:spacing w:before="0" w:after="0"/>
        <w:jc w:val="both"/>
        <w:rPr>
          <w:szCs w:val="22"/>
          <w:lang w:val="en-GB"/>
        </w:rPr>
      </w:pPr>
      <w:r>
        <w:rPr>
          <w:szCs w:val="22"/>
          <w:lang w:val="en-GB"/>
        </w:rPr>
      </w:r>
    </w:p>
    <w:p>
      <w:pPr>
        <w:pStyle w:val="Normal"/>
        <w:numPr>
          <w:ilvl w:val="0"/>
          <w:numId w:val="6"/>
        </w:numPr>
        <w:spacing w:before="0" w:after="0"/>
        <w:jc w:val="both"/>
        <w:rPr>
          <w:szCs w:val="22"/>
          <w:lang w:val="en-GB"/>
        </w:rPr>
      </w:pPr>
      <w:r>
        <w:rPr>
          <w:b/>
          <w:bCs/>
          <w:lang w:val="en-GB"/>
        </w:rPr>
        <w:t>Attachment 3-F: Pain Share Mechanism. This Attachment provides a description of how the 2IM and the PST Suppliers identify the party and/or parties responsible for a Critical Service Level breach in case of disagreement on this subject between the parties involved and to ensure that EuroBank receives the appropriate credits from the correct party/parties.</w:t>
      </w:r>
      <w:r>
        <w:rPr>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2" w:name="__RefHeading___Toc150141097"/>
      <w:bookmarkEnd w:id="2"/>
      <w:r>
        <w:rPr>
          <w:sz w:val="22"/>
          <w:szCs w:val="22"/>
          <w:lang w:val="en-GB"/>
        </w:rPr>
        <w:t>REPORTING</w:t>
      </w:r>
    </w:p>
    <w:p>
      <w:pPr>
        <w:pStyle w:val="Normal"/>
        <w:spacing w:before="0" w:after="0"/>
        <w:jc w:val="both"/>
        <w:rPr/>
      </w:pPr>
      <w:r>
        <w:rPr>
          <w:szCs w:val="22"/>
          <w:lang w:val="en-GB"/>
        </w:rPr>
        <w:t>Unless otherwise specified in this Exhibit, each Critical Service Level and Key Measurement shall be measured on a monthly basis.  The PST Member shall provide to EuroBank, as part of the PST Member’s monthly performance reports, a set of hard- and soft-copy reports to verify the PST Member's and PST Supplier’s performance and compliance with the Critical Service Levels, Key Measurements and Critical Deliverables (until all Critical Deliverables are received and approved by EuroBank).</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Member shall provide detailed supporting information for each report to EuroBank in machine-readable form suitable for use on a personal computer.  The data and detailed supporting information shall be EuroBank’s Confidential Information, and EuroBank may access such information online and in real-time, where feasible, at any time during the Term.</w:t>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3" w:name="__RefHeading___Toc150141098"/>
      <w:bookmarkEnd w:id="3"/>
      <w:r>
        <w:rPr>
          <w:sz w:val="22"/>
          <w:szCs w:val="22"/>
          <w:lang w:val="en-GB"/>
        </w:rPr>
        <w:t>NOTICE REQUIREMENTS FOR ADDITIONS, DELETIONS AND MODIFICATIONS</w:t>
      </w:r>
    </w:p>
    <w:p>
      <w:pPr>
        <w:pStyle w:val="Normal"/>
        <w:spacing w:before="0" w:after="0"/>
        <w:jc w:val="both"/>
        <w:rPr/>
      </w:pPr>
      <w:r>
        <w:rPr>
          <w:szCs w:val="22"/>
          <w:lang w:val="en-GB"/>
        </w:rPr>
        <w:t>EuroBank will send written notice under the terms of the MSA to the PST Member within an agreed time period prior to the date that additions or deletions to Performance Categories, or additions or deletions to Service Levels (which include the movement of Critical Service Levels to Key Measurements and Key Measurements to Critical Service Levels), or modifications to Service Credit Allocation Percentages for any Critical Service Levels are to be effective, provided that EuroBank may send only one such notice (which notice may contain multiple changes) each calendar quarter.</w:t>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4" w:name="__RefHeading___Toc150141099"/>
      <w:bookmarkEnd w:id="4"/>
      <w:r>
        <w:rPr>
          <w:sz w:val="22"/>
          <w:szCs w:val="22"/>
          <w:lang w:val="en-GB"/>
        </w:rPr>
        <w:t>SERVICE CREDITS</w:t>
      </w:r>
    </w:p>
    <w:p>
      <w:pPr>
        <w:pStyle w:val="Normal"/>
        <w:spacing w:before="0" w:after="0"/>
        <w:jc w:val="both"/>
        <w:rPr/>
      </w:pPr>
      <w:r>
        <w:rPr>
          <w:szCs w:val="22"/>
          <w:lang w:val="en-GB"/>
        </w:rPr>
        <w:t>In the event of a Service Level Default, the PST Member shall provide EuroBank Service Credits as defined below:</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Attachment 3-A to this Exhibit sets forth the information required to calculate the Service Credit in the event of a Service Level Default.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2)</w:t>
        <w:tab/>
        <w:t>For each Service Level Default, the PST Member shall pay to EuroBank, subject to Section 5 below, a Service Credit that will be computed in accordance with the following formula:</w:t>
      </w:r>
    </w:p>
    <w:p>
      <w:pPr>
        <w:pStyle w:val="Normal"/>
        <w:spacing w:before="0" w:after="0"/>
        <w:ind w:start="720" w:end="0"/>
        <w:jc w:val="both"/>
        <w:rPr>
          <w:szCs w:val="22"/>
          <w:lang w:val="en-GB"/>
        </w:rPr>
      </w:pPr>
      <w:r>
        <w:rPr>
          <w:szCs w:val="22"/>
          <w:lang w:val="en-GB"/>
        </w:rPr>
      </w:r>
    </w:p>
    <w:p>
      <w:pPr>
        <w:pStyle w:val="Normal"/>
        <w:spacing w:before="0" w:after="0"/>
        <w:ind w:start="720" w:end="0"/>
        <w:jc w:val="both"/>
        <w:rPr>
          <w:b/>
          <w:szCs w:val="22"/>
          <w:lang w:val="en-GB"/>
        </w:rPr>
      </w:pPr>
      <w:r>
        <w:rPr>
          <w:b/>
          <w:szCs w:val="22"/>
          <w:lang w:val="en-GB"/>
        </w:rPr>
        <w:t>Service Credit = A   x   B   x   C</w:t>
      </w:r>
    </w:p>
    <w:p>
      <w:pPr>
        <w:pStyle w:val="Normal"/>
        <w:spacing w:before="0" w:after="0"/>
        <w:ind w:start="720" w:end="0"/>
        <w:jc w:val="both"/>
        <w:rPr>
          <w:b/>
          <w:szCs w:val="22"/>
          <w:lang w:val="en-GB"/>
        </w:rPr>
      </w:pPr>
      <w:r>
        <w:rPr>
          <w:b/>
          <w:szCs w:val="22"/>
          <w:lang w:val="en-GB"/>
        </w:rPr>
      </w:r>
    </w:p>
    <w:p>
      <w:pPr>
        <w:pStyle w:val="Normal"/>
        <w:spacing w:before="0" w:after="0"/>
        <w:ind w:start="720" w:end="0"/>
        <w:jc w:val="both"/>
        <w:rPr/>
      </w:pPr>
      <w:r>
        <w:rPr>
          <w:szCs w:val="22"/>
          <w:u w:val="single"/>
          <w:lang w:val="en-GB"/>
        </w:rPr>
        <w:t>Where</w:t>
      </w:r>
      <w:r>
        <w:rPr>
          <w:szCs w:val="22"/>
          <w:lang w:val="en-GB"/>
        </w:rPr>
        <w:t>:</w:t>
      </w:r>
    </w:p>
    <w:p>
      <w:pPr>
        <w:pStyle w:val="Normal"/>
        <w:spacing w:before="0" w:after="0"/>
        <w:jc w:val="both"/>
        <w:rPr/>
      </w:pPr>
      <w:r>
        <w:rPr/>
        <w:tab/>
        <w:tab/>
      </w:r>
    </w:p>
    <w:tbl>
      <w:tblPr>
        <w:tblW w:w="5705" w:type="dxa"/>
        <w:jc w:val="end"/>
        <w:tblInd w:w="0" w:type="dxa"/>
        <w:tblLayout w:type="fixed"/>
        <w:tblCellMar>
          <w:top w:w="0" w:type="dxa"/>
          <w:start w:w="108" w:type="dxa"/>
          <w:bottom w:w="0" w:type="dxa"/>
          <w:end w:w="108" w:type="dxa"/>
        </w:tblCellMar>
      </w:tblPr>
      <w:tblGrid>
        <w:gridCol w:w="375"/>
        <w:gridCol w:w="345"/>
        <w:gridCol w:w="4985"/>
      </w:tblGrid>
      <w:tr>
        <w:trPr/>
        <w:tc>
          <w:tcPr>
            <w:tcW w:w="375" w:type="dxa"/>
            <w:tcBorders/>
          </w:tcPr>
          <w:p>
            <w:pPr>
              <w:pStyle w:val="Normal"/>
              <w:spacing w:before="120" w:after="120"/>
              <w:jc w:val="both"/>
              <w:rPr>
                <w:b/>
                <w:bCs/>
                <w:sz w:val="18"/>
                <w:szCs w:val="18"/>
                <w:lang w:val="en-GB"/>
              </w:rPr>
            </w:pPr>
            <w:r>
              <w:rPr>
                <w:b/>
                <w:bCs/>
                <w:sz w:val="18"/>
                <w:szCs w:val="18"/>
                <w:lang w:val="en-GB"/>
              </w:rPr>
              <w:t>A</w:t>
            </w:r>
          </w:p>
        </w:tc>
        <w:tc>
          <w:tcPr>
            <w:tcW w:w="345" w:type="dxa"/>
            <w:tcBorders/>
          </w:tcPr>
          <w:p>
            <w:pPr>
              <w:pStyle w:val="Normal"/>
              <w:spacing w:before="120" w:after="120"/>
              <w:jc w:val="both"/>
              <w:rPr>
                <w:sz w:val="18"/>
                <w:szCs w:val="18"/>
                <w:lang w:val="en-GB"/>
              </w:rPr>
            </w:pPr>
            <w:r>
              <w:rPr>
                <w:sz w:val="18"/>
                <w:szCs w:val="18"/>
                <w:lang w:val="en-GB"/>
              </w:rPr>
              <w:t>=</w:t>
            </w:r>
          </w:p>
        </w:tc>
        <w:tc>
          <w:tcPr>
            <w:tcW w:w="4985" w:type="dxa"/>
            <w:tcBorders/>
          </w:tcPr>
          <w:p>
            <w:pPr>
              <w:pStyle w:val="Normal"/>
              <w:spacing w:before="120" w:after="120"/>
              <w:jc w:val="both"/>
              <w:rPr>
                <w:sz w:val="18"/>
                <w:szCs w:val="18"/>
                <w:lang w:val="en-GB"/>
              </w:rPr>
            </w:pPr>
            <w:r>
              <w:rPr>
                <w:sz w:val="18"/>
                <w:szCs w:val="18"/>
                <w:lang w:val="en-GB"/>
              </w:rPr>
              <w:t xml:space="preserve"> </w:t>
            </w:r>
            <w:r>
              <w:rPr>
                <w:sz w:val="18"/>
                <w:szCs w:val="18"/>
                <w:lang w:val="en-GB"/>
              </w:rPr>
              <w:t>Pool Percentage available  for Allocation specified for the Performance Category in which the Service Level Default occurred as shown in Attachment 3-A to this Exhibit.</w:t>
            </w:r>
          </w:p>
        </w:tc>
      </w:tr>
      <w:tr>
        <w:trPr/>
        <w:tc>
          <w:tcPr>
            <w:tcW w:w="375" w:type="dxa"/>
            <w:tcBorders/>
          </w:tcPr>
          <w:p>
            <w:pPr>
              <w:pStyle w:val="Normal"/>
              <w:spacing w:before="120" w:after="120"/>
              <w:jc w:val="both"/>
              <w:rPr>
                <w:b/>
                <w:bCs/>
                <w:sz w:val="18"/>
                <w:szCs w:val="18"/>
                <w:lang w:val="en-GB"/>
              </w:rPr>
            </w:pPr>
            <w:r>
              <w:rPr>
                <w:b/>
                <w:bCs/>
                <w:sz w:val="18"/>
                <w:szCs w:val="18"/>
                <w:lang w:val="en-GB"/>
              </w:rPr>
              <w:t>B</w:t>
            </w:r>
          </w:p>
        </w:tc>
        <w:tc>
          <w:tcPr>
            <w:tcW w:w="345" w:type="dxa"/>
            <w:tcBorders/>
          </w:tcPr>
          <w:p>
            <w:pPr>
              <w:pStyle w:val="Normal"/>
              <w:spacing w:before="120" w:after="120"/>
              <w:jc w:val="both"/>
              <w:rPr>
                <w:sz w:val="18"/>
                <w:szCs w:val="18"/>
                <w:lang w:val="en-GB"/>
              </w:rPr>
            </w:pPr>
            <w:r>
              <w:rPr>
                <w:sz w:val="18"/>
                <w:szCs w:val="18"/>
                <w:lang w:val="en-GB"/>
              </w:rPr>
              <w:t>=</w:t>
            </w:r>
          </w:p>
        </w:tc>
        <w:tc>
          <w:tcPr>
            <w:tcW w:w="4985" w:type="dxa"/>
            <w:tcBorders/>
          </w:tcPr>
          <w:p>
            <w:pPr>
              <w:pStyle w:val="Normal"/>
              <w:spacing w:before="120" w:after="120"/>
              <w:jc w:val="both"/>
              <w:rPr>
                <w:sz w:val="18"/>
                <w:szCs w:val="18"/>
                <w:lang w:val="en-GB"/>
              </w:rPr>
            </w:pPr>
            <w:r>
              <w:rPr>
                <w:sz w:val="18"/>
                <w:szCs w:val="18"/>
                <w:lang w:val="en-GB"/>
              </w:rPr>
              <w:t>The Service Credit Allocation Percentage for which the Service Level Default occurred as shown in Attachment 3-A to this Exhibit.</w:t>
            </w:r>
          </w:p>
        </w:tc>
      </w:tr>
      <w:tr>
        <w:trPr/>
        <w:tc>
          <w:tcPr>
            <w:tcW w:w="375" w:type="dxa"/>
            <w:tcBorders/>
          </w:tcPr>
          <w:p>
            <w:pPr>
              <w:pStyle w:val="Normal"/>
              <w:spacing w:before="120" w:after="120"/>
              <w:jc w:val="both"/>
              <w:rPr>
                <w:b/>
                <w:bCs/>
                <w:sz w:val="18"/>
                <w:szCs w:val="18"/>
                <w:lang w:val="en-GB"/>
              </w:rPr>
            </w:pPr>
            <w:r>
              <w:rPr>
                <w:b/>
                <w:bCs/>
                <w:sz w:val="18"/>
                <w:szCs w:val="18"/>
                <w:lang w:val="en-GB"/>
              </w:rPr>
              <w:t>C</w:t>
            </w:r>
          </w:p>
        </w:tc>
        <w:tc>
          <w:tcPr>
            <w:tcW w:w="345" w:type="dxa"/>
            <w:tcBorders/>
          </w:tcPr>
          <w:p>
            <w:pPr>
              <w:pStyle w:val="Normal"/>
              <w:spacing w:before="120" w:after="120"/>
              <w:jc w:val="both"/>
              <w:rPr>
                <w:sz w:val="18"/>
                <w:szCs w:val="18"/>
                <w:lang w:val="en-GB"/>
              </w:rPr>
            </w:pPr>
            <w:r>
              <w:rPr>
                <w:sz w:val="18"/>
                <w:szCs w:val="18"/>
                <w:lang w:val="en-GB"/>
              </w:rPr>
              <w:t>=</w:t>
            </w:r>
          </w:p>
        </w:tc>
        <w:tc>
          <w:tcPr>
            <w:tcW w:w="4985" w:type="dxa"/>
            <w:tcBorders/>
          </w:tcPr>
          <w:p>
            <w:pPr>
              <w:pStyle w:val="Normal"/>
              <w:spacing w:before="120" w:after="120"/>
              <w:jc w:val="both"/>
              <w:rPr>
                <w:sz w:val="18"/>
                <w:szCs w:val="18"/>
                <w:lang w:val="en-GB"/>
              </w:rPr>
            </w:pPr>
            <w:r>
              <w:rPr>
                <w:sz w:val="18"/>
                <w:szCs w:val="18"/>
                <w:lang w:val="en-GB"/>
              </w:rPr>
              <w:t>At Risk Amount</w:t>
            </w:r>
          </w:p>
        </w:tc>
      </w:tr>
    </w:tbl>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For example, assume that the PST Member fails to meet the Minimum Service Level for a Critical Service Level, the PST Member’s charges for the month in which the Service Level Default occurred was €100000 and that the At Risk Amount was 15% of these charges.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Additionally, assume that the Allocation of Pool Percentage for the Performance Category of such Critical Service Level is 50% and that its Service Credit Allocation Percentage is 40%.  The Service Credit due to EuroBank for such Service Level Default would be computed as follows:</w:t>
      </w:r>
    </w:p>
    <w:p>
      <w:pPr>
        <w:pStyle w:val="Normal"/>
        <w:spacing w:before="0" w:after="0"/>
        <w:jc w:val="both"/>
        <w:rPr/>
      </w:pPr>
      <w:r>
        <w:rPr/>
        <w:tab/>
        <w:tab/>
      </w:r>
    </w:p>
    <w:tbl>
      <w:tblPr>
        <w:tblW w:w="5572" w:type="dxa"/>
        <w:jc w:val="end"/>
        <w:tblInd w:w="0" w:type="dxa"/>
        <w:tblLayout w:type="fixed"/>
        <w:tblCellMar>
          <w:top w:w="0" w:type="dxa"/>
          <w:start w:w="108" w:type="dxa"/>
          <w:bottom w:w="0" w:type="dxa"/>
          <w:end w:w="108" w:type="dxa"/>
        </w:tblCellMar>
      </w:tblPr>
      <w:tblGrid>
        <w:gridCol w:w="375"/>
        <w:gridCol w:w="451"/>
        <w:gridCol w:w="4746"/>
      </w:tblGrid>
      <w:tr>
        <w:trPr/>
        <w:tc>
          <w:tcPr>
            <w:tcW w:w="375" w:type="dxa"/>
            <w:tcBorders/>
          </w:tcPr>
          <w:p>
            <w:pPr>
              <w:pStyle w:val="Normal"/>
              <w:spacing w:before="120" w:after="120"/>
              <w:jc w:val="both"/>
              <w:rPr>
                <w:b/>
                <w:bCs/>
                <w:sz w:val="18"/>
                <w:szCs w:val="18"/>
                <w:lang w:val="en-GB"/>
              </w:rPr>
            </w:pPr>
            <w:r>
              <w:rPr>
                <w:b/>
                <w:bCs/>
                <w:sz w:val="18"/>
                <w:szCs w:val="18"/>
                <w:lang w:val="en-GB"/>
              </w:rPr>
              <w:t>A</w:t>
            </w:r>
          </w:p>
        </w:tc>
        <w:tc>
          <w:tcPr>
            <w:tcW w:w="451" w:type="dxa"/>
            <w:tcBorders/>
          </w:tcPr>
          <w:p>
            <w:pPr>
              <w:pStyle w:val="Normal"/>
              <w:spacing w:before="120" w:after="120"/>
              <w:jc w:val="both"/>
              <w:rPr>
                <w:sz w:val="18"/>
                <w:szCs w:val="18"/>
                <w:lang w:val="en-GB"/>
              </w:rPr>
            </w:pPr>
            <w:r>
              <w:rPr>
                <w:sz w:val="18"/>
                <w:szCs w:val="18"/>
                <w:lang w:val="en-GB"/>
              </w:rPr>
              <w:t>=</w:t>
            </w:r>
          </w:p>
        </w:tc>
        <w:tc>
          <w:tcPr>
            <w:tcW w:w="4746" w:type="dxa"/>
            <w:tcBorders/>
          </w:tcPr>
          <w:p>
            <w:pPr>
              <w:pStyle w:val="Normal"/>
              <w:spacing w:before="120" w:after="120"/>
              <w:jc w:val="both"/>
              <w:rPr>
                <w:sz w:val="18"/>
                <w:szCs w:val="18"/>
                <w:lang w:val="en-GB"/>
              </w:rPr>
            </w:pPr>
            <w:r>
              <w:rPr>
                <w:sz w:val="18"/>
                <w:szCs w:val="18"/>
                <w:lang w:val="en-GB"/>
              </w:rPr>
              <w:t>50% (the Allocation of Pool Percentage)</w:t>
            </w:r>
          </w:p>
        </w:tc>
      </w:tr>
      <w:tr>
        <w:trPr/>
        <w:tc>
          <w:tcPr>
            <w:tcW w:w="375" w:type="dxa"/>
            <w:tcBorders/>
          </w:tcPr>
          <w:p>
            <w:pPr>
              <w:pStyle w:val="Normal"/>
              <w:snapToGrid w:val="false"/>
              <w:spacing w:before="120" w:after="120"/>
              <w:jc w:val="both"/>
              <w:rPr>
                <w:b/>
                <w:bCs/>
                <w:sz w:val="18"/>
                <w:szCs w:val="18"/>
                <w:lang w:val="en-GB"/>
              </w:rPr>
            </w:pPr>
            <w:r>
              <w:rPr>
                <w:b/>
                <w:bCs/>
                <w:sz w:val="18"/>
                <w:szCs w:val="18"/>
                <w:lang w:val="en-GB"/>
              </w:rPr>
            </w:r>
          </w:p>
        </w:tc>
        <w:tc>
          <w:tcPr>
            <w:tcW w:w="451" w:type="dxa"/>
            <w:tcBorders/>
          </w:tcPr>
          <w:p>
            <w:pPr>
              <w:pStyle w:val="Normal"/>
              <w:snapToGrid w:val="false"/>
              <w:spacing w:before="120" w:after="120"/>
              <w:jc w:val="both"/>
              <w:rPr>
                <w:b/>
                <w:bCs/>
                <w:sz w:val="18"/>
                <w:szCs w:val="18"/>
                <w:lang w:val="en-GB"/>
              </w:rPr>
            </w:pPr>
            <w:r>
              <w:rPr>
                <w:b/>
                <w:bCs/>
                <w:sz w:val="18"/>
                <w:szCs w:val="18"/>
                <w:lang w:val="en-GB"/>
              </w:rPr>
            </w:r>
          </w:p>
        </w:tc>
        <w:tc>
          <w:tcPr>
            <w:tcW w:w="4746" w:type="dxa"/>
            <w:tcBorders/>
          </w:tcPr>
          <w:p>
            <w:pPr>
              <w:pStyle w:val="Normal"/>
              <w:spacing w:before="120" w:after="120"/>
              <w:jc w:val="both"/>
              <w:rPr>
                <w:sz w:val="18"/>
                <w:szCs w:val="18"/>
                <w:lang w:val="en-GB"/>
              </w:rPr>
            </w:pPr>
            <w:r>
              <w:rPr>
                <w:sz w:val="18"/>
                <w:szCs w:val="18"/>
                <w:lang w:val="en-GB"/>
              </w:rPr>
              <w:t>multiplied by</w:t>
            </w:r>
          </w:p>
        </w:tc>
      </w:tr>
      <w:tr>
        <w:trPr/>
        <w:tc>
          <w:tcPr>
            <w:tcW w:w="375" w:type="dxa"/>
            <w:tcBorders/>
          </w:tcPr>
          <w:p>
            <w:pPr>
              <w:pStyle w:val="Normal"/>
              <w:spacing w:before="120" w:after="120"/>
              <w:jc w:val="both"/>
              <w:rPr>
                <w:b/>
                <w:bCs/>
                <w:sz w:val="18"/>
                <w:szCs w:val="18"/>
                <w:lang w:val="en-GB"/>
              </w:rPr>
            </w:pPr>
            <w:r>
              <w:rPr>
                <w:b/>
                <w:bCs/>
                <w:sz w:val="18"/>
                <w:szCs w:val="18"/>
                <w:lang w:val="en-GB"/>
              </w:rPr>
              <w:t>B</w:t>
            </w:r>
          </w:p>
        </w:tc>
        <w:tc>
          <w:tcPr>
            <w:tcW w:w="451" w:type="dxa"/>
            <w:tcBorders/>
          </w:tcPr>
          <w:p>
            <w:pPr>
              <w:pStyle w:val="Normal"/>
              <w:spacing w:before="120" w:after="120"/>
              <w:jc w:val="both"/>
              <w:rPr>
                <w:sz w:val="18"/>
                <w:szCs w:val="18"/>
                <w:lang w:val="en-GB"/>
              </w:rPr>
            </w:pPr>
            <w:r>
              <w:rPr>
                <w:sz w:val="18"/>
                <w:szCs w:val="18"/>
                <w:lang w:val="en-GB"/>
              </w:rPr>
              <w:t>=</w:t>
            </w:r>
          </w:p>
        </w:tc>
        <w:tc>
          <w:tcPr>
            <w:tcW w:w="4746" w:type="dxa"/>
            <w:tcBorders/>
          </w:tcPr>
          <w:p>
            <w:pPr>
              <w:pStyle w:val="Normal"/>
              <w:spacing w:before="120" w:after="120"/>
              <w:jc w:val="both"/>
              <w:rPr>
                <w:sz w:val="18"/>
                <w:szCs w:val="18"/>
                <w:lang w:val="en-GB"/>
              </w:rPr>
            </w:pPr>
            <w:r>
              <w:rPr>
                <w:sz w:val="18"/>
                <w:szCs w:val="18"/>
                <w:lang w:val="en-GB"/>
              </w:rPr>
              <w:t>40% (the Service Credit Allocation Percentage)</w:t>
            </w:r>
          </w:p>
        </w:tc>
      </w:tr>
      <w:tr>
        <w:trPr/>
        <w:tc>
          <w:tcPr>
            <w:tcW w:w="375" w:type="dxa"/>
            <w:tcBorders/>
          </w:tcPr>
          <w:p>
            <w:pPr>
              <w:pStyle w:val="Normal"/>
              <w:snapToGrid w:val="false"/>
              <w:spacing w:before="120" w:after="120"/>
              <w:jc w:val="both"/>
              <w:rPr>
                <w:b/>
                <w:bCs/>
                <w:sz w:val="18"/>
                <w:szCs w:val="18"/>
                <w:lang w:val="en-GB"/>
              </w:rPr>
            </w:pPr>
            <w:r>
              <w:rPr>
                <w:b/>
                <w:bCs/>
                <w:sz w:val="18"/>
                <w:szCs w:val="18"/>
                <w:lang w:val="en-GB"/>
              </w:rPr>
            </w:r>
          </w:p>
        </w:tc>
        <w:tc>
          <w:tcPr>
            <w:tcW w:w="451" w:type="dxa"/>
            <w:tcBorders/>
          </w:tcPr>
          <w:p>
            <w:pPr>
              <w:pStyle w:val="Normal"/>
              <w:snapToGrid w:val="false"/>
              <w:spacing w:before="120" w:after="120"/>
              <w:jc w:val="both"/>
              <w:rPr>
                <w:b/>
                <w:bCs/>
                <w:sz w:val="18"/>
                <w:szCs w:val="18"/>
                <w:lang w:val="en-GB"/>
              </w:rPr>
            </w:pPr>
            <w:r>
              <w:rPr>
                <w:b/>
                <w:bCs/>
                <w:sz w:val="18"/>
                <w:szCs w:val="18"/>
                <w:lang w:val="en-GB"/>
              </w:rPr>
            </w:r>
          </w:p>
        </w:tc>
        <w:tc>
          <w:tcPr>
            <w:tcW w:w="4746" w:type="dxa"/>
            <w:tcBorders/>
          </w:tcPr>
          <w:p>
            <w:pPr>
              <w:pStyle w:val="Normal"/>
              <w:spacing w:before="120" w:after="120"/>
              <w:jc w:val="both"/>
              <w:rPr>
                <w:sz w:val="18"/>
                <w:szCs w:val="18"/>
                <w:lang w:val="en-GB"/>
              </w:rPr>
            </w:pPr>
            <w:r>
              <w:rPr>
                <w:sz w:val="18"/>
                <w:szCs w:val="18"/>
                <w:lang w:val="en-GB"/>
              </w:rPr>
              <w:t>multiplied by</w:t>
            </w:r>
          </w:p>
        </w:tc>
      </w:tr>
      <w:tr>
        <w:trPr/>
        <w:tc>
          <w:tcPr>
            <w:tcW w:w="375" w:type="dxa"/>
            <w:tcBorders/>
          </w:tcPr>
          <w:p>
            <w:pPr>
              <w:pStyle w:val="Normal"/>
              <w:spacing w:before="120" w:after="120"/>
              <w:jc w:val="both"/>
              <w:rPr>
                <w:b/>
                <w:bCs/>
                <w:sz w:val="18"/>
                <w:szCs w:val="18"/>
                <w:lang w:val="en-GB"/>
              </w:rPr>
            </w:pPr>
            <w:r>
              <w:rPr>
                <w:b/>
                <w:bCs/>
                <w:sz w:val="18"/>
                <w:szCs w:val="18"/>
                <w:lang w:val="en-GB"/>
              </w:rPr>
              <w:t>C</w:t>
            </w:r>
          </w:p>
        </w:tc>
        <w:tc>
          <w:tcPr>
            <w:tcW w:w="451" w:type="dxa"/>
            <w:tcBorders/>
          </w:tcPr>
          <w:p>
            <w:pPr>
              <w:pStyle w:val="Normal"/>
              <w:spacing w:before="120" w:after="120"/>
              <w:jc w:val="both"/>
              <w:rPr>
                <w:sz w:val="18"/>
                <w:szCs w:val="18"/>
                <w:lang w:val="en-GB"/>
              </w:rPr>
            </w:pPr>
            <w:r>
              <w:rPr>
                <w:sz w:val="18"/>
                <w:szCs w:val="18"/>
                <w:lang w:val="en-GB"/>
              </w:rPr>
              <w:t>=</w:t>
            </w:r>
          </w:p>
        </w:tc>
        <w:tc>
          <w:tcPr>
            <w:tcW w:w="4746" w:type="dxa"/>
            <w:tcBorders/>
          </w:tcPr>
          <w:p>
            <w:pPr>
              <w:pStyle w:val="Normal"/>
              <w:spacing w:before="120" w:after="120"/>
              <w:jc w:val="both"/>
              <w:rPr/>
            </w:pPr>
            <w:r>
              <w:rPr>
                <w:sz w:val="18"/>
                <w:szCs w:val="18"/>
                <w:lang w:val="en-GB"/>
              </w:rPr>
              <w:t>€</w:t>
            </w:r>
            <w:r>
              <w:rPr>
                <w:sz w:val="18"/>
                <w:szCs w:val="18"/>
                <w:lang w:val="en-GB"/>
              </w:rPr>
              <w:t>15,000 (fifteen percent (15%) of €100,000, PST Member’s Monthly Charge for the month during which the Service Level Default occurred).</w:t>
            </w:r>
          </w:p>
        </w:tc>
      </w:tr>
      <w:tr>
        <w:trPr/>
        <w:tc>
          <w:tcPr>
            <w:tcW w:w="375" w:type="dxa"/>
            <w:tcBorders/>
          </w:tcPr>
          <w:p>
            <w:pPr>
              <w:pStyle w:val="Normal"/>
              <w:snapToGrid w:val="false"/>
              <w:spacing w:before="120" w:after="120"/>
              <w:jc w:val="both"/>
              <w:rPr>
                <w:b/>
                <w:bCs/>
                <w:sz w:val="18"/>
                <w:szCs w:val="18"/>
                <w:lang w:val="en-GB"/>
              </w:rPr>
            </w:pPr>
            <w:r>
              <w:rPr>
                <w:b/>
                <w:bCs/>
                <w:sz w:val="18"/>
                <w:szCs w:val="18"/>
                <w:lang w:val="en-GB"/>
              </w:rPr>
            </w:r>
          </w:p>
        </w:tc>
        <w:tc>
          <w:tcPr>
            <w:tcW w:w="451" w:type="dxa"/>
            <w:tcBorders/>
          </w:tcPr>
          <w:p>
            <w:pPr>
              <w:pStyle w:val="Normal"/>
              <w:spacing w:before="120" w:after="120"/>
              <w:jc w:val="both"/>
              <w:rPr>
                <w:sz w:val="18"/>
                <w:szCs w:val="18"/>
                <w:lang w:val="en-GB"/>
              </w:rPr>
            </w:pPr>
            <w:r>
              <w:rPr>
                <w:sz w:val="18"/>
                <w:szCs w:val="18"/>
                <w:lang w:val="en-GB"/>
              </w:rPr>
              <w:t>=</w:t>
            </w:r>
          </w:p>
        </w:tc>
        <w:tc>
          <w:tcPr>
            <w:tcW w:w="4746" w:type="dxa"/>
            <w:tcBorders/>
          </w:tcPr>
          <w:p>
            <w:pPr>
              <w:pStyle w:val="Normal"/>
              <w:spacing w:before="120" w:after="120"/>
              <w:jc w:val="both"/>
              <w:rPr>
                <w:sz w:val="18"/>
                <w:szCs w:val="18"/>
                <w:lang w:val="en-GB"/>
              </w:rPr>
            </w:pPr>
            <w:r>
              <w:rPr>
                <w:sz w:val="18"/>
                <w:szCs w:val="18"/>
                <w:lang w:val="en-GB"/>
              </w:rPr>
              <w:t>€</w:t>
            </w:r>
            <w:r>
              <w:rPr>
                <w:sz w:val="18"/>
                <w:szCs w:val="18"/>
                <w:lang w:val="en-GB"/>
              </w:rPr>
              <w:t>3,000 (the amount of the Service Credit)</w:t>
            </w:r>
          </w:p>
        </w:tc>
      </w:tr>
    </w:tbl>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If more than one Service Level Default has occurred in a single month, the sum of the corresponding Service Credits shall be credited to EuroBank.</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In no event shall the amount of Service Credits credited to EuroBank with respect to all Service Level Defaults occurring in a single month exceed, in total, the At Risk Amount.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The PST Member shall notify EuroBank in writing if EuroBank becomes entitled to a Service Credit, which notice shall be included in the standard monthly reporting for Critical Service Levels and Key Measurements as described in Section 3.  The monthly reports shall also describe any failure to meet Key Measurements for the month.</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The total amount of Service Credits that the PST Member will be obligated to pay to EuroBank, with respect to Service Level Defaults occurring each month (subject to the PST Member’s Earnback rights described in Section 6), shall be reflected on the invoice that contains charges for the month during which the Service Level Default(s) giving rise to such credit(s) occurred.  For example, the amount of Service Credits payable (subject to the PST Member’s Earnback rights described in Section 6) with respect to Service Level Defaults occurring in August shall be set forth in the invoice for the August Monthly Charges issued in September. Although Service Credits shall be shown on each monthly invoice, the credits will be payable to EuroBank on a Contract Year basis as described in Section 6, item 4 below.</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5" w:name="__RefHeading___Toc150141100"/>
      <w:bookmarkEnd w:id="5"/>
      <w:r>
        <w:rPr>
          <w:bCs/>
          <w:sz w:val="22"/>
          <w:lang w:val="en-GB"/>
        </w:rPr>
        <w:t>EARNBACK</w:t>
      </w:r>
    </w:p>
    <w:p>
      <w:pPr>
        <w:pStyle w:val="Normal"/>
        <w:spacing w:before="0" w:after="0"/>
        <w:jc w:val="both"/>
        <w:rPr/>
      </w:pPr>
      <w:r>
        <w:rPr>
          <w:szCs w:val="22"/>
          <w:lang w:val="en-GB"/>
        </w:rPr>
        <w:t>The PST Member shall have Earnback opportunities with respect to Service Credits as follows:</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Within fifteen (15) days after each Contract Year, the PST Member shall provide a report to EuroBank that will include, with respect to each Critical Service Level for which there was a Service Level Default during the preceding Contract Year, the following:</w:t>
      </w:r>
    </w:p>
    <w:p>
      <w:pPr>
        <w:pStyle w:val="Normal"/>
        <w:spacing w:before="0" w:after="0"/>
        <w:ind w:start="720" w:end="0"/>
        <w:jc w:val="both"/>
        <w:rPr>
          <w:szCs w:val="22"/>
          <w:lang w:val="en-GB"/>
        </w:rPr>
      </w:pPr>
      <w:r>
        <w:rPr>
          <w:szCs w:val="22"/>
          <w:lang w:val="en-GB"/>
        </w:rPr>
      </w:r>
    </w:p>
    <w:p>
      <w:pPr>
        <w:pStyle w:val="Normal"/>
        <w:numPr>
          <w:ilvl w:val="0"/>
          <w:numId w:val="9"/>
        </w:numPr>
        <w:spacing w:before="0" w:after="0"/>
        <w:jc w:val="both"/>
        <w:rPr>
          <w:szCs w:val="22"/>
          <w:lang w:val="en-GB"/>
        </w:rPr>
      </w:pPr>
      <w:r>
        <w:rPr>
          <w:szCs w:val="22"/>
          <w:lang w:val="en-GB"/>
        </w:rPr>
        <w:t>Statistics on the PST Member’s average monthly performance during the preceding Contract Year.</w:t>
      </w:r>
    </w:p>
    <w:p>
      <w:pPr>
        <w:pStyle w:val="Normal"/>
        <w:spacing w:before="0" w:after="0"/>
        <w:ind w:start="720" w:end="0"/>
        <w:jc w:val="both"/>
        <w:rPr>
          <w:szCs w:val="22"/>
          <w:lang w:val="en-GB"/>
        </w:rPr>
      </w:pPr>
      <w:r>
        <w:rPr>
          <w:szCs w:val="22"/>
          <w:lang w:val="en-GB"/>
        </w:rPr>
      </w:r>
    </w:p>
    <w:p>
      <w:pPr>
        <w:pStyle w:val="Normal"/>
        <w:numPr>
          <w:ilvl w:val="0"/>
          <w:numId w:val="9"/>
        </w:numPr>
        <w:spacing w:before="0" w:after="0"/>
        <w:jc w:val="both"/>
        <w:rPr>
          <w:szCs w:val="22"/>
          <w:lang w:val="en-GB"/>
        </w:rPr>
      </w:pPr>
      <w:r>
        <w:rPr>
          <w:szCs w:val="22"/>
          <w:lang w:val="en-GB"/>
        </w:rPr>
        <w:t>The Yearly Performance Average.</w:t>
      </w:r>
    </w:p>
    <w:p>
      <w:pPr>
        <w:pStyle w:val="Normal"/>
        <w:spacing w:before="0" w:after="0"/>
        <w:ind w:start="720" w:end="0"/>
        <w:jc w:val="both"/>
        <w:rPr>
          <w:szCs w:val="22"/>
          <w:lang w:val="en-GB"/>
        </w:rPr>
      </w:pPr>
      <w:r>
        <w:rPr>
          <w:szCs w:val="22"/>
          <w:lang w:val="en-GB"/>
        </w:rPr>
      </w:r>
    </w:p>
    <w:p>
      <w:pPr>
        <w:pStyle w:val="Normal"/>
        <w:numPr>
          <w:ilvl w:val="0"/>
          <w:numId w:val="9"/>
        </w:numPr>
        <w:spacing w:before="0" w:after="0"/>
        <w:jc w:val="both"/>
        <w:rPr>
          <w:szCs w:val="22"/>
          <w:lang w:val="en-GB"/>
        </w:rPr>
      </w:pPr>
      <w:r>
        <w:rPr>
          <w:szCs w:val="22"/>
          <w:lang w:val="en-GB"/>
        </w:rPr>
        <w:t>The total amount of Service Credits imposed for Service Level Defaults.</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b)</w:t>
        <w:tab/>
        <w:t>If, during the preceding Contract Year, the PST Member achieved a Yearly Performance Average in a Critical Service Level, that was greater than, or equal to, the Expected Service Level in effect for such Critical Service Level during the preceding year, the PST Member shall be relieved from paying any Service Credits assessed during the preceding Contract Year for such Critical Service Level.</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c)</w:t>
        <w:tab/>
        <w:t>If, during the preceding Contract Year, EuroBank deletes a Critical Service Level, the PST Member shall be relieved from paying Service Credits assessed during the preceding Contract Year for Service Level Defaults in that Critical Service Level.</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d)</w:t>
        <w:tab/>
        <w:t>For each Contract Year, any Service Credits that are not relieved via the Earnback methodology will be considered unrelieved Service Credits. The monetary amounts associated with unrelieved Service Credits shall be credited to EuroBank on the monthly invoice reflecting charges for the first month of the Contract Year immediately following the Contract Year in which such unrelieved Service Credits occurred.  In the case where there will be no further invoices, the PST Member will pay the amount of the unrelieved Service Credits to EuroBank within fifteen (15) days after the end of the last month of the Term.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If the Agreement is terminated prior to the end of the Term, the foregoing process shall be undertaken with respect to the portion of the Contract Year during which the Agreement was in effect.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6" w:name="__RefHeading___Toc150141101"/>
      <w:bookmarkEnd w:id="6"/>
      <w:r>
        <w:rPr>
          <w:bCs/>
          <w:sz w:val="22"/>
          <w:lang w:val="en-GB"/>
        </w:rPr>
        <w:t>ADDITIONS AND DELETIONS OF PERFORMANCE CATEGORIES</w:t>
      </w:r>
    </w:p>
    <w:p>
      <w:pPr>
        <w:pStyle w:val="Normal"/>
        <w:spacing w:before="0" w:after="0"/>
        <w:jc w:val="both"/>
        <w:rPr>
          <w:szCs w:val="22"/>
          <w:lang w:val="en-GB"/>
        </w:rPr>
      </w:pPr>
      <w:r>
        <w:rPr>
          <w:szCs w:val="22"/>
          <w:lang w:val="en-GB"/>
        </w:rPr>
        <w:t>EuroBank may add or delete Performance Categories by sending written notice as described in Section 4.  Such change notice shall include changes necessary to accommodate the addition of new Performance Categories made pursuant to Section 1.  In no event may (i) the sum of the Allocations of Pool Percentage for all the Performance Categories exceed the Pool Percentage Available for Allocation, or (ii) the sum of the Service Credit Allocation Percentages for all Critical Service Levels within a Performance Category exceed one hundred percent (100%).</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7" w:name="__RefHeading___Toc150141102"/>
      <w:bookmarkEnd w:id="7"/>
      <w:r>
        <w:rPr>
          <w:bCs/>
          <w:sz w:val="22"/>
          <w:lang w:val="en-GB"/>
        </w:rPr>
        <w:t>ADDITIONS AND DELETIONS OF SERVICE LEVELS</w:t>
      </w:r>
    </w:p>
    <w:p>
      <w:pPr>
        <w:pStyle w:val="Normal"/>
        <w:spacing w:before="0" w:after="0"/>
        <w:jc w:val="both"/>
        <w:rPr/>
      </w:pPr>
      <w:r>
        <w:rPr>
          <w:szCs w:val="22"/>
          <w:lang w:val="en-GB"/>
        </w:rPr>
        <w:t>EuroBank may add Critical Service Levels or Key Measurements by sending written notice in accordance with Section 4.</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8" w:name="__RefHeading___Toc150141103"/>
      <w:bookmarkEnd w:id="8"/>
      <w:r>
        <w:rPr>
          <w:sz w:val="22"/>
          <w:szCs w:val="22"/>
          <w:lang w:val="en-GB"/>
        </w:rPr>
        <w:t>Introduction</w:t>
      </w:r>
    </w:p>
    <w:p>
      <w:pPr>
        <w:pStyle w:val="Normal"/>
        <w:spacing w:before="0" w:after="0"/>
        <w:jc w:val="both"/>
        <w:rPr>
          <w:szCs w:val="22"/>
          <w:lang w:val="en-GB"/>
        </w:rPr>
      </w:pPr>
      <w:r>
        <w:rPr>
          <w:szCs w:val="22"/>
          <w:lang w:val="en-GB"/>
        </w:rPr>
        <w:t>Following the Commencement Date EuroBank may add Service Levels in accordance with this Section and by providing written notice in accordance with Section 4.  Expected Service Levels and Minimum Service Level commitments associated with added Service Levels will be computed as follows:</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Where at least nine (9) consecutive months of the PST Member-provided service measurements exist for a particular Service that is being provided by the PST Member, the Parties agree that the Expected Service Level shall be defined as the average of such service measurements for the Nine-Month Measurement Period and that the Minimum Service Level shall be defined as the lowest service measurement achieved during the Nine-Month Measurement Period, 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Where no measurements exist for a particular Service that is being provided by the PST Member, the Parties shall attempt in good faith to agree on an Expected Service Level and a Minimum Service Level commitment using industry standard measures or Third Party advisory services (for example, Gartner Group, Yankee Group, etc.), 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Where no measurements exist for a particular Service that is being provided by the PST Member, and the Parties fail to agree on an Expected Service Level and a Minimum Service Level commitment using Section 8.1, item 1, above, with respect to measurements provided by another party or industry standard measures as described in Section 8.1, item 2, above, the Parties shall do the following: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i)</w:t>
        <w:tab/>
        <w:t>The PST Member shall begin providing monthly measurements within an agreed period after the PST Member’s receipt of EuroBank’s written request and subject to agreement on such measurements in accordance with the Change Control Procedures.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After nine (9) or more actual service level attainments have been measured (or should have been measured per Section 8.1, item 3.1 above and if not so measured; constructed as described in Section 8.1, item 3.2.1 below), EuroBank may at any time in writing request that Section 8.1, item 1 above be used to establish the Expected Service Level and Minimum Service Level commitments: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If the PST Member is responsible for measuring actual service level attainments for nine (9) consecutive months and fails to provide one (1) or more measurements during the Nine-Month Measurement Period such that nine (9) consecutive measurements are not available, the missing measurement(s) shall be constructed according to the following: (i) if one measurement is missing, the missing measurement shall be constructed by using the highest of the eight (8) actual measurements, or (ii) if two (2) or more measurements are missing, the first missing measurement shall be constructed by using the highest of the actual measurements and adding to that measurement twenty percent (20%) of the difference between that measurement and one hundred percent (100%) and each of the remaining missing measurements shall be constructed by using the highest of the actual measurements and adding to that measurement thirty five percent (35%) of the difference between that measurement and one hundred percent (100%).</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For example, if there were seven measurements for a particular Service, and the highest of the seven measurements were 95%, then the measurements for the missing two months would be deemed to be 96% (representing 95% plus (20% of 5%)) and 96.75% (representing 95% plus 35% of 5%)), respectively.</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If the PST Member has provided twenty-four (24) actual service level attainment measurements for any particular Service provided by the PST Member, and EuroBank has not used Section 8.1, item 1 to establish Expected Service Level and Minimum Service Level commitments, then continued provision of actual service level attainment measurements shall be subject to the Parties’ mutual agreement in accordance with the Change Control Procedures.</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9" w:name="__RefHeading___Toc150141104"/>
      <w:bookmarkEnd w:id="9"/>
      <w:r>
        <w:rPr>
          <w:sz w:val="22"/>
          <w:szCs w:val="22"/>
          <w:lang w:val="en-GB"/>
        </w:rPr>
        <w:t>Deletions</w:t>
      </w:r>
    </w:p>
    <w:p>
      <w:pPr>
        <w:pStyle w:val="Normal"/>
        <w:spacing w:before="0" w:after="0"/>
        <w:jc w:val="both"/>
        <w:rPr>
          <w:szCs w:val="22"/>
          <w:lang w:val="en-GB"/>
        </w:rPr>
      </w:pPr>
      <w:r>
        <w:rPr>
          <w:szCs w:val="22"/>
          <w:lang w:val="en-GB"/>
        </w:rPr>
        <w:t>EuroBank may delete Critical Service Levels or Key Measurements by sending written notice in accordance with Section 4.</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0" w:name="__RefHeading___Toc150141105"/>
      <w:bookmarkEnd w:id="10"/>
      <w:r>
        <w:rPr>
          <w:sz w:val="22"/>
          <w:szCs w:val="22"/>
          <w:lang w:val="en-GB"/>
        </w:rPr>
        <w:t>Impact of Additions and Deletions of Critical Service Levels on Service Credit Allocation Percentages</w:t>
      </w:r>
    </w:p>
    <w:p>
      <w:pPr>
        <w:pStyle w:val="Normal"/>
        <w:spacing w:before="0" w:after="0"/>
        <w:jc w:val="both"/>
        <w:rPr>
          <w:szCs w:val="22"/>
          <w:lang w:val="en-GB"/>
        </w:rPr>
      </w:pPr>
      <w:r>
        <w:rPr>
          <w:szCs w:val="22"/>
          <w:lang w:val="en-GB"/>
        </w:rPr>
        <w:t>When adding or deleting a Critical Service Level, EuroBank shall modify the Service Credit Allocation Percentages for the Critical Service Levels within the Performance Category such that the total Service Credit Allocation Percentages for all Critical Service Levels within the Performance Category equals one hundred percent (100%).</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If EuroBank adds a Critical Service Level in accordance with Section 8.1 above, but does not modify the Service Credit Allocation Percentages for the Critical Service Levels within the applicable Performance Category under this Section 8.3, then, until such time as EuroBank so modifies such Service Credit Allocation Percentages, the Service Credit Allocation Percentage for such added Critical Service Level shall be zero.</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11" w:name="__RefHeading___Toc150141106"/>
      <w:bookmarkEnd w:id="11"/>
      <w:r>
        <w:rPr>
          <w:sz w:val="22"/>
          <w:szCs w:val="22"/>
          <w:lang w:val="en-GB"/>
        </w:rPr>
        <w:t>Modifications of Service Credit Allocation Percentages for Critical Service Levels</w:t>
      </w:r>
    </w:p>
    <w:p>
      <w:pPr>
        <w:pStyle w:val="Normal"/>
        <w:spacing w:before="0" w:after="0"/>
        <w:jc w:val="both"/>
        <w:rPr>
          <w:szCs w:val="22"/>
          <w:lang w:val="en-GB"/>
        </w:rPr>
      </w:pPr>
      <w:r>
        <w:rPr>
          <w:szCs w:val="22"/>
          <w:lang w:val="en-GB"/>
        </w:rPr>
        <w:t>EuroBank may modify the Service Credit Allocation Percentages for any Critical Service Levels within the Performance Category by sending written notice in accordance with Section 4. EuroBank shall modify the Service Credit Allocation Percentages for two or more of the Critical Service Levels within the Performance Category such that the sum of the Service Credit Allocation Percentages for all Critical Service Levels within the Performance Category equals one hundred percent (100%).</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2" w:name="__RefHeading___Toc150141107"/>
      <w:bookmarkEnd w:id="12"/>
      <w:r>
        <w:rPr>
          <w:bCs/>
          <w:sz w:val="22"/>
          <w:lang w:val="en-GB"/>
        </w:rPr>
        <w:t>CRITICAL DELIVERABLES – AFTER COMMENCEMENT DATE</w:t>
      </w:r>
    </w:p>
    <w:p>
      <w:pPr>
        <w:pStyle w:val="Normal"/>
        <w:spacing w:before="0" w:after="0"/>
        <w:jc w:val="both"/>
        <w:rPr/>
      </w:pPr>
      <w:r>
        <w:rPr>
          <w:szCs w:val="22"/>
          <w:lang w:val="en-GB"/>
        </w:rPr>
        <w:t>Certain of the PST Member’s obligations under the Agreement are one-time obligations to deliver Critical Deliverables.  Attachment 3-C (Critical Deliverables) to this Exhibit sets forth the Deliverable Credits that shall be payable by the PST Member to EuroBank in the event the PST Member fails to deliver any of the Critical Deliverables within the time period relative to the Commencement Date, specified in Attachment 3-A (Service Levels Matrix) to this Exhibit.  Imposition of Deliverable Credits for failure to meet the Critical Deliverables obligations shall not be included in the calculation related to the At Risk Amount previously described in Section 5, item 3. The total amount of Deliverable Credits that the PST Member will be obligated to pay to EuroBank shall be reflected on the invoice that contains charges for each month during which the Deliverable Credits occurred (for example, the amount of Deliverable Credits payable for failure to deliver any Critical Deliverable(s) in August shall be set forth in the invoice for August charges issued in September). Unlike Service Credits, Deliverable Credits shall be shown in each monthly invoice as an actual credit to the charges and will not be subject to Earnback.</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3" w:name="__RefHeading___Toc150141108"/>
      <w:bookmarkEnd w:id="13"/>
      <w:r>
        <w:rPr>
          <w:bCs/>
          <w:sz w:val="22"/>
          <w:lang w:val="en-GB"/>
        </w:rPr>
        <w:t>COMMENCEMENT OF OBLIGATIONS</w:t>
      </w:r>
    </w:p>
    <w:p>
      <w:pPr>
        <w:pStyle w:val="Normal"/>
        <w:spacing w:before="0" w:after="0"/>
        <w:jc w:val="both"/>
        <w:rPr>
          <w:szCs w:val="22"/>
          <w:lang w:val="en-GB"/>
        </w:rPr>
      </w:pPr>
      <w:r>
        <w:rPr>
          <w:szCs w:val="22"/>
          <w:lang w:val="en-GB"/>
        </w:rPr>
        <w:t>The obligations set forth herein shall commence on the Commencement Date or as otherwise specified in Attachment 3-A (</w:t>
      </w:r>
      <w:r>
        <w:rPr>
          <w:i/>
          <w:szCs w:val="22"/>
          <w:lang w:val="en-GB"/>
        </w:rPr>
        <w:t>Service Levels Matrix</w:t>
      </w:r>
      <w:r>
        <w:rPr>
          <w:szCs w:val="22"/>
          <w:lang w:val="en-GB"/>
        </w:rPr>
        <w:t xml:space="preserve">) to this Exhibit referencing the column “Eff + mos**”.  The numbers used in the column “Eff +mos**” are in the format X where “X” represents the number of months after the Effective Date when the PST Member will be responsible to provide measurement data in support of the Critical Service Level and the PST Member will be responsible for Service Credits for any failures to attain the Critical Service Level. </w:t>
      </w:r>
      <w:r>
        <w:rPr>
          <w:lang w:val="en-GB"/>
        </w:rPr>
        <w:t>However when Effective Date is not the first day of the month, the PST Member will be responsible to provide measurement data in support of the Critical Service Level and the PST Member will be responsible for Service Credits for any failures to attain the Critical Service Level at the first day of the month represented by the column “Eff + mos**”. E.g. if Effective Date is December 15th 2006 and “Eff +mos**” equals to 10, then the PST Member will be responsible to provide measurement data in support of the Critical Service Level and the PST Member will be responsible for Service Credits for any failures to attain the Critical Service Level at October 1rst 2007.</w:t>
      </w:r>
    </w:p>
    <w:p>
      <w:pPr>
        <w:pStyle w:val="Heading1Numbered"/>
        <w:numPr>
          <w:ilvl w:val="0"/>
          <w:numId w:val="2"/>
        </w:numPr>
        <w:ind w:hanging="0" w:start="0"/>
        <w:rPr>
          <w:bCs/>
          <w:sz w:val="22"/>
          <w:lang w:val="en-GB"/>
        </w:rPr>
      </w:pPr>
      <w:bookmarkStart w:id="14" w:name="__RefHeading___Toc150141109"/>
      <w:bookmarkEnd w:id="14"/>
      <w:r>
        <w:rPr>
          <w:bCs/>
          <w:sz w:val="22"/>
          <w:lang w:val="en-GB"/>
        </w:rPr>
        <w:t>COOPERATION</w:t>
      </w:r>
    </w:p>
    <w:p>
      <w:pPr>
        <w:pStyle w:val="Normal"/>
        <w:spacing w:before="0" w:after="0"/>
        <w:jc w:val="both"/>
        <w:rPr/>
      </w:pPr>
      <w:r>
        <w:rPr>
          <w:szCs w:val="22"/>
          <w:lang w:val="en-GB"/>
        </w:rPr>
        <w:t>The achievement of the Service Levels by the PST Member may require the coordinated, collaborative effort of the PST Member with other Third Party Vendor.  The PST Member will provide a single point of contact for the prompt resolution of all Service Level Defaults and all failures to provide high quality Services to EuroBank, regardless of whether the reason for such Service Level Defaults, or failure to provide high quality Services to EuroBank, was caused by the PST Member.</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5" w:name="__RefHeading___Toc150141110"/>
      <w:bookmarkEnd w:id="15"/>
      <w:r>
        <w:rPr>
          <w:bCs/>
          <w:sz w:val="22"/>
          <w:lang w:val="en-GB"/>
        </w:rPr>
        <w:t>CONTINUOUS IMPROVEMENT – SERVICE LEVELS</w:t>
      </w:r>
    </w:p>
    <w:p>
      <w:pPr>
        <w:pStyle w:val="Normal"/>
        <w:spacing w:before="0" w:after="0"/>
        <w:jc w:val="both"/>
        <w:rPr>
          <w:szCs w:val="22"/>
          <w:lang w:val="en-GB"/>
        </w:rPr>
      </w:pPr>
      <w:r>
        <w:rPr>
          <w:szCs w:val="22"/>
          <w:lang w:val="en-GB"/>
        </w:rPr>
        <w:t>The Parties agree to the concept of continuous improvement and that the Critical Service Levels and Key Measurements should be modified during this Agreement to reflect this concept.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 given service level improvement may require the PST Suppliers to make further additional investments to achieve this level of service. Any time any investment is required to achieve the improved Service Level the following process (subject always to benchmarking’ and mincing in accordance with Exhibit 34 (</w:t>
      </w:r>
      <w:r>
        <w:rPr>
          <w:i/>
          <w:szCs w:val="22"/>
          <w:lang w:val="en-GB"/>
        </w:rPr>
        <w:t>Price Adjustment &amp; Benchmarking</w:t>
      </w:r>
      <w:r>
        <w:rPr>
          <w:szCs w:val="22"/>
          <w:lang w:val="en-GB"/>
        </w:rPr>
        <w:t>)) shall be followed;</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 xml:space="preserve">PST Suppliers to notify EuroBank of investment requirement to achieve improved Service Level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 xml:space="preserve">PST Suppliers must detail to EuroBank a clear and transparent explanation of why the investment is required to achieve the Service Level improvement The investment should be clear as to costs and forecasted savings that could be achieved including the continuous improvement. The analysis should demonstrate where the threshold occurs on the continuous improvement Critical Service Level that triggers the investment.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3)</w:t>
        <w:tab/>
        <w:t xml:space="preserve">EuroBank and the PST Suppliers will then decide if the investment and new Service Level should proceed.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w:t>
        <w:tab/>
        <w:t xml:space="preserve">If the Business case is positive and meets the appropriate thresholds, EuroBank will approve and make the investment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5)</w:t>
        <w:tab/>
        <w:t>During the period where the investment to achieve the new Service Level is being made, the previous Expected and Minimum Service Levels will apply. In addition, the month following the implementation of the investment, the new Expected and Minimum Service Levels will apply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w:t>
        <w:tab/>
        <w:t>Suppose the current expected level is 98% and the average new rate is 99% and requires an investment to be achievable. If the new average rate does not justify an investment, PST to notify EuroBank within 10 business days from the date that EuroBank declines the investment, of the new average rate. The new average rate would be determined by moving the rate down by in increments of 1/ 100% until no investment is required to achieve. In no case, will the new average rate be lower than the prior years expected rate.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 accomplish this continuous improvement, Critical Service Levels and Key Measurements will be modified each twelve (12) month period following the commencement of obligations date specific to each Critical Service Level and Key Measurement as described in Section 10 and below:</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Each Expected Service Level will be reset to the average of the four highest monthly actual results (for example, 99.6% is higher than 99.4%) at or above the Expected Service Levels achieved during the previous year; provided that, if fewer than four monthly actual results exceeded the Expected Service Level, the Expected Service Level will be reset by taking the four (4) highest monthly actual results, replacing each such actual result that is below the Expected Service Level with the Expected Service Level, and dividing the sum of the resulting four (4) numbers by four (4).</w:t>
      </w:r>
    </w:p>
    <w:p>
      <w:pPr>
        <w:pStyle w:val="Normal"/>
        <w:spacing w:before="0" w:after="0"/>
        <w:jc w:val="both"/>
        <w:rPr>
          <w:szCs w:val="22"/>
          <w:lang w:val="en-GB"/>
        </w:rPr>
      </w:pPr>
      <w:r>
        <w:rPr>
          <w:szCs w:val="22"/>
          <w:lang w:val="en-GB"/>
        </w:rPr>
      </w:r>
    </w:p>
    <w:p>
      <w:pPr>
        <w:pStyle w:val="Normal"/>
        <w:spacing w:before="0" w:after="0"/>
        <w:ind w:start="1440" w:end="0"/>
        <w:jc w:val="both"/>
        <w:rPr>
          <w:szCs w:val="22"/>
          <w:lang w:val="en-GB"/>
        </w:rPr>
      </w:pPr>
      <w:r>
        <w:rPr>
          <w:szCs w:val="22"/>
          <w:lang w:val="en-GB"/>
        </w:rPr>
        <w:t>For example, if the Expected Service Level being adjusted were 99.6%, and there were three actual results that were higher and none equal (e.g., 99.9%, 99.8%, and 99.7%), the calculation would be ((99.9% + 99.8% + 99.7% + 99.6%) / 4) = 99.75% with the subsequent reset governed by Section 12, item 2 below.</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b)</w:t>
        <w:tab/>
        <w:t>Notwithstanding Section 12, item (a) above, in no event shall any single increase in an Expected Service Level pursuant to Section 12, item 1 above exceed ten percent (10%) of the difference between one hundred percent (100%) and the then-current Expected Service Level.</w:t>
      </w:r>
    </w:p>
    <w:p>
      <w:pPr>
        <w:pStyle w:val="Normal"/>
        <w:spacing w:before="0" w:after="0"/>
        <w:jc w:val="both"/>
        <w:rPr>
          <w:szCs w:val="22"/>
          <w:lang w:val="en-GB"/>
        </w:rPr>
      </w:pPr>
      <w:r>
        <w:rPr>
          <w:szCs w:val="22"/>
          <w:lang w:val="en-GB"/>
        </w:rPr>
      </w:r>
    </w:p>
    <w:p>
      <w:pPr>
        <w:pStyle w:val="Normal"/>
        <w:spacing w:before="0" w:after="0"/>
        <w:ind w:start="1440" w:end="0"/>
        <w:jc w:val="both"/>
        <w:rPr>
          <w:szCs w:val="22"/>
          <w:lang w:val="en-GB"/>
        </w:rPr>
      </w:pPr>
      <w:r>
        <w:rPr>
          <w:szCs w:val="22"/>
          <w:lang w:val="en-GB"/>
        </w:rPr>
        <w:t>For example, if the Expected Service Level being adjusted were 99.6%, the maximum increase for that reset would be 0.04% (i.e. from 99.6% to 99.64%).</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c)</w:t>
        <w:tab/>
        <w:t>Each Minimum Service Level will be reset by adding to the Minimum Service Level being adjusted a sum equal to five percent (5%) of the difference between one-hundred percent (100%) and the then-current Minimum Service Level.</w:t>
      </w:r>
    </w:p>
    <w:p>
      <w:pPr>
        <w:pStyle w:val="Normal"/>
        <w:spacing w:before="0" w:after="0"/>
        <w:jc w:val="both"/>
        <w:rPr>
          <w:szCs w:val="22"/>
          <w:lang w:val="en-GB"/>
        </w:rPr>
      </w:pPr>
      <w:r>
        <w:rPr>
          <w:szCs w:val="22"/>
          <w:lang w:val="en-GB"/>
        </w:rPr>
      </w:r>
    </w:p>
    <w:p>
      <w:pPr>
        <w:pStyle w:val="Normal"/>
        <w:spacing w:before="0" w:after="0"/>
        <w:ind w:start="1440" w:end="0"/>
        <w:jc w:val="both"/>
        <w:rPr>
          <w:szCs w:val="22"/>
          <w:lang w:val="en-GB"/>
        </w:rPr>
      </w:pPr>
      <w:r>
        <w:rPr>
          <w:szCs w:val="22"/>
          <w:lang w:val="en-GB"/>
        </w:rPr>
        <w:t>For example, if the Minimum Service Level being adjusted were 99.4%, the increase would be 0.03% (i.e., from 99.4% to 99.43%).</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d)</w:t>
        <w:tab/>
        <w:t>For ease of administration, beginning with the second anniversary of the Commencement Date and continuing with every anniversary of the Commencement Date thereafter, the process described in this Section 12 will be performed as of the anniversary of the Commencement Date, utilizing the previous twelve months’ data, replacing the Critical Service Level or Key Measurement unique dates that were based upon the commencement of obligations dates specific to each Critical Service Level.</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6" w:name="__RefHeading___Toc150141111"/>
      <w:bookmarkEnd w:id="16"/>
      <w:r>
        <w:rPr>
          <w:bCs/>
          <w:sz w:val="22"/>
          <w:lang w:val="en-GB"/>
        </w:rPr>
        <w:t>CRITICAL SERVICE LEVEL OUTCOME EXAMPLES</w:t>
      </w:r>
    </w:p>
    <w:p>
      <w:pPr>
        <w:pStyle w:val="Normal"/>
        <w:spacing w:before="0" w:after="0"/>
        <w:jc w:val="both"/>
        <w:rPr/>
      </w:pPr>
      <w:r>
        <w:rPr>
          <w:szCs w:val="22"/>
          <w:lang w:val="en-GB"/>
        </w:rPr>
        <w:t>Attachment 3-D (</w:t>
      </w:r>
      <w:r>
        <w:rPr>
          <w:i/>
          <w:szCs w:val="22"/>
          <w:lang w:val="en-GB"/>
        </w:rPr>
        <w:t>Service Levels Outcome Examples</w:t>
      </w:r>
      <w:r>
        <w:rPr>
          <w:szCs w:val="22"/>
          <w:lang w:val="en-GB"/>
        </w:rPr>
        <w:t>) to this Exhibit is a graphical example of Critical Service Level outcomes under the following headings:</w:t>
      </w:r>
    </w:p>
    <w:p>
      <w:pPr>
        <w:pStyle w:val="Normal"/>
        <w:spacing w:before="0" w:after="0"/>
        <w:jc w:val="both"/>
        <w:rPr>
          <w:szCs w:val="22"/>
          <w:lang w:val="en-GB"/>
        </w:rPr>
      </w:pPr>
      <w:r>
        <w:rPr>
          <w:szCs w:val="22"/>
          <w:lang w:val="en-GB"/>
        </w:rPr>
      </w:r>
    </w:p>
    <w:p>
      <w:pPr>
        <w:pStyle w:val="Normal"/>
        <w:numPr>
          <w:ilvl w:val="0"/>
          <w:numId w:val="5"/>
        </w:numPr>
        <w:spacing w:before="0" w:after="0"/>
        <w:jc w:val="both"/>
        <w:rPr>
          <w:i/>
          <w:i/>
          <w:szCs w:val="22"/>
          <w:lang w:val="en-GB"/>
        </w:rPr>
      </w:pPr>
      <w:r>
        <w:rPr>
          <w:i/>
          <w:szCs w:val="22"/>
          <w:lang w:val="en-GB"/>
        </w:rPr>
        <w:t>Expected Service Level Default, Earnback, Expected and Minimum Reset.</w:t>
      </w:r>
    </w:p>
    <w:p>
      <w:pPr>
        <w:pStyle w:val="Normal"/>
        <w:spacing w:before="0" w:after="0"/>
        <w:jc w:val="both"/>
        <w:rPr>
          <w:i/>
          <w:i/>
          <w:szCs w:val="22"/>
          <w:lang w:val="en-GB"/>
        </w:rPr>
      </w:pPr>
      <w:r>
        <w:rPr>
          <w:i/>
          <w:szCs w:val="22"/>
          <w:lang w:val="en-GB"/>
        </w:rPr>
      </w:r>
    </w:p>
    <w:p>
      <w:pPr>
        <w:pStyle w:val="Normal"/>
        <w:numPr>
          <w:ilvl w:val="0"/>
          <w:numId w:val="5"/>
        </w:numPr>
        <w:spacing w:before="0" w:after="0"/>
        <w:jc w:val="both"/>
        <w:rPr>
          <w:i/>
          <w:i/>
          <w:szCs w:val="22"/>
          <w:lang w:val="en-GB"/>
        </w:rPr>
      </w:pPr>
      <w:r>
        <w:rPr>
          <w:i/>
          <w:szCs w:val="22"/>
          <w:lang w:val="en-GB"/>
        </w:rPr>
        <w:t>Average Below Expected, No Service Level Default, Expected and Minimum Reset.</w:t>
      </w:r>
    </w:p>
    <w:p>
      <w:pPr>
        <w:pStyle w:val="Normal"/>
        <w:spacing w:before="0" w:after="0"/>
        <w:jc w:val="both"/>
        <w:rPr>
          <w:i/>
          <w:i/>
          <w:szCs w:val="22"/>
          <w:lang w:val="en-GB"/>
        </w:rPr>
      </w:pPr>
      <w:r>
        <w:rPr>
          <w:i/>
          <w:szCs w:val="22"/>
          <w:lang w:val="en-GB"/>
        </w:rPr>
      </w:r>
    </w:p>
    <w:p>
      <w:pPr>
        <w:pStyle w:val="Normal"/>
        <w:numPr>
          <w:ilvl w:val="0"/>
          <w:numId w:val="5"/>
        </w:numPr>
        <w:spacing w:before="0" w:after="0"/>
        <w:jc w:val="both"/>
        <w:rPr>
          <w:i/>
          <w:i/>
          <w:szCs w:val="22"/>
          <w:lang w:val="en-GB"/>
        </w:rPr>
      </w:pPr>
      <w:r>
        <w:rPr>
          <w:i/>
          <w:szCs w:val="22"/>
          <w:lang w:val="en-GB"/>
        </w:rPr>
        <w:t>Minimum Service Level Default, No Earnback, Expected and Minimum Reset.</w:t>
      </w:r>
    </w:p>
    <w:p>
      <w:pPr>
        <w:pStyle w:val="Normal"/>
        <w:spacing w:before="0" w:after="0"/>
        <w:jc w:val="both"/>
        <w:rPr>
          <w:i/>
          <w:i/>
          <w:szCs w:val="22"/>
          <w:lang w:val="en-GB"/>
        </w:rPr>
      </w:pPr>
      <w:r>
        <w:rPr>
          <w:i/>
          <w:szCs w:val="22"/>
          <w:lang w:val="en-GB"/>
        </w:rPr>
      </w:r>
    </w:p>
    <w:p>
      <w:pPr>
        <w:pStyle w:val="Normal"/>
        <w:numPr>
          <w:ilvl w:val="0"/>
          <w:numId w:val="5"/>
        </w:numPr>
        <w:spacing w:before="0" w:after="0"/>
        <w:jc w:val="both"/>
        <w:rPr>
          <w:szCs w:val="22"/>
          <w:lang w:val="en-GB"/>
        </w:rPr>
      </w:pPr>
      <w:r>
        <w:rPr>
          <w:i/>
          <w:szCs w:val="22"/>
          <w:lang w:val="en-GB"/>
        </w:rPr>
        <w:t>Expected Service Level Default, No Earnback, Expected and Minimum Reset</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These examples are not meant to be all-inclusive of the Critical Service Level outcomes but, instead, are examples of possible results and impacts to Service Credits and Critical Service Level adjustments.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7" w:name="__RefHeading___Toc150141112"/>
      <w:bookmarkEnd w:id="17"/>
      <w:r>
        <w:rPr>
          <w:bCs/>
          <w:sz w:val="22"/>
          <w:lang w:val="en-GB"/>
        </w:rPr>
        <w:t>IMPROVEMENT PLAN FOR KEY MEASUREMENTS</w:t>
      </w:r>
    </w:p>
    <w:p>
      <w:pPr>
        <w:pStyle w:val="Normal"/>
        <w:spacing w:before="0" w:after="0"/>
        <w:jc w:val="both"/>
        <w:rPr/>
      </w:pPr>
      <w:r>
        <w:rPr>
          <w:szCs w:val="22"/>
          <w:lang w:val="en-GB"/>
        </w:rPr>
        <w:t>If the PST Member fails to satisfy any Key Measurement, the PST Member shall provide EuroBank with a written plan for improving the PST Member’s performance to satisfy the Key Measurement within thirty (30) days of the failure to meet the Expected Service Level or the Minimum Service Level for the Key Measurement, which plan shall be subject to EuroBank’s approval, not to be unreasonably withheld.  The PST Member shall promptly implement such plan once it has been approved by EuroBank.</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8" w:name="__RefHeading___Toc150141113"/>
      <w:bookmarkEnd w:id="18"/>
      <w:r>
        <w:rPr>
          <w:bCs/>
          <w:sz w:val="22"/>
          <w:lang w:val="en-GB"/>
        </w:rPr>
        <w:t>MEASURING TOOLS</w:t>
      </w:r>
    </w:p>
    <w:p>
      <w:pPr>
        <w:pStyle w:val="Normal"/>
        <w:spacing w:before="0" w:after="0"/>
        <w:jc w:val="both"/>
        <w:rPr>
          <w:szCs w:val="22"/>
          <w:lang w:val="en-GB"/>
        </w:rPr>
      </w:pPr>
      <w:r>
        <w:rPr>
          <w:szCs w:val="22"/>
          <w:lang w:val="en-GB"/>
        </w:rPr>
        <w:t>As of the Commencement Date, a set of measuring tools and methodologies will have been agreed.</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If there are any Critical Service Levels for which the measuring tools and methodologies have not been agreed upon by EuroBank and the PST Member, and the PST Member fails to propose a measuring tool for such Critical Service Level that is acceptable to EuroBank and PST Member prior to the date upon which the PST Member shall be responsible for Service Level performance and Service Credits due for Service Level Default, such failure shall be deemed a Minimum Service Level Default for the Critical Service Level until the PST Member proposes and implements such acceptable measuring tool.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Tools for new Critical Service Levels will be implemented according to the Change Control Procedures.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If, after the Commencement Date or the implementation of tools for new Critical Service Levels, the PST Member desires to use a different measuring tool for a Critical Service Level, the PST Member shall provide written notice to EuroBank, in which event the PST Member and EuroBank will jointly and reasonably adjust the measurements as necessary to account for any increased or decreased sensitivity in the new measuring tools; provided that, if the PST Member and EuroBank  cannot agree on the required adjustment, the PST Member will continue to use the measuring tool that had been initially agreed to by the Parties.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It is not anticipated that changes in the monitoring tools will drive changes in Service Levels; rather, the need to collect and accurately reflect the performance data should drive the development or change in performance monitoring tools.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9" w:name="__RefHeading___Toc150141114"/>
      <w:bookmarkEnd w:id="19"/>
      <w:r>
        <w:rPr>
          <w:bCs/>
          <w:sz w:val="22"/>
          <w:lang w:val="en-GB"/>
        </w:rPr>
        <w:t>TIMES</w:t>
      </w:r>
    </w:p>
    <w:p>
      <w:pPr>
        <w:pStyle w:val="Normal"/>
        <w:spacing w:before="0" w:after="0"/>
        <w:jc w:val="both"/>
        <w:rPr>
          <w:szCs w:val="22"/>
          <w:lang w:val="en-GB"/>
        </w:rPr>
      </w:pPr>
      <w:r>
        <w:rPr>
          <w:szCs w:val="22"/>
          <w:lang w:val="en-GB"/>
        </w:rPr>
        <w:t>Unless otherwise set forth herein, all references in this Exhibit to times shall refer to Central European Time.</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0" w:name="__RefHeading___Toc150141115"/>
      <w:bookmarkEnd w:id="20"/>
      <w:r>
        <w:rPr>
          <w:bCs/>
          <w:sz w:val="22"/>
          <w:lang w:val="en-GB"/>
        </w:rPr>
        <w:t>SINGLE INCIDENT/MULTIPLE DEFAULTS</w:t>
      </w:r>
    </w:p>
    <w:p>
      <w:pPr>
        <w:pStyle w:val="Normal"/>
        <w:spacing w:before="0" w:after="0"/>
        <w:jc w:val="both"/>
        <w:rPr/>
      </w:pPr>
      <w:r>
        <w:rPr>
          <w:szCs w:val="22"/>
          <w:lang w:val="en-GB"/>
        </w:rPr>
        <w:t>If a single incident results in the failure of the PST Member to meet more than one Minimum Service Level, EuroBank shall have the right to select any one of such multiple Minimum Service Level Defaults for which it will be entitled to receive a Service Credit. EuroBank shall not be entitled to a Service Credit for each of such Minimum Service Level Defaults.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1" w:name="__RefHeading___Toc150141116"/>
      <w:bookmarkEnd w:id="21"/>
      <w:r>
        <w:rPr>
          <w:bCs/>
          <w:sz w:val="22"/>
          <w:lang w:val="en-GB"/>
        </w:rPr>
        <w:t>EXCEPTIONS</w:t>
      </w:r>
    </w:p>
    <w:p>
      <w:pPr>
        <w:pStyle w:val="Normal"/>
        <w:spacing w:before="0" w:after="0"/>
        <w:jc w:val="both"/>
        <w:rPr/>
      </w:pPr>
      <w:r>
        <w:rPr>
          <w:szCs w:val="22"/>
          <w:lang w:val="en-GB"/>
        </w:rPr>
        <w:t>The PST Member shall not be responsible for a failure attributable to it to meet any Service Level solely to the extent that such failure is directly attributable to any of the following: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EuroBank’s (or an EuroBank Third Party Vendor’s) acts, errors, omissions, or breaches of this Agreement.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Infringements of Third Party proprietary rights by EuroBank or an EuroBank Third Party Vendor.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3.</w:t>
        <w:tab/>
        <w:t>Wilful misconduct or violations of law by EuroBank or an EuroBank Third Party Vendor.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w:t>
        <w:tab/>
        <w:t>Service or resource reductions requested or approved by EuroBank and agreed to by the PST Member and EuroBank through the Change Control procedures; provided that the PST Member has previously notified EuroBank in writing as part of such Change Control procedures that the implementation of such request would result in such failure to meet the Service Level.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5.</w:t>
        <w:tab/>
        <w:t>Failure to conduct repair on Equipment that has been identified and agreed in writing by EuroBank to be unserviceable Equipment.  Such agreement shall have been made identifying the Resource Unit as unserviceable Equipment prior to any failure incident qualifying as an exception.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w:t>
        <w:tab/>
        <w:t>Services performed during the execution of the Business Continuity Plan, the execution of which is in support of a EuroBank declared disaster (but failure to execute a business continuity plan may constitute a breach of the Agreement).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2" w:name="__RefHeading___Toc150141117"/>
      <w:bookmarkEnd w:id="22"/>
      <w:r>
        <w:rPr>
          <w:bCs/>
          <w:sz w:val="22"/>
          <w:lang w:val="en-GB"/>
        </w:rPr>
        <w:t>EXCLUSIONS</w:t>
      </w:r>
    </w:p>
    <w:p>
      <w:pPr>
        <w:pStyle w:val="Normal"/>
        <w:spacing w:before="0" w:after="0"/>
        <w:jc w:val="both"/>
        <w:rPr>
          <w:szCs w:val="22"/>
          <w:lang w:val="en-GB"/>
        </w:rPr>
      </w:pPr>
      <w:r>
        <w:rPr>
          <w:szCs w:val="22"/>
          <w:lang w:val="en-GB"/>
        </w:rPr>
        <w:t>For purposes of calculating Actual Uptime and Availability, the Scheduled Uptime and Downtime shall not include any period of Downtime that is the result of scheduled time required to perform system maintenance (for example, preventive maintenance, system upgrades, etc.), provided that such time has been mutually agreed between the PST Member and EuroBank and is scheduled so as to minimize the impact to EuroBank’s business.  The PST Member shall maintain Availability during such periods to the extent reasonably practicable.</w:t>
      </w:r>
    </w:p>
    <w:p>
      <w:pPr>
        <w:pStyle w:val="Normal"/>
        <w:spacing w:before="0" w:after="0"/>
        <w:jc w:val="both"/>
        <w:rPr>
          <w:szCs w:val="22"/>
          <w:lang w:val="en-GB"/>
        </w:rPr>
      </w:pPr>
      <w:r>
        <w:rPr>
          <w:szCs w:val="22"/>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right" w:pos="8460" w:leader="none"/>
      </w:tabs>
      <w:spacing w:before="120" w:after="120"/>
      <w:rPr/>
    </w:pPr>
    <w:r>
      <w:rPr>
        <w:sz w:val="16"/>
        <w:szCs w:val="16"/>
      </w:rPr>
      <w:t>Ops&amp;IT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10</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3 (Service Levels) Final v1.8.doc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3 (Service Levels) Final v1.8.doc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3 (Service Levels) Final v1.8.doc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lowerRoman"/>
      <w:lvlText w:val="(%1)"/>
      <w:lvlJc w:val="start"/>
      <w:pPr>
        <w:tabs>
          <w:tab w:val="num" w:pos="1080"/>
        </w:tabs>
        <w:ind w:start="1080" w:hanging="720"/>
      </w:pPr>
      <w:rPr/>
    </w:lvl>
  </w:abstractNum>
  <w:abstractNum w:abstractNumId="4">
    <w:lvl w:ilvl="0">
      <w:start w:val="1"/>
      <w:numFmt w:val="bullet"/>
      <w:lvlText w:val=""/>
      <w:lvlJc w:val="start"/>
      <w:pPr>
        <w:tabs>
          <w:tab w:val="num" w:pos="1800"/>
        </w:tabs>
        <w:ind w:start="18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440"/>
        </w:tabs>
        <w:ind w:start="1440" w:hanging="360"/>
      </w:pPr>
      <w:rPr>
        <w:rFonts w:ascii="Symbol" w:hAnsi="Symbol" w:cs="Symbol" w:hint="default"/>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4"/>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0"/>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bCs/>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2006-12-12T22:39:00Z</dcterms:created>
  <dc:creator> </dc:creator>
  <dc:description/>
  <cp:keywords/>
  <dc:language>en-US</dc:language>
  <cp:lastModifiedBy>Stuart Johnson</cp:lastModifiedBy>
  <cp:lastPrinted>2005-07-04T16:19:00Z</cp:lastPrinted>
  <dcterms:modified xsi:type="dcterms:W3CDTF">2006-12-12T22:46:00Z</dcterms:modified>
  <cp:revision>7</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621626839</vt:r8>
  </property>
  <property fmtid="{D5CDD505-2E9C-101B-9397-08002B2CF9AE}" pid="3" name="_AuthorEmail">
    <vt:lpwstr>Albert.Jans@mail.ing.nl</vt:lpwstr>
  </property>
  <property fmtid="{D5CDD505-2E9C-101B-9397-08002B2CF9AE}" pid="4" name="_AuthorEmailDisplayName">
    <vt:lpwstr>Jans, A.H.A. (Albert)</vt:lpwstr>
  </property>
  <property fmtid="{D5CDD505-2E9C-101B-9397-08002B2CF9AE}" pid="5" name="_EmailSubject">
    <vt:lpwstr>Exhibit 3 (Service Levels) AJ v1.8</vt:lpwstr>
  </property>
  <property fmtid="{D5CDD505-2E9C-101B-9397-08002B2CF9AE}" pid="6" name="_ReviewingToolsShownOnce">
    <vt:lpwstr/>
  </property>
</Properties>
</file>