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30</w:t>
      </w:r>
    </w:p>
    <w:p>
      <w:pPr>
        <w:pStyle w:val="Title"/>
        <w:rPr>
          <w:lang w:val="en-GB"/>
        </w:rPr>
      </w:pPr>
      <w:r>
        <w:rPr>
          <w:lang w:val="en-GB"/>
        </w:rPr>
      </w:r>
    </w:p>
    <w:p>
      <w:pPr>
        <w:pStyle w:val="Title"/>
        <w:rPr>
          <w:lang w:val="en-GB"/>
        </w:rPr>
      </w:pPr>
      <w:r>
        <w:rPr>
          <w:lang w:val="en-GB"/>
        </w:rPr>
        <w:t>Transition and Transformation</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Numbered,1,Heading 2 Numbered,2,Heading 3 Numbered,3"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52725962">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OBJECTIVES</w:t>
          </w:r>
          <w:r>
            <w:rPr>
              <w:sz w:val="18"/>
              <w:szCs w:val="18"/>
              <w:lang w:val="en-US" w:eastAsia="en-US"/>
            </w:rPr>
            <w:tab/>
          </w:r>
          <w:hyperlink w:anchor="__RefHeading___Toc152725963">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2.1</w:t>
          </w:r>
          <w:r>
            <w:rPr>
              <w:b w:val="false"/>
              <w:sz w:val="18"/>
              <w:szCs w:val="18"/>
              <w:lang w:val="en-US" w:eastAsia="en-US"/>
            </w:rPr>
            <w:tab/>
          </w:r>
          <w:r>
            <w:rPr>
              <w:sz w:val="18"/>
              <w:szCs w:val="18"/>
              <w:lang w:val="en-GB" w:eastAsia="en-US"/>
            </w:rPr>
            <w:t>Successful transfer of people and infused management:</w:t>
          </w:r>
          <w:r>
            <w:rPr>
              <w:sz w:val="18"/>
              <w:szCs w:val="18"/>
              <w:lang w:val="en-US" w:eastAsia="en-US"/>
            </w:rPr>
            <w:tab/>
          </w:r>
          <w:hyperlink w:anchor="__RefHeading___Toc152725964">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2.2</w:t>
          </w:r>
          <w:r>
            <w:rPr>
              <w:b w:val="false"/>
              <w:sz w:val="18"/>
              <w:szCs w:val="18"/>
              <w:lang w:val="en-US" w:eastAsia="en-US"/>
            </w:rPr>
            <w:tab/>
          </w:r>
          <w:r>
            <w:rPr>
              <w:bCs/>
              <w:sz w:val="18"/>
              <w:szCs w:val="18"/>
              <w:lang w:val="en-GB" w:eastAsia="en-US"/>
            </w:rPr>
            <w:t>Continuity of the Services:</w:t>
          </w:r>
          <w:r>
            <w:rPr>
              <w:sz w:val="18"/>
              <w:szCs w:val="18"/>
              <w:lang w:val="en-US" w:eastAsia="en-US"/>
            </w:rPr>
            <w:tab/>
          </w:r>
          <w:hyperlink w:anchor="__RefHeading___Toc152725965">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2.3</w:t>
          </w:r>
          <w:r>
            <w:rPr>
              <w:b w:val="false"/>
              <w:sz w:val="18"/>
              <w:szCs w:val="18"/>
              <w:lang w:val="en-US" w:eastAsia="en-US"/>
            </w:rPr>
            <w:tab/>
          </w:r>
          <w:r>
            <w:rPr>
              <w:bCs/>
              <w:sz w:val="18"/>
              <w:szCs w:val="18"/>
              <w:lang w:val="en-GB" w:eastAsia="en-US"/>
            </w:rPr>
            <w:t>Execute the T&amp;T Plan within time and budget:</w:t>
          </w:r>
          <w:r>
            <w:rPr>
              <w:sz w:val="18"/>
              <w:szCs w:val="18"/>
              <w:lang w:val="en-US" w:eastAsia="en-US"/>
            </w:rPr>
            <w:tab/>
          </w:r>
          <w:hyperlink w:anchor="__RefHeading___Toc152725966">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3.</w:t>
          </w:r>
          <w:r>
            <w:rPr>
              <w:b w:val="false"/>
              <w:sz w:val="18"/>
              <w:szCs w:val="18"/>
              <w:lang w:val="en-US" w:eastAsia="en-US"/>
            </w:rPr>
            <w:tab/>
          </w:r>
          <w:r>
            <w:rPr>
              <w:bCs/>
              <w:sz w:val="18"/>
              <w:szCs w:val="18"/>
              <w:lang w:val="en-GB" w:eastAsia="en-US"/>
            </w:rPr>
            <w:t>SCOPE</w:t>
          </w:r>
          <w:r>
            <w:rPr>
              <w:sz w:val="18"/>
              <w:szCs w:val="18"/>
              <w:lang w:val="en-US" w:eastAsia="en-US"/>
            </w:rPr>
            <w:tab/>
          </w:r>
          <w:hyperlink w:anchor="__RefHeading___Toc152725967">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4.</w:t>
          </w:r>
          <w:r>
            <w:rPr>
              <w:b w:val="false"/>
              <w:sz w:val="18"/>
              <w:szCs w:val="18"/>
              <w:lang w:val="en-US" w:eastAsia="en-US"/>
            </w:rPr>
            <w:tab/>
          </w:r>
          <w:r>
            <w:rPr>
              <w:bCs/>
              <w:sz w:val="18"/>
              <w:szCs w:val="18"/>
              <w:lang w:val="en-GB" w:eastAsia="en-US"/>
            </w:rPr>
            <w:t>CONDITIONS &amp; STARTING POINTS</w:t>
          </w:r>
          <w:r>
            <w:rPr>
              <w:sz w:val="18"/>
              <w:szCs w:val="18"/>
              <w:lang w:val="en-US" w:eastAsia="en-US"/>
            </w:rPr>
            <w:tab/>
          </w:r>
          <w:hyperlink w:anchor="__RefHeading___Toc152725968">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5.</w:t>
          </w:r>
          <w:r>
            <w:rPr>
              <w:b w:val="false"/>
              <w:sz w:val="18"/>
              <w:szCs w:val="18"/>
              <w:lang w:val="en-US" w:eastAsia="en-US"/>
            </w:rPr>
            <w:tab/>
          </w:r>
          <w:r>
            <w:rPr>
              <w:bCs/>
              <w:sz w:val="18"/>
              <w:szCs w:val="18"/>
              <w:lang w:val="en-GB" w:eastAsia="en-US"/>
            </w:rPr>
            <w:t>OVERALL PHASING</w:t>
          </w:r>
          <w:r>
            <w:rPr>
              <w:sz w:val="18"/>
              <w:szCs w:val="18"/>
              <w:lang w:val="en-US" w:eastAsia="en-US"/>
            </w:rPr>
            <w:tab/>
          </w:r>
          <w:hyperlink w:anchor="__RefHeading___Toc152725969">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5.1</w:t>
          </w:r>
          <w:r>
            <w:rPr>
              <w:b w:val="false"/>
              <w:sz w:val="18"/>
              <w:szCs w:val="18"/>
              <w:lang w:val="en-US" w:eastAsia="en-US"/>
            </w:rPr>
            <w:tab/>
          </w:r>
          <w:r>
            <w:rPr>
              <w:bCs/>
              <w:sz w:val="18"/>
              <w:szCs w:val="18"/>
              <w:lang w:val="en-GB" w:eastAsia="en-US"/>
            </w:rPr>
            <w:t>HR Preparation Phase</w:t>
          </w:r>
          <w:r>
            <w:rPr>
              <w:sz w:val="18"/>
              <w:szCs w:val="18"/>
              <w:lang w:val="en-US" w:eastAsia="en-US"/>
            </w:rPr>
            <w:tab/>
          </w:r>
          <w:hyperlink w:anchor="__RefHeading___Toc152725970">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5.2</w:t>
          </w:r>
          <w:r>
            <w:rPr>
              <w:b w:val="false"/>
              <w:sz w:val="18"/>
              <w:szCs w:val="18"/>
              <w:lang w:val="en-US" w:eastAsia="en-US"/>
            </w:rPr>
            <w:tab/>
          </w:r>
          <w:r>
            <w:rPr>
              <w:bCs/>
              <w:sz w:val="18"/>
              <w:szCs w:val="18"/>
              <w:lang w:val="en-GB" w:eastAsia="en-US"/>
            </w:rPr>
            <w:t>Preparation Phase</w:t>
          </w:r>
          <w:r>
            <w:rPr>
              <w:sz w:val="18"/>
              <w:szCs w:val="18"/>
              <w:lang w:val="en-US" w:eastAsia="en-US"/>
            </w:rPr>
            <w:tab/>
          </w:r>
          <w:hyperlink w:anchor="__RefHeading___Toc152725971">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5.3</w:t>
          </w:r>
          <w:r>
            <w:rPr>
              <w:b w:val="false"/>
              <w:sz w:val="18"/>
              <w:szCs w:val="18"/>
              <w:lang w:val="en-US" w:eastAsia="en-US"/>
            </w:rPr>
            <w:tab/>
          </w:r>
          <w:r>
            <w:rPr>
              <w:bCs/>
              <w:sz w:val="18"/>
              <w:szCs w:val="18"/>
              <w:lang w:val="en-GB" w:eastAsia="en-US"/>
            </w:rPr>
            <w:t>Transition Phase</w:t>
          </w:r>
          <w:r>
            <w:rPr>
              <w:sz w:val="18"/>
              <w:szCs w:val="18"/>
              <w:lang w:val="en-US" w:eastAsia="en-US"/>
            </w:rPr>
            <w:tab/>
          </w:r>
          <w:hyperlink w:anchor="__RefHeading___Toc152725972">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US" w:eastAsia="en-US"/>
            </w:rPr>
            <w:t>5.4</w:t>
          </w:r>
          <w:r>
            <w:rPr>
              <w:b w:val="false"/>
              <w:sz w:val="18"/>
              <w:szCs w:val="18"/>
              <w:lang w:val="en-US" w:eastAsia="en-US"/>
            </w:rPr>
            <w:tab/>
          </w:r>
          <w:r>
            <w:rPr>
              <w:bCs/>
              <w:sz w:val="18"/>
              <w:szCs w:val="18"/>
              <w:lang w:val="en-US" w:eastAsia="en-US"/>
            </w:rPr>
            <w:t>Transformation Phase (“</w:t>
          </w:r>
          <w:r>
            <w:rPr>
              <w:bCs/>
              <w:i/>
              <w:sz w:val="18"/>
              <w:szCs w:val="18"/>
              <w:lang w:val="en-US" w:eastAsia="en-US"/>
            </w:rPr>
            <w:t>T&amp;T Projects</w:t>
          </w:r>
          <w:r>
            <w:rPr>
              <w:bCs/>
              <w:sz w:val="18"/>
              <w:szCs w:val="18"/>
              <w:lang w:val="en-US" w:eastAsia="en-US"/>
            </w:rPr>
            <w:t>”):</w:t>
          </w:r>
          <w:r>
            <w:rPr>
              <w:sz w:val="18"/>
              <w:szCs w:val="18"/>
              <w:lang w:val="en-US" w:eastAsia="en-US"/>
            </w:rPr>
            <w:tab/>
          </w:r>
          <w:hyperlink w:anchor="__RefHeading___Toc152725973">
            <w:r>
              <w:rPr>
                <w:rStyle w:val="IndexLink"/>
                <w:sz w:val="18"/>
                <w:szCs w:val="18"/>
                <w:lang w:val="en-US" w:eastAsia="en-US"/>
              </w:rPr>
              <w:t>6</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6.</w:t>
          </w:r>
          <w:r>
            <w:rPr>
              <w:b w:val="false"/>
              <w:sz w:val="18"/>
              <w:szCs w:val="18"/>
              <w:lang w:val="en-US" w:eastAsia="en-US"/>
            </w:rPr>
            <w:tab/>
          </w:r>
          <w:r>
            <w:rPr>
              <w:bCs/>
              <w:sz w:val="18"/>
              <w:szCs w:val="18"/>
              <w:lang w:val="en-GB" w:eastAsia="en-US"/>
            </w:rPr>
            <w:t>STREAMS OVERVIEW</w:t>
          </w:r>
          <w:r>
            <w:rPr>
              <w:sz w:val="18"/>
              <w:szCs w:val="18"/>
              <w:lang w:val="en-US" w:eastAsia="en-US"/>
            </w:rPr>
            <w:tab/>
          </w:r>
          <w:hyperlink w:anchor="__RefHeading___Toc152725974">
            <w:r>
              <w:rPr>
                <w:rStyle w:val="IndexLink"/>
                <w:sz w:val="18"/>
                <w:szCs w:val="18"/>
                <w:lang w:val="en-US" w:eastAsia="en-US"/>
              </w:rPr>
              <w:t>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6.1</w:t>
          </w:r>
          <w:r>
            <w:rPr>
              <w:b w:val="false"/>
              <w:sz w:val="18"/>
              <w:szCs w:val="18"/>
              <w:lang w:val="en-US" w:eastAsia="en-US"/>
            </w:rPr>
            <w:tab/>
          </w:r>
          <w:r>
            <w:rPr>
              <w:bCs/>
              <w:sz w:val="18"/>
              <w:szCs w:val="18"/>
              <w:lang w:val="en-GB" w:eastAsia="en-US"/>
            </w:rPr>
            <w:t>T&amp;T Program Management Stream:</w:t>
          </w:r>
          <w:r>
            <w:rPr>
              <w:sz w:val="18"/>
              <w:szCs w:val="18"/>
              <w:lang w:val="en-US" w:eastAsia="en-US"/>
            </w:rPr>
            <w:tab/>
          </w:r>
          <w:hyperlink w:anchor="__RefHeading___Toc152725975">
            <w:r>
              <w:rPr>
                <w:rStyle w:val="IndexLink"/>
                <w:sz w:val="18"/>
                <w:szCs w:val="18"/>
                <w:lang w:val="en-US" w:eastAsia="en-US"/>
              </w:rPr>
              <w:t>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6.2</w:t>
          </w:r>
          <w:r>
            <w:rPr>
              <w:b w:val="false"/>
              <w:sz w:val="18"/>
              <w:szCs w:val="18"/>
              <w:lang w:val="en-US" w:eastAsia="en-US"/>
            </w:rPr>
            <w:tab/>
          </w:r>
          <w:r>
            <w:rPr>
              <w:bCs/>
              <w:sz w:val="18"/>
              <w:szCs w:val="18"/>
              <w:lang w:val="en-GB" w:eastAsia="en-US"/>
            </w:rPr>
            <w:t>Service Management Stream:</w:t>
          </w:r>
          <w:r>
            <w:rPr>
              <w:sz w:val="18"/>
              <w:szCs w:val="18"/>
              <w:lang w:val="en-US" w:eastAsia="en-US"/>
            </w:rPr>
            <w:tab/>
          </w:r>
          <w:hyperlink w:anchor="__RefHeading___Toc152725976">
            <w:r>
              <w:rPr>
                <w:rStyle w:val="IndexLink"/>
                <w:sz w:val="18"/>
                <w:szCs w:val="18"/>
                <w:lang w:val="en-US" w:eastAsia="en-US"/>
              </w:rPr>
              <w:t>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6.3</w:t>
          </w:r>
          <w:r>
            <w:rPr>
              <w:b w:val="false"/>
              <w:sz w:val="18"/>
              <w:szCs w:val="18"/>
              <w:lang w:val="en-US" w:eastAsia="en-US"/>
            </w:rPr>
            <w:tab/>
          </w:r>
          <w:r>
            <w:rPr>
              <w:bCs/>
              <w:sz w:val="18"/>
              <w:szCs w:val="18"/>
              <w:lang w:val="en-GB" w:eastAsia="en-US"/>
            </w:rPr>
            <w:t>Unit Operation Stream:</w:t>
          </w:r>
          <w:r>
            <w:rPr>
              <w:sz w:val="18"/>
              <w:szCs w:val="18"/>
              <w:lang w:val="en-US" w:eastAsia="en-US"/>
            </w:rPr>
            <w:tab/>
          </w:r>
          <w:hyperlink w:anchor="__RefHeading___Toc152725977">
            <w:r>
              <w:rPr>
                <w:rStyle w:val="IndexLink"/>
                <w:sz w:val="18"/>
                <w:szCs w:val="18"/>
                <w:lang w:val="en-US" w:eastAsia="en-US"/>
              </w:rPr>
              <w:t>8</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6.4</w:t>
          </w:r>
          <w:r>
            <w:rPr>
              <w:b w:val="false"/>
              <w:sz w:val="18"/>
              <w:szCs w:val="18"/>
              <w:lang w:val="en-US" w:eastAsia="en-US"/>
            </w:rPr>
            <w:tab/>
          </w:r>
          <w:r>
            <w:rPr>
              <w:bCs/>
              <w:sz w:val="18"/>
              <w:szCs w:val="18"/>
              <w:lang w:val="en-GB" w:eastAsia="en-US"/>
            </w:rPr>
            <w:t>Communication Stream:</w:t>
          </w:r>
          <w:r>
            <w:rPr>
              <w:sz w:val="18"/>
              <w:szCs w:val="18"/>
              <w:lang w:val="en-US" w:eastAsia="en-US"/>
            </w:rPr>
            <w:tab/>
          </w:r>
          <w:hyperlink w:anchor="__RefHeading___Toc152725978">
            <w:r>
              <w:rPr>
                <w:rStyle w:val="IndexLink"/>
                <w:sz w:val="18"/>
                <w:szCs w:val="18"/>
                <w:lang w:val="en-US" w:eastAsia="en-US"/>
              </w:rPr>
              <w:t>8</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6.5</w:t>
          </w:r>
          <w:r>
            <w:rPr>
              <w:b w:val="false"/>
              <w:sz w:val="18"/>
              <w:szCs w:val="18"/>
              <w:lang w:val="en-US" w:eastAsia="en-US"/>
            </w:rPr>
            <w:tab/>
          </w:r>
          <w:r>
            <w:rPr>
              <w:bCs/>
              <w:sz w:val="18"/>
              <w:szCs w:val="18"/>
              <w:lang w:val="en-GB" w:eastAsia="en-US"/>
            </w:rPr>
            <w:t>Finance and Contract Management Stream:</w:t>
          </w:r>
          <w:r>
            <w:rPr>
              <w:sz w:val="18"/>
              <w:szCs w:val="18"/>
              <w:lang w:val="en-US" w:eastAsia="en-US"/>
            </w:rPr>
            <w:tab/>
          </w:r>
          <w:hyperlink w:anchor="__RefHeading___Toc152725979">
            <w:r>
              <w:rPr>
                <w:rStyle w:val="IndexLink"/>
                <w:sz w:val="18"/>
                <w:szCs w:val="18"/>
                <w:lang w:val="en-US" w:eastAsia="en-US"/>
              </w:rPr>
              <w:t>8</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6.6</w:t>
          </w:r>
          <w:r>
            <w:rPr>
              <w:b w:val="false"/>
              <w:sz w:val="18"/>
              <w:szCs w:val="18"/>
              <w:lang w:val="en-US" w:eastAsia="en-US"/>
            </w:rPr>
            <w:tab/>
          </w:r>
          <w:r>
            <w:rPr>
              <w:bCs/>
              <w:sz w:val="18"/>
              <w:szCs w:val="18"/>
              <w:lang w:val="en-GB" w:eastAsia="en-US"/>
            </w:rPr>
            <w:t>People Transfer / HR Stream:</w:t>
          </w:r>
          <w:r>
            <w:rPr>
              <w:sz w:val="18"/>
              <w:szCs w:val="18"/>
              <w:lang w:val="en-US" w:eastAsia="en-US"/>
            </w:rPr>
            <w:tab/>
          </w:r>
          <w:hyperlink w:anchor="__RefHeading___Toc152725980">
            <w:r>
              <w:rPr>
                <w:rStyle w:val="IndexLink"/>
                <w:sz w:val="18"/>
                <w:szCs w:val="18"/>
                <w:lang w:val="en-US" w:eastAsia="en-US"/>
              </w:rPr>
              <w:t>8</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6.7</w:t>
          </w:r>
          <w:r>
            <w:rPr>
              <w:b w:val="false"/>
              <w:sz w:val="18"/>
              <w:szCs w:val="18"/>
              <w:lang w:val="en-US" w:eastAsia="en-US"/>
            </w:rPr>
            <w:tab/>
          </w:r>
          <w:r>
            <w:rPr>
              <w:bCs/>
              <w:sz w:val="18"/>
              <w:szCs w:val="18"/>
              <w:lang w:val="en-GB" w:eastAsia="en-US"/>
            </w:rPr>
            <w:t>Knowledge Transfer Stream:</w:t>
          </w:r>
          <w:r>
            <w:rPr>
              <w:sz w:val="18"/>
              <w:szCs w:val="18"/>
              <w:lang w:val="en-US" w:eastAsia="en-US"/>
            </w:rPr>
            <w:tab/>
          </w:r>
          <w:hyperlink w:anchor="__RefHeading___Toc152725981">
            <w:r>
              <w:rPr>
                <w:rStyle w:val="IndexLink"/>
                <w:sz w:val="18"/>
                <w:szCs w:val="18"/>
                <w:lang w:val="en-US" w:eastAsia="en-US"/>
              </w:rPr>
              <w:t>8</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6.8</w:t>
          </w:r>
          <w:r>
            <w:rPr>
              <w:b w:val="false"/>
              <w:sz w:val="18"/>
              <w:szCs w:val="18"/>
              <w:lang w:val="en-US" w:eastAsia="en-US"/>
            </w:rPr>
            <w:tab/>
          </w:r>
          <w:r>
            <w:rPr>
              <w:bCs/>
              <w:sz w:val="18"/>
              <w:szCs w:val="18"/>
              <w:lang w:val="en-GB" w:eastAsia="en-US"/>
            </w:rPr>
            <w:t>Security Stream</w:t>
          </w:r>
          <w:r>
            <w:rPr>
              <w:sz w:val="18"/>
              <w:szCs w:val="18"/>
              <w:lang w:val="en-US" w:eastAsia="en-US"/>
            </w:rPr>
            <w:tab/>
          </w:r>
          <w:hyperlink w:anchor="__RefHeading___Toc152725982">
            <w:r>
              <w:rPr>
                <w:rStyle w:val="IndexLink"/>
                <w:sz w:val="18"/>
                <w:szCs w:val="18"/>
                <w:lang w:val="en-US" w:eastAsia="en-US"/>
              </w:rPr>
              <w:t>8</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7.</w:t>
          </w:r>
          <w:r>
            <w:rPr>
              <w:b w:val="false"/>
              <w:sz w:val="18"/>
              <w:szCs w:val="18"/>
              <w:lang w:val="en-US" w:eastAsia="en-US"/>
            </w:rPr>
            <w:tab/>
          </w:r>
          <w:r>
            <w:rPr>
              <w:bCs/>
              <w:sz w:val="18"/>
              <w:szCs w:val="18"/>
              <w:lang w:val="en-GB" w:eastAsia="en-US"/>
            </w:rPr>
            <w:t>“FROM AS TO BE” PROJECT AND MANDATORY PROJECTS OVERVIEW</w:t>
          </w:r>
          <w:r>
            <w:rPr>
              <w:sz w:val="18"/>
              <w:szCs w:val="18"/>
              <w:lang w:val="en-US" w:eastAsia="en-US"/>
            </w:rPr>
            <w:tab/>
          </w:r>
          <w:hyperlink w:anchor="__RefHeading___Toc152725983">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7.1</w:t>
          </w:r>
          <w:r>
            <w:rPr>
              <w:b w:val="false"/>
              <w:sz w:val="18"/>
              <w:szCs w:val="18"/>
              <w:lang w:val="en-US" w:eastAsia="en-US"/>
            </w:rPr>
            <w:tab/>
          </w:r>
          <w:r>
            <w:rPr>
              <w:bCs/>
              <w:sz w:val="18"/>
              <w:szCs w:val="18"/>
              <w:lang w:val="en-GB" w:eastAsia="en-US"/>
            </w:rPr>
            <w:t>From As to Be</w:t>
          </w:r>
          <w:r>
            <w:rPr>
              <w:sz w:val="18"/>
              <w:szCs w:val="18"/>
              <w:lang w:val="en-US" w:eastAsia="en-US"/>
            </w:rPr>
            <w:tab/>
          </w:r>
          <w:hyperlink w:anchor="__RefHeading___Toc152725984">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7.2</w:t>
          </w:r>
          <w:r>
            <w:rPr>
              <w:b w:val="false"/>
              <w:sz w:val="18"/>
              <w:szCs w:val="18"/>
              <w:lang w:val="en-US" w:eastAsia="en-US"/>
            </w:rPr>
            <w:tab/>
          </w:r>
          <w:r>
            <w:rPr>
              <w:bCs/>
              <w:sz w:val="18"/>
              <w:szCs w:val="18"/>
              <w:lang w:val="en-GB" w:eastAsia="en-US"/>
            </w:rPr>
            <w:t>Mandatory Projects:</w:t>
          </w:r>
          <w:r>
            <w:rPr>
              <w:sz w:val="18"/>
              <w:szCs w:val="18"/>
              <w:lang w:val="en-US" w:eastAsia="en-US"/>
            </w:rPr>
            <w:tab/>
          </w:r>
          <w:hyperlink w:anchor="__RefHeading___Toc152725985">
            <w:r>
              <w:rPr>
                <w:rStyle w:val="IndexLink"/>
                <w:sz w:val="18"/>
                <w:szCs w:val="18"/>
                <w:lang w:val="en-US" w:eastAsia="en-US"/>
              </w:rPr>
              <w:t>10</w:t>
            </w:r>
          </w:hyperlink>
        </w:p>
        <w:p>
          <w:pPr>
            <w:pStyle w:val="TOC3"/>
            <w:tabs>
              <w:tab w:val="clear" w:pos="720"/>
              <w:tab w:val="left" w:pos="1320" w:leader="none"/>
              <w:tab w:val="right" w:pos="8441" w:leader="dot"/>
            </w:tabs>
            <w:rPr>
              <w:sz w:val="18"/>
              <w:szCs w:val="18"/>
              <w:lang w:val="en-US" w:eastAsia="en-US"/>
            </w:rPr>
          </w:pPr>
          <w:r>
            <w:rPr>
              <w:sz w:val="18"/>
              <w:szCs w:val="18"/>
              <w:lang w:val="en-GB" w:eastAsia="en-US"/>
            </w:rPr>
            <w:t>7.2.1</w:t>
          </w:r>
          <w:r>
            <w:rPr>
              <w:sz w:val="18"/>
              <w:szCs w:val="18"/>
              <w:lang w:val="en-US" w:eastAsia="en-US"/>
            </w:rPr>
            <w:tab/>
          </w:r>
          <w:r>
            <w:rPr>
              <w:sz w:val="18"/>
              <w:szCs w:val="18"/>
              <w:lang w:val="en-GB" w:eastAsia="en-US"/>
            </w:rPr>
            <w:t>Service Portal (Atos Origin)</w:t>
          </w:r>
          <w:r>
            <w:rPr>
              <w:sz w:val="18"/>
              <w:szCs w:val="18"/>
              <w:lang w:val="en-US" w:eastAsia="en-US"/>
            </w:rPr>
            <w:tab/>
          </w:r>
          <w:hyperlink w:anchor="__RefHeading___Toc152725986">
            <w:r>
              <w:rPr>
                <w:rStyle w:val="IndexLink"/>
                <w:sz w:val="18"/>
                <w:szCs w:val="18"/>
                <w:lang w:val="en-US" w:eastAsia="en-US"/>
              </w:rPr>
              <w:t>10</w:t>
            </w:r>
          </w:hyperlink>
        </w:p>
        <w:p>
          <w:pPr>
            <w:pStyle w:val="TOC3"/>
            <w:tabs>
              <w:tab w:val="clear" w:pos="720"/>
              <w:tab w:val="left" w:pos="1320" w:leader="none"/>
              <w:tab w:val="right" w:pos="8441" w:leader="dot"/>
            </w:tabs>
            <w:rPr>
              <w:sz w:val="18"/>
              <w:szCs w:val="18"/>
              <w:lang w:val="en-US" w:eastAsia="en-US"/>
            </w:rPr>
          </w:pPr>
          <w:r>
            <w:rPr>
              <w:bCs/>
              <w:sz w:val="18"/>
              <w:szCs w:val="18"/>
              <w:lang w:val="en-GB" w:eastAsia="en-US"/>
            </w:rPr>
            <w:t>7.2.2</w:t>
          </w:r>
          <w:r>
            <w:rPr>
              <w:sz w:val="18"/>
              <w:szCs w:val="18"/>
              <w:lang w:val="en-US" w:eastAsia="en-US"/>
            </w:rPr>
            <w:tab/>
          </w:r>
          <w:r>
            <w:rPr>
              <w:bCs/>
              <w:sz w:val="18"/>
              <w:szCs w:val="18"/>
              <w:lang w:val="en-GB" w:eastAsia="en-US"/>
            </w:rPr>
            <w:t>ING Meta Directory Services Enhancement (Atos Origin)</w:t>
          </w:r>
          <w:r>
            <w:rPr>
              <w:sz w:val="18"/>
              <w:szCs w:val="18"/>
              <w:lang w:val="en-US" w:eastAsia="en-US"/>
            </w:rPr>
            <w:tab/>
          </w:r>
          <w:hyperlink w:anchor="__RefHeading___Toc152725987">
            <w:r>
              <w:rPr>
                <w:rStyle w:val="IndexLink"/>
                <w:sz w:val="18"/>
                <w:szCs w:val="18"/>
                <w:lang w:val="en-US" w:eastAsia="en-US"/>
              </w:rPr>
              <w:t>11</w:t>
            </w:r>
          </w:hyperlink>
        </w:p>
        <w:p>
          <w:pPr>
            <w:pStyle w:val="TOC3"/>
            <w:tabs>
              <w:tab w:val="clear" w:pos="720"/>
              <w:tab w:val="left" w:pos="1320" w:leader="none"/>
              <w:tab w:val="right" w:pos="8441" w:leader="dot"/>
            </w:tabs>
            <w:rPr>
              <w:sz w:val="18"/>
              <w:szCs w:val="18"/>
              <w:lang w:val="en-US" w:eastAsia="en-US"/>
            </w:rPr>
          </w:pPr>
          <w:r>
            <w:rPr>
              <w:bCs/>
              <w:sz w:val="18"/>
              <w:szCs w:val="18"/>
              <w:lang w:val="en-GB" w:eastAsia="en-US"/>
            </w:rPr>
            <w:t>7.2.3</w:t>
          </w:r>
          <w:r>
            <w:rPr>
              <w:sz w:val="18"/>
              <w:szCs w:val="18"/>
              <w:lang w:val="en-US" w:eastAsia="en-US"/>
            </w:rPr>
            <w:tab/>
          </w:r>
          <w:r>
            <w:rPr>
              <w:bCs/>
              <w:sz w:val="18"/>
              <w:szCs w:val="18"/>
              <w:lang w:val="en-GB" w:eastAsia="en-US"/>
            </w:rPr>
            <w:t>PBX Release Policy (N-1) (KPN)</w:t>
          </w:r>
          <w:r>
            <w:rPr>
              <w:sz w:val="18"/>
              <w:szCs w:val="18"/>
              <w:lang w:val="en-US" w:eastAsia="en-US"/>
            </w:rPr>
            <w:tab/>
          </w:r>
          <w:hyperlink w:anchor="__RefHeading___Toc152725988">
            <w:r>
              <w:rPr>
                <w:rStyle w:val="IndexLink"/>
                <w:sz w:val="18"/>
                <w:szCs w:val="18"/>
                <w:lang w:val="en-US" w:eastAsia="en-US"/>
              </w:rPr>
              <w:t>12</w:t>
            </w:r>
          </w:hyperlink>
        </w:p>
        <w:p>
          <w:pPr>
            <w:pStyle w:val="TOC3"/>
            <w:tabs>
              <w:tab w:val="clear" w:pos="720"/>
              <w:tab w:val="left" w:pos="1320" w:leader="none"/>
              <w:tab w:val="right" w:pos="8441" w:leader="dot"/>
            </w:tabs>
            <w:rPr>
              <w:sz w:val="18"/>
              <w:szCs w:val="18"/>
              <w:lang w:val="fr-FR" w:eastAsia="en-US"/>
            </w:rPr>
          </w:pPr>
          <w:r>
            <w:rPr>
              <w:bCs/>
              <w:sz w:val="18"/>
              <w:szCs w:val="18"/>
              <w:lang w:val="fr-FR" w:eastAsia="en-US"/>
            </w:rPr>
            <w:t>7.2.4</w:t>
          </w:r>
          <w:r>
            <w:rPr>
              <w:sz w:val="18"/>
              <w:szCs w:val="18"/>
              <w:lang w:val="fr-FR" w:eastAsia="en-US"/>
            </w:rPr>
            <w:tab/>
          </w:r>
          <w:r>
            <w:rPr>
              <w:bCs/>
              <w:sz w:val="18"/>
              <w:szCs w:val="18"/>
              <w:lang w:val="fr-FR" w:eastAsia="en-US"/>
            </w:rPr>
            <w:t>BCP/DR Transformation Project (Accenture)</w:t>
          </w:r>
          <w:r>
            <w:rPr>
              <w:sz w:val="18"/>
              <w:szCs w:val="18"/>
              <w:lang w:val="fr-FR" w:eastAsia="en-US"/>
            </w:rPr>
            <w:tab/>
          </w:r>
          <w:hyperlink w:anchor="__RefHeading___Toc152725989">
            <w:r>
              <w:rPr>
                <w:rStyle w:val="IndexLink"/>
                <w:sz w:val="18"/>
                <w:szCs w:val="18"/>
                <w:lang w:val="fr-FR" w:eastAsia="en-US"/>
              </w:rPr>
              <w:t>12</w:t>
            </w:r>
          </w:hyperlink>
        </w:p>
        <w:p>
          <w:pPr>
            <w:pStyle w:val="TOC3"/>
            <w:tabs>
              <w:tab w:val="clear" w:pos="720"/>
              <w:tab w:val="left" w:pos="1320" w:leader="none"/>
              <w:tab w:val="right" w:pos="8441" w:leader="dot"/>
            </w:tabs>
            <w:rPr>
              <w:sz w:val="18"/>
              <w:szCs w:val="18"/>
              <w:lang w:val="en-US" w:eastAsia="en-US"/>
            </w:rPr>
          </w:pPr>
          <w:r>
            <w:rPr>
              <w:bCs/>
              <w:sz w:val="18"/>
              <w:szCs w:val="18"/>
              <w:lang w:val="en-GB" w:eastAsia="en-US"/>
            </w:rPr>
            <w:t>7.2.5</w:t>
          </w:r>
          <w:r>
            <w:rPr>
              <w:sz w:val="18"/>
              <w:szCs w:val="18"/>
              <w:lang w:val="en-US" w:eastAsia="en-US"/>
            </w:rPr>
            <w:tab/>
          </w:r>
          <w:r>
            <w:rPr>
              <w:bCs/>
              <w:sz w:val="18"/>
              <w:szCs w:val="18"/>
              <w:lang w:val="en-GB" w:eastAsia="en-US"/>
            </w:rPr>
            <w:t>Service Desk Consolidation and Near-Shore Project (Getronics)</w:t>
          </w:r>
          <w:r>
            <w:rPr>
              <w:sz w:val="18"/>
              <w:szCs w:val="18"/>
              <w:lang w:val="en-US" w:eastAsia="en-US"/>
            </w:rPr>
            <w:tab/>
          </w:r>
          <w:hyperlink w:anchor="__RefHeading___Toc152725990">
            <w:r>
              <w:rPr>
                <w:rStyle w:val="IndexLink"/>
                <w:sz w:val="18"/>
                <w:szCs w:val="18"/>
                <w:lang w:val="en-US" w:eastAsia="en-US"/>
              </w:rPr>
              <w:t>13</w:t>
            </w:r>
          </w:hyperlink>
        </w:p>
        <w:p>
          <w:pPr>
            <w:pStyle w:val="TOC3"/>
            <w:tabs>
              <w:tab w:val="clear" w:pos="720"/>
              <w:tab w:val="left" w:pos="1320" w:leader="none"/>
              <w:tab w:val="right" w:pos="8441" w:leader="dot"/>
            </w:tabs>
            <w:rPr>
              <w:sz w:val="18"/>
              <w:szCs w:val="18"/>
              <w:lang w:val="en-US" w:eastAsia="en-US"/>
            </w:rPr>
          </w:pPr>
          <w:r>
            <w:rPr>
              <w:bCs/>
              <w:sz w:val="18"/>
              <w:szCs w:val="18"/>
              <w:lang w:val="en-GB" w:eastAsia="en-US"/>
            </w:rPr>
            <w:t>7.2.6</w:t>
          </w:r>
          <w:r>
            <w:rPr>
              <w:sz w:val="18"/>
              <w:szCs w:val="18"/>
              <w:lang w:val="en-US" w:eastAsia="en-US"/>
            </w:rPr>
            <w:tab/>
          </w:r>
          <w:r>
            <w:rPr>
              <w:bCs/>
              <w:sz w:val="18"/>
              <w:szCs w:val="18"/>
              <w:lang w:val="en-GB" w:eastAsia="en-US"/>
            </w:rPr>
            <w:t>Security/Compliance Project (Accenture)</w:t>
          </w:r>
          <w:r>
            <w:rPr>
              <w:sz w:val="18"/>
              <w:szCs w:val="18"/>
              <w:lang w:val="en-US" w:eastAsia="en-US"/>
            </w:rPr>
            <w:tab/>
          </w:r>
          <w:hyperlink w:anchor="__RefHeading___Toc152725991">
            <w:r>
              <w:rPr>
                <w:rStyle w:val="IndexLink"/>
                <w:sz w:val="18"/>
                <w:szCs w:val="18"/>
                <w:lang w:val="en-US" w:eastAsia="en-US"/>
              </w:rPr>
              <w:t>13</w:t>
            </w:r>
          </w:hyperlink>
        </w:p>
        <w:p>
          <w:pPr>
            <w:pStyle w:val="TOC3"/>
            <w:tabs>
              <w:tab w:val="clear" w:pos="720"/>
              <w:tab w:val="left" w:pos="1320" w:leader="none"/>
              <w:tab w:val="right" w:pos="8441" w:leader="dot"/>
            </w:tabs>
            <w:rPr>
              <w:sz w:val="18"/>
              <w:szCs w:val="18"/>
              <w:lang w:val="en-US" w:eastAsia="en-US"/>
            </w:rPr>
          </w:pPr>
          <w:r>
            <w:rPr>
              <w:bCs/>
              <w:sz w:val="18"/>
              <w:szCs w:val="18"/>
              <w:lang w:val="en-GB" w:eastAsia="en-US"/>
            </w:rPr>
            <w:t>7.2.7</w:t>
          </w:r>
          <w:r>
            <w:rPr>
              <w:sz w:val="18"/>
              <w:szCs w:val="18"/>
              <w:lang w:val="en-US" w:eastAsia="en-US"/>
            </w:rPr>
            <w:tab/>
          </w:r>
          <w:r>
            <w:rPr>
              <w:bCs/>
              <w:sz w:val="18"/>
              <w:szCs w:val="18"/>
              <w:lang w:val="en-GB" w:eastAsia="en-US"/>
            </w:rPr>
            <w:t>2IM/ING Rules of Engagement (Accenture)</w:t>
          </w:r>
          <w:r>
            <w:rPr>
              <w:sz w:val="18"/>
              <w:szCs w:val="18"/>
              <w:lang w:val="en-US" w:eastAsia="en-US"/>
            </w:rPr>
            <w:tab/>
          </w:r>
          <w:hyperlink w:anchor="__RefHeading___Toc152725992">
            <w:r>
              <w:rPr>
                <w:rStyle w:val="IndexLink"/>
                <w:sz w:val="18"/>
                <w:szCs w:val="18"/>
                <w:lang w:val="en-US" w:eastAsia="en-US"/>
              </w:rPr>
              <w:t>14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8.</w:t>
          </w:r>
          <w:r>
            <w:rPr>
              <w:b w:val="false"/>
              <w:sz w:val="18"/>
              <w:szCs w:val="18"/>
              <w:lang w:val="en-US" w:eastAsia="en-US"/>
            </w:rPr>
            <w:tab/>
          </w:r>
          <w:r>
            <w:rPr>
              <w:bCs/>
              <w:sz w:val="18"/>
              <w:szCs w:val="18"/>
              <w:lang w:val="en-GB" w:eastAsia="en-US"/>
            </w:rPr>
            <w:t>OVERVIEW OF KEY MILESTONES/ KEY DELIVERABLES/ TIMING</w:t>
          </w:r>
          <w:r>
            <w:rPr>
              <w:sz w:val="18"/>
              <w:szCs w:val="18"/>
              <w:lang w:val="en-US" w:eastAsia="en-US"/>
            </w:rPr>
            <w:tab/>
          </w:r>
          <w:hyperlink w:anchor="__RefHeading___Toc152725993">
            <w:r>
              <w:rPr>
                <w:rStyle w:val="IndexLink"/>
                <w:sz w:val="18"/>
                <w:szCs w:val="18"/>
                <w:lang w:val="en-US" w:eastAsia="en-US"/>
              </w:rPr>
              <w:t>14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9.</w:t>
          </w:r>
          <w:r>
            <w:rPr>
              <w:b w:val="false"/>
              <w:sz w:val="18"/>
              <w:szCs w:val="18"/>
              <w:lang w:val="en-US" w:eastAsia="en-US"/>
            </w:rPr>
            <w:tab/>
          </w:r>
          <w:r>
            <w:rPr>
              <w:bCs/>
              <w:sz w:val="18"/>
              <w:szCs w:val="18"/>
              <w:lang w:val="en-GB" w:eastAsia="en-US"/>
            </w:rPr>
            <w:t>KEY RISKS</w:t>
          </w:r>
          <w:r>
            <w:rPr>
              <w:sz w:val="18"/>
              <w:szCs w:val="18"/>
              <w:lang w:val="en-US" w:eastAsia="en-US"/>
            </w:rPr>
            <w:tab/>
          </w:r>
          <w:hyperlink w:anchor="__RefHeading___Toc152725994">
            <w:r>
              <w:rPr>
                <w:rStyle w:val="IndexLink"/>
                <w:sz w:val="18"/>
                <w:szCs w:val="18"/>
                <w:lang w:val="en-US" w:eastAsia="en-US"/>
              </w:rPr>
              <w:t>15</w:t>
            </w:r>
          </w:hyperlink>
        </w:p>
        <w:p>
          <w:pPr>
            <w:pStyle w:val="TOC1"/>
            <w:tabs>
              <w:tab w:val="clear" w:pos="720"/>
              <w:tab w:val="left" w:pos="660" w:leader="none"/>
              <w:tab w:val="right" w:pos="8441" w:leader="dot"/>
            </w:tabs>
            <w:rPr>
              <w:sz w:val="18"/>
              <w:szCs w:val="18"/>
              <w:lang w:val="en-US" w:eastAsia="en-US"/>
            </w:rPr>
          </w:pPr>
          <w:r>
            <w:rPr>
              <w:b w:val="false"/>
              <w:bCs/>
              <w:sz w:val="18"/>
              <w:szCs w:val="18"/>
              <w:lang w:val="en-GB" w:eastAsia="en-US"/>
            </w:rPr>
            <w:t>10.</w:t>
          </w:r>
          <w:r>
            <w:rPr>
              <w:b w:val="false"/>
              <w:sz w:val="18"/>
              <w:szCs w:val="18"/>
              <w:lang w:val="en-US" w:eastAsia="en-US"/>
            </w:rPr>
            <w:tab/>
          </w:r>
          <w:r>
            <w:rPr>
              <w:b w:val="false"/>
              <w:bCs/>
              <w:sz w:val="18"/>
              <w:szCs w:val="18"/>
              <w:lang w:val="en-GB" w:eastAsia="en-US"/>
            </w:rPr>
            <w:t>T&amp;T ADJUSTMENTS</w:t>
          </w:r>
          <w:r>
            <w:rPr>
              <w:b w:val="false"/>
              <w:sz w:val="18"/>
              <w:szCs w:val="18"/>
              <w:lang w:val="en-US" w:eastAsia="en-US"/>
            </w:rPr>
            <w:tab/>
          </w:r>
          <w:hyperlink w:anchor="__RefHeading___Toc152725995">
            <w:r>
              <w:rPr>
                <w:rStyle w:val="IndexLink"/>
                <w:b w:val="false"/>
                <w:sz w:val="18"/>
                <w:szCs w:val="18"/>
                <w:lang w:val="en-US" w:eastAsia="en-US"/>
              </w:rPr>
              <w:t>18</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spacing w:before="0" w:after="0"/>
        <w:rPr>
          <w:lang w:val="en-GB"/>
        </w:rPr>
      </w:pPr>
      <w:r>
        <w:rPr>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0" w:name="__RefHeading___Toc152725962"/>
      <w:bookmarkEnd w:id="0"/>
      <w:r>
        <w:rPr>
          <w:sz w:val="22"/>
          <w:szCs w:val="22"/>
          <w:lang w:val="en-GB"/>
        </w:rPr>
        <w:t>INTRODUCTION</w:t>
      </w:r>
    </w:p>
    <w:p>
      <w:pPr>
        <w:pStyle w:val="Normal"/>
        <w:spacing w:before="0" w:after="0"/>
        <w:jc w:val="both"/>
        <w:rPr>
          <w:szCs w:val="22"/>
          <w:lang w:val="en-GB"/>
        </w:rPr>
      </w:pPr>
      <w:r>
        <w:rPr>
          <w:szCs w:val="22"/>
          <w:lang w:val="en-GB"/>
        </w:rPr>
        <w:t xml:space="preserve">This document details the transition and transformation activities in relation to the Services.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Goal of Transition and Transformation</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The transition and transformation program and activities described in this Exhibit and its Attachments (referred to as the “</w:t>
      </w:r>
      <w:r>
        <w:rPr>
          <w:b/>
          <w:i/>
          <w:szCs w:val="22"/>
          <w:lang w:val="en-GB"/>
        </w:rPr>
        <w:t>T&amp;T Program</w:t>
      </w:r>
      <w:r>
        <w:rPr>
          <w:szCs w:val="22"/>
          <w:lang w:val="en-GB"/>
        </w:rPr>
        <w:t>”) seeks to set up and stabilise the delivery of the Services by the PST Supplier as soon as possible during the Transformation Phase (and no later than the end of that phase) through a structured and integrated set of processes and activities to improve the quality in a cost efficient way.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This Exhibit is completed by three Attachments providing complementary information on:</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1)</w:t>
        <w:tab/>
        <w:t>30-A (</w:t>
      </w:r>
      <w:r>
        <w:rPr>
          <w:i/>
          <w:szCs w:val="22"/>
          <w:lang w:val="en-GB"/>
        </w:rPr>
        <w:t>Transition Plan</w:t>
      </w:r>
      <w:r>
        <w:rPr>
          <w:szCs w:val="22"/>
          <w:lang w:val="en-GB"/>
        </w:rPr>
        <w:t>)</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2)</w:t>
        <w:tab/>
        <w:t>30-B (</w:t>
      </w:r>
      <w:r>
        <w:rPr>
          <w:i/>
          <w:szCs w:val="22"/>
          <w:lang w:val="en-GB"/>
        </w:rPr>
        <w:t>Transformation Plan</w:t>
      </w:r>
      <w:r>
        <w:rPr>
          <w:szCs w:val="22"/>
          <w:lang w:val="en-GB"/>
        </w:rPr>
        <w:t>)</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3)</w:t>
        <w:tab/>
        <w:t>30-C (</w:t>
      </w:r>
      <w:r>
        <w:rPr>
          <w:i/>
          <w:szCs w:val="22"/>
          <w:lang w:val="en-GB"/>
        </w:rPr>
        <w:t>Roles and Responsibilities Matrix</w:t>
      </w:r>
      <w:r>
        <w:rPr>
          <w:szCs w:val="22"/>
          <w:lang w:val="en-GB"/>
        </w:rPr>
        <w: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timing requirements for the Key Milestones and Key Deliverables referred to in Attachments 30-A and 30-B are set out in section Section 8 of this Exhibit.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2IM, PST Suppliers and EuroBank shall each perform their obligations under the T&amp;T Program in accordance with the requirements of this Exhibit and its Attachments, including in accordance with the timing requirements set out in section Section 8 of this Exhibit.  The detailed allocation of responsibility for T&amp;T Program tasks amongst EuroBank, the 2IM and the PST Suppliers (including joint PST Member tasks which are now identified as PST Supplier tasks) shall be specified in the Detailed T&amp;T Plan.</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All T&amp;T Program activities, Deliverables to be delivered and Key Milestones to be performed solely by EuroBank with regards to the BC Plan, security and compliance are detailed at a high level in this Exhibit and in Attachments 30-A and 30-B.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All other T&amp;T Program activities, Deliverables to be delivered and Key Milestones to be performed by EuroBank will be agreed during the Preparation Phase and included in the Detailed T&amp;T Plan, as the parties acknowledge that not all EuroBank responsibilities are specified in this Exhibit.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All activities, Deliverables and Key Milestones mentioned in the Exhibit 2 (</w:t>
      </w:r>
      <w:r>
        <w:rPr>
          <w:i/>
          <w:szCs w:val="22"/>
          <w:lang w:val="en-GB"/>
        </w:rPr>
        <w:t>Statements of Work</w:t>
      </w:r>
      <w:r>
        <w:rPr>
          <w:szCs w:val="22"/>
          <w:lang w:val="en-GB"/>
        </w:rPr>
        <w:t>) will be delivered in the T&amp;T Program in accordance with this Exhibit.</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 w:name="__RefHeading___Toc152725963"/>
      <w:r>
        <w:rPr>
          <w:bCs/>
          <w:sz w:val="22"/>
          <w:lang w:val="en-GB"/>
        </w:rPr>
        <w:t>OBJECTIVES</w:t>
      </w:r>
      <w:bookmarkEnd w:id="1"/>
      <w:r>
        <w:rPr>
          <w:bCs/>
          <w:sz w:val="22"/>
          <w:lang w:val="en-GB"/>
        </w:rPr>
        <w:t xml:space="preserve"> </w:t>
      </w:r>
    </w:p>
    <w:p>
      <w:pPr>
        <w:pStyle w:val="Normal"/>
        <w:spacing w:before="0" w:after="0"/>
        <w:jc w:val="both"/>
        <w:rPr>
          <w:szCs w:val="22"/>
          <w:lang w:val="en-GB"/>
        </w:rPr>
      </w:pPr>
      <w:r>
        <w:rPr>
          <w:szCs w:val="22"/>
          <w:lang w:val="en-GB"/>
        </w:rPr>
        <w:t>The T&amp;T Program objectives can be distinguished in three main areas:</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2" w:name="__RefHeading___Toc152725964"/>
      <w:bookmarkEnd w:id="2"/>
      <w:r>
        <w:rPr>
          <w:sz w:val="22"/>
          <w:szCs w:val="22"/>
          <w:lang w:val="en-GB"/>
        </w:rPr>
        <w:t>Successful transfer of people and infused management:</w:t>
      </w:r>
    </w:p>
    <w:p>
      <w:pPr>
        <w:pStyle w:val="Normal"/>
        <w:spacing w:before="0" w:after="0"/>
        <w:jc w:val="both"/>
        <w:rPr/>
      </w:pPr>
      <w:r>
        <w:rPr>
          <w:szCs w:val="22"/>
          <w:lang w:val="en-GB"/>
        </w:rPr>
        <w:t>Smooth transfer of personnel is key for the success of sourcing. Experience shows that an approach based on “the human side” is the best way to keep the Affected Personnel motivated. The PST Supplier shall use combined best practices for this purpose, such as: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An elaborate communication plan, involving all possible stakeholders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Group and individual approach on changes in organisation, way of working, culture, career possibilities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A proven, detailed transition plan, including activities, checklists, requirements, deliverables, dependencies etc.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Maximize feelings of security and being welcome, integration in new organisation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Apply infused management (shadowing) for key positions from Effective Date, to facilitate knowledge transfer</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 w:name="__RefHeading___Toc152725965"/>
      <w:bookmarkEnd w:id="3"/>
      <w:r>
        <w:rPr>
          <w:bCs/>
          <w:sz w:val="22"/>
          <w:lang w:val="en-GB"/>
        </w:rPr>
        <w:t>Continuity of the Services:</w:t>
      </w:r>
    </w:p>
    <w:p>
      <w:pPr>
        <w:pStyle w:val="Normal"/>
        <w:spacing w:before="0" w:after="0"/>
        <w:jc w:val="both"/>
        <w:rPr>
          <w:szCs w:val="22"/>
          <w:lang w:val="en-GB"/>
        </w:rPr>
      </w:pPr>
      <w:r>
        <w:rPr>
          <w:szCs w:val="22"/>
          <w:lang w:val="en-GB"/>
        </w:rPr>
        <w:t xml:space="preserve">In order to guarantee Service delivery, the PST Supplier T&amp;T Team (defined in Attachment C) and the PST Supplier Service Delivery Team (defined in the Statements of Work) will work closely together with the retained EuroBank organization and the operational managers who will be transferred to the PST Supplier. Besides a warm welcome for all the Affected Employees, day one (and the next weeks) will be business as usual. In parallel the ‘new’ PST Supplier operating model will be implemented and gradually replace the current EuroBank model. </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 w:name="__RefHeading___Toc152725966"/>
      <w:bookmarkEnd w:id="4"/>
      <w:r>
        <w:rPr>
          <w:bCs/>
          <w:sz w:val="22"/>
          <w:lang w:val="en-GB"/>
        </w:rPr>
        <w:t>Execute the T&amp;T Plan within time and budget:</w:t>
      </w:r>
    </w:p>
    <w:p>
      <w:pPr>
        <w:pStyle w:val="Normal"/>
        <w:spacing w:before="0" w:after="0"/>
        <w:jc w:val="both"/>
        <w:rPr/>
      </w:pPr>
      <w:r>
        <w:rPr>
          <w:szCs w:val="22"/>
          <w:lang w:val="en-GB"/>
        </w:rPr>
        <w:t xml:space="preserve">During the Transition Phase and the Transformation Phase, many projects (including T&amp;T Projects) will be executed in parallel. EuroBank and the PST Supplier will carefully plan for and prepare these projects. Besides that, the Transition Program Management Stream (defined in the Transition Plan) will implement the T&amp;T Program Management Office and processes to control all T&amp;T Program activities and T&amp;T Projects from the start. Management of risk is an important part of the T&amp;T Program. Risk management is a continuous activity in the T&amp;T Program with the purpose of managing the program’s exposure to risk. The PST Supplier shall procure that risks will be identified and evaluated on a regular basis by its T&amp;T Manager(s).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In order to realise a successful T&amp;T Program, solid program management will be installed on both sides, EuroBank and the PST Supplier, under overall supervision of 2IM. This needs to be overall steered by a strong mandated EuroBank/PST Transition Steering Committee (as defined in Attachment 30-C (Roles and Responsibilities Matrix)). Overall a uniform approach, one T&amp;T Program management and one steering committee for all T&amp;T Program activities in Belgium and Netherlands will be in place.</w:t>
      </w:r>
      <w:r>
        <w:rPr>
          <w:i/>
          <w:szCs w:val="22"/>
          <w:lang w:val="en-GB"/>
        </w:rPr>
      </w:r>
      <w:r>
        <w:rPr>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5" w:name="__RefHeading___Toc152725967"/>
      <w:bookmarkEnd w:id="5"/>
      <w:r>
        <w:rPr>
          <w:bCs/>
          <w:sz w:val="22"/>
          <w:lang w:val="en-GB"/>
        </w:rPr>
        <w:t>SCOPE</w:t>
      </w:r>
    </w:p>
    <w:p>
      <w:pPr>
        <w:pStyle w:val="Normal"/>
        <w:spacing w:before="0" w:after="0"/>
        <w:jc w:val="both"/>
        <w:rPr>
          <w:szCs w:val="22"/>
          <w:lang w:val="en-GB"/>
        </w:rPr>
      </w:pPr>
      <w:r>
        <w:rPr>
          <w:szCs w:val="22"/>
          <w:lang w:val="en-GB"/>
        </w:rPr>
        <w:t>The scope for the T&amp;T Program is all Services, as described in this MSA.  If there is a more limited scope referred to in the T&amp;T Plan, the T&amp;T Plan will nevertheless apply to the full scope of Services described in this MSA.</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6" w:name="__RefHeading___Toc152725968"/>
      <w:bookmarkEnd w:id="6"/>
      <w:r>
        <w:rPr>
          <w:bCs/>
          <w:sz w:val="22"/>
          <w:lang w:val="en-GB"/>
        </w:rPr>
        <w:t>CONDITIONS &amp; STARTING POINTS</w:t>
      </w:r>
    </w:p>
    <w:p>
      <w:pPr>
        <w:pStyle w:val="Normal"/>
        <w:spacing w:before="0" w:after="0"/>
        <w:jc w:val="both"/>
        <w:rPr>
          <w:szCs w:val="22"/>
          <w:lang w:val="en-GB"/>
        </w:rPr>
      </w:pPr>
      <w:r>
        <w:rPr>
          <w:szCs w:val="22"/>
          <w:lang w:val="en-GB"/>
        </w:rPr>
        <w:t>The following conditions and starting points are distinguished.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w:t>
        <w:tab/>
        <w:t>The PST Supplier shall prepare and implement the T&amp;T Program in 4 phases: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a)</w:t>
        <w:tab/>
      </w:r>
      <w:r>
        <w:rPr>
          <w:b/>
          <w:szCs w:val="22"/>
          <w:lang w:val="en-GB"/>
        </w:rPr>
        <w:t>HR Preparation Phase</w:t>
      </w:r>
      <w:r>
        <w:rPr>
          <w:szCs w:val="22"/>
          <w:lang w:val="en-GB"/>
        </w:rPr>
        <w:t xml:space="preserve"> (commencing prior to the Effective Date)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b)</w:t>
        <w:tab/>
      </w:r>
      <w:r>
        <w:rPr>
          <w:b/>
          <w:szCs w:val="22"/>
          <w:lang w:val="en-GB"/>
        </w:rPr>
        <w:t>Preparation Phase</w:t>
      </w:r>
      <w:r>
        <w:rPr>
          <w:szCs w:val="22"/>
          <w:lang w:val="en-GB"/>
        </w:rPr>
        <w:t xml:space="preserve"> (commencing prior to the Effective Date)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r>
      <w:r>
        <w:rPr>
          <w:b/>
          <w:szCs w:val="22"/>
          <w:lang w:val="en-GB"/>
        </w:rPr>
        <w:t>Transition Phase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d)</w:t>
        <w:tab/>
      </w:r>
      <w:r>
        <w:rPr>
          <w:b/>
          <w:szCs w:val="22"/>
          <w:lang w:val="en-GB"/>
        </w:rPr>
        <w:t>Transformation Phase</w:t>
      </w:r>
      <w:r>
        <w:rPr>
          <w:szCs w:val="22"/>
          <w:lang w:val="en-GB"/>
        </w:rPr>
        <w:t xml:space="preserve"> </w:t>
      </w:r>
    </w:p>
    <w:p>
      <w:pPr>
        <w:pStyle w:val="Normal"/>
        <w:spacing w:before="0" w:after="0"/>
        <w:ind w:hanging="720" w:start="144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2)</w:t>
        <w:tab/>
        <w:t>The T&amp;T organisation detailed in Attachment 30-C (</w:t>
      </w:r>
      <w:r>
        <w:rPr>
          <w:i/>
          <w:szCs w:val="22"/>
          <w:lang w:val="en-GB"/>
        </w:rPr>
        <w:t>Roles and Responsibilities Matrix</w:t>
      </w:r>
      <w:r>
        <w:rPr>
          <w:szCs w:val="22"/>
          <w:lang w:val="en-GB"/>
        </w:rPr>
        <w:t xml:space="preserve">) will be responsible for T&amp;T Program activities during the Preparation Phase, the Transition Phase and the Transformation Phase (including the “From As to Be” Project).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3)</w:t>
        <w:tab/>
        <w:t xml:space="preserve">Key staff of the T&amp;T Program organisation will transfer to the PMO of the PST Supplier delivery organisation after the vast majority of the T&amp;T Projects have been finished (if required).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4)</w:t>
        <w:tab/>
        <w:t xml:space="preserve">Starting dates and duration for a number of key T&amp;T Program activities are shown in the picture in Section 5 below, the most important dates are: </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a.</w:t>
        <w:tab/>
        <w:t>MOU signed on Month 0 (this month being Month M in this Exhibit and its Attachments)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b.</w:t>
        <w:tab/>
        <w:t>Preparation Phase starts at MOU signature date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t>Effective Date expected within Month M + 6</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d.</w:t>
        <w:tab/>
        <w:t>Start of Transition Phase is from the Effective Date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e.</w:t>
        <w:tab/>
        <w:t>Commencement Date is on March 1</w:t>
      </w:r>
      <w:r>
        <w:rPr>
          <w:szCs w:val="22"/>
          <w:vertAlign w:val="superscript"/>
          <w:lang w:val="en-GB"/>
        </w:rPr>
        <w:t>st</w:t>
      </w:r>
      <w:r>
        <w:rPr>
          <w:szCs w:val="22"/>
          <w:lang w:val="en-GB"/>
        </w:rPr>
        <w:t xml:space="preserve">, 2007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f.</w:t>
        <w:tab/>
        <w:t>Duration of the Transition Phase + “From As to Be” Project  =  10 months (counting from the 1</w:t>
      </w:r>
      <w:r>
        <w:rPr>
          <w:szCs w:val="22"/>
          <w:vertAlign w:val="superscript"/>
          <w:lang w:val="en-GB"/>
        </w:rPr>
        <w:t>st</w:t>
      </w:r>
      <w:r>
        <w:rPr>
          <w:szCs w:val="22"/>
          <w:lang w:val="en-GB"/>
        </w:rPr>
        <w:t xml:space="preserve"> of the month of the Effective Date)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g.</w:t>
        <w:tab/>
        <w:t>Start of HR related activities (being the start of the “</w:t>
      </w:r>
      <w:r>
        <w:rPr>
          <w:b/>
          <w:i/>
          <w:szCs w:val="22"/>
          <w:lang w:val="en-GB"/>
        </w:rPr>
        <w:t>HR Preparation Phase</w:t>
      </w:r>
      <w:r>
        <w:rPr>
          <w:szCs w:val="22"/>
          <w:lang w:val="en-GB"/>
        </w:rPr>
        <w:t>”) is on Month M – 1. The HR Preparation Phase lasts until MOU signature (Month M) and any outstanding work is then absorbed in the Preparation Phase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h.</w:t>
        <w:tab/>
        <w:t xml:space="preserve">People transfer takes place on Commencement Date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Third Party Contract transfers shall take effect from Commencement Date in accordance with Exhibit 12 (Third Party Contracts)</w:t>
      </w:r>
    </w:p>
    <w:p>
      <w:pPr>
        <w:pStyle w:val="Normal"/>
        <w:spacing w:before="0" w:after="0"/>
        <w:ind w:hanging="720" w:start="1440" w:end="0"/>
        <w:jc w:val="both"/>
        <w:rPr>
          <w:szCs w:val="22"/>
          <w:lang w:val="en-GB"/>
        </w:rPr>
      </w:pPr>
      <w:r>
        <w:rPr>
          <w:szCs w:val="22"/>
          <w:lang w:val="en-GB"/>
        </w:rPr>
      </w:r>
    </w:p>
    <w:p>
      <w:pPr>
        <w:pStyle w:val="Normal"/>
        <w:spacing w:before="0" w:after="0"/>
        <w:ind w:start="720" w:end="0"/>
        <w:jc w:val="both"/>
        <w:rPr/>
      </w:pPr>
      <w:r>
        <w:rPr>
          <w:szCs w:val="22"/>
          <w:lang w:val="en-GB"/>
        </w:rPr>
        <w:t xml:space="preserve">Any changes to the above planning (incl. duration of Preparation Phase) will be controlled via the Significant Change Control Procedure.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5)</w:t>
        <w:tab/>
        <w:t>In order to achieve a smooth T&amp;T Program start, all transition staff (as identified in Exhibit 5 (</w:t>
      </w:r>
      <w:r>
        <w:rPr>
          <w:i/>
          <w:szCs w:val="22"/>
          <w:lang w:val="en-GB"/>
        </w:rPr>
        <w:t>Human Resources Provisions</w:t>
      </w:r>
      <w:r>
        <w:rPr>
          <w:szCs w:val="22"/>
          <w:lang w:val="en-GB"/>
        </w:rPr>
        <w:t>)) must be available as follows: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a.</w:t>
        <w:tab/>
        <w:t>Key staff from EuroBank and PST T&amp;T Program organisation / staff (Belgium / Netherlands) shall be in place at start of the Preparation Phase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EuroBank and PST T&amp;T Program organisation / staff (Belgium / Netherlands) completely in place at start of the Transition Phase, i.e. published and functioning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t>Mandated staff from EuroBank and PST steering committee(s) in place at the start of the Preparation Phase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d.</w:t>
        <w:tab/>
        <w:t>The EuroBank T&amp;T Program manager will act as SPOC towards BSD (Wholesale, Retail and Insurance)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6)</w:t>
        <w:tab/>
        <w:t>T&amp;T Key Milestones and the Key Deliverables (as identified in the Transition Plan and the Transformation Plan) will be Accepted before the next Milestone can start.  The T&amp;T Steering Committee (defined in Attachment 30-C (Roles and Responsibilities Matrix)) will agree a detailed Microsoft project plan for implementing the Key Milestones and Key Deliverables (this detailed plan being referred to as the “Detailed T&amp;T Plan”).  EuroBank and the PST Supplier shall implement the T&amp;T Program in accordance with the Detailed T&amp;T Plan once it is agreed.</w:t>
      </w:r>
      <w:r>
        <w:rPr>
          <w:i/>
          <w:szCs w:val="22"/>
          <w:lang w:val="en-GB"/>
        </w:rPr>
      </w:r>
      <w:r>
        <w:rPr>
          <w:szCs w:val="22"/>
          <w:lang w:val="en-GB"/>
        </w:rPr>
      </w:r>
      <w:r>
        <w:rPr>
          <w:b/>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7)</w:t>
        <w:tab/>
        <w:t xml:space="preserve">EuroBank has to agree to uniform processes as a result of the From As to Be Project becoming operational in Belgium and the Netherlands.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8)</w:t>
        <w:tab/>
        <w:t>EuroBank retained organization shall have Touch Points and processes towards 2IM as specified in Attachment 2.7 (2IM Services and Governance) and Exhibit 6 (Governance).</w:t>
      </w:r>
      <w:r>
        <w:rPr>
          <w:i/>
          <w:szCs w:val="22"/>
          <w:lang w:val="en-GB"/>
        </w:rPr>
      </w:r>
      <w:r>
        <w:rPr>
          <w:szCs w:val="22"/>
          <w:lang w:val="en-GB"/>
        </w:rPr>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9)</w:t>
        <w:tab/>
        <w:t>EuroBank freeze period for people and infrastructure:</w:t>
      </w:r>
      <w:r>
        <w:rPr>
          <w:szCs w:val="22"/>
          <w:u w:val="single"/>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a.</w:t>
        <w:tab/>
      </w:r>
      <w:r>
        <w:rPr>
          <w:i/>
          <w:szCs w:val="22"/>
          <w:lang w:val="en-GB"/>
        </w:rPr>
        <w:t>Freeze-period - People</w:t>
      </w:r>
      <w:r>
        <w:rPr>
          <w:szCs w:val="22"/>
          <w:lang w:val="en-GB"/>
        </w:rPr>
        <w:t>: The period between Effective Date and Commencement Date, during which there should be no unnecessary change with regards to Affected Personnel, e.g. scaling, promotions, etc. due to the fact that the list of Affected Personnel is agreed.  In case of a change, the PST Supplier should be consulted and informed.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Freeze-period - Infrastructure: The period between Effective Date and 1 month after the Commencement Date, during which there should be very limited Changes with regards to infrastructure and processes for the Services due to the fact that Service continuity is to be guaranteed. This applies to both EuroBank and the PST Supplier. In the case of a Change by EuroBank, the PST Supplier should be consulted and informed, and in the case of a Change by the PST Supplier, EuroBank should be consulted and informed. These will be agreed in the meetings of the Change Advisory Board which will be set up as described in Exhibit 6 (Governance) and its Attachments.</w:t>
      </w:r>
      <w:r>
        <w:rPr>
          <w:i/>
          <w:szCs w:val="22"/>
          <w:lang w:val="en-GB"/>
        </w:rPr>
      </w:r>
      <w:r>
        <w:rPr>
          <w:szCs w:val="22"/>
          <w:lang w:val="en-GB"/>
        </w:rPr>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10)</w:t>
        <w:tab/>
        <w:t>For the T&amp;T Program team, EuroBank will arrange two project rooms: one in Belgium and one in the Netherlands.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11)</w:t>
        <w:tab/>
        <w:t>The 2IM and PST Suppliers shall provide EuroBank with the Agreed Projects List in accordance with the stipulations set out in Exhibit 9 (In-Flight Projects).</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12)</w:t>
        <w:tab/>
        <w:t>Uniform standard financial and billing processes and procedures will be handled as agreed in Exhibit 4 (</w:t>
      </w:r>
      <w:r>
        <w:rPr>
          <w:i/>
          <w:szCs w:val="22"/>
          <w:lang w:val="en-GB"/>
        </w:rPr>
        <w:t>Pricing and Financial Provisions</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13)</w:t>
        <w:tab/>
        <w:t>All Changes to the T&amp;T Program with respect to scope and timing shall be referred to the T&amp;T Steering Committee.  Other Changes shall be referred to the Change Advisory Board.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14)</w:t>
        <w:tab/>
        <w:t>The T&amp;T Program team shall, during the Preparation Phase and the Transition Phase, pay special attention to the EuroBank dealing room and EuroBank telephone bank in order to ensure the provisioning of the before mentioned special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15)</w:t>
        <w:tab/>
        <w:t xml:space="preserve">The with the PST agreed mitigations which are the outcome of the risk assessments and risk register will be part of the T&amp;T Plan including timelines and owner. </w:t>
      </w:r>
      <w:bookmarkStart w:id="7" w:name="OLE_LINK2"/>
      <w:bookmarkStart w:id="8" w:name="OLE_LINK1"/>
      <w:r>
        <w:rPr>
          <w:szCs w:val="22"/>
          <w:lang w:val="en-GB"/>
        </w:rPr>
        <w:t>T&amp;T Program Management will ensure:</w:t>
      </w:r>
    </w:p>
    <w:p>
      <w:pPr>
        <w:pStyle w:val="Normal"/>
        <w:numPr>
          <w:ilvl w:val="0"/>
          <w:numId w:val="7"/>
        </w:numPr>
        <w:tabs>
          <w:tab w:val="clear" w:pos="720"/>
          <w:tab w:val="left" w:pos="1080" w:leader="none"/>
        </w:tabs>
        <w:spacing w:before="0" w:after="0"/>
        <w:ind w:hanging="360" w:start="1080" w:end="0"/>
        <w:jc w:val="both"/>
        <w:rPr>
          <w:szCs w:val="22"/>
          <w:lang w:val="en-GB"/>
        </w:rPr>
      </w:pPr>
      <w:bookmarkEnd w:id="7"/>
      <w:bookmarkEnd w:id="8"/>
      <w:r>
        <w:rPr>
          <w:szCs w:val="22"/>
          <w:lang w:val="en-GB"/>
        </w:rPr>
        <w:t xml:space="preserve">The required update to version 1.2 of the Transition Plan should be delivered no later than 1 month after Effective Date. </w:t>
      </w:r>
    </w:p>
    <w:p>
      <w:pPr>
        <w:pStyle w:val="Normal"/>
        <w:numPr>
          <w:ilvl w:val="0"/>
          <w:numId w:val="7"/>
        </w:numPr>
        <w:tabs>
          <w:tab w:val="clear" w:pos="720"/>
          <w:tab w:val="left" w:pos="1080" w:leader="none"/>
        </w:tabs>
        <w:spacing w:before="0" w:after="0"/>
        <w:ind w:hanging="360" w:start="1080" w:end="0"/>
        <w:jc w:val="both"/>
        <w:rPr>
          <w:szCs w:val="22"/>
          <w:lang w:val="en-GB"/>
        </w:rPr>
      </w:pPr>
      <w:r>
        <w:rPr>
          <w:szCs w:val="22"/>
          <w:lang w:val="en-GB"/>
        </w:rPr>
        <w:t>The required update on the Transformation Phase Plan should be reflected latest in version 2.0 of the T&amp;T Plan.</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16)</w:t>
        <w:tab/>
        <w:t>The T&amp;T Plan as referred to in this exhibit and its attachments is the agreed T&amp;T Plan version 1.1. This version 1.1 is based on a Commencement Date of Effective Date + 2 months and does therefore not reflect the change of the first date to March 1</w:t>
      </w:r>
      <w:r>
        <w:rPr>
          <w:szCs w:val="22"/>
          <w:vertAlign w:val="superscript"/>
          <w:lang w:val="en-GB"/>
        </w:rPr>
        <w:t>st</w:t>
      </w:r>
      <w:r>
        <w:rPr>
          <w:szCs w:val="22"/>
          <w:lang w:val="en-GB"/>
        </w:rPr>
        <w:t>, 2007. T&amp;T Program Management will ensure that an updated version 1.2 of the Transition Plan, reflecting the impacts of this change, will be delivered no later than 1 month after Effective Date.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17)</w:t>
        <w:tab/>
        <w:t>The T&amp;T Plan version 1.1 as referred to in this exhibit and its attachments also does not reflect impacts of the AmsIT contract extension nor the decision to handle the transition of EuroBank Technics outside of the current scope of T&amp;T as a separate project. These two topics and their impacts shall be taken up by the T&amp;T Program Management as change requests.</w:t>
      </w:r>
    </w:p>
    <w:p>
      <w:pPr>
        <w:pStyle w:val="Normal"/>
        <w:spacing w:before="0" w:after="0"/>
        <w:ind w:start="720" w:end="0"/>
        <w:jc w:val="both"/>
        <w:rPr>
          <w:szCs w:val="22"/>
          <w:lang w:val="en-GB"/>
        </w:rPr>
      </w:pPr>
      <w:r>
        <w:rPr>
          <w:szCs w:val="22"/>
          <w:lang w:val="en-GB"/>
        </w:rPr>
      </w:r>
    </w:p>
    <w:p>
      <w:pPr>
        <w:pStyle w:val="Normal"/>
        <w:numPr>
          <w:ilvl w:val="0"/>
          <w:numId w:val="4"/>
        </w:numPr>
        <w:tabs>
          <w:tab w:val="clear" w:pos="720"/>
          <w:tab w:val="left" w:pos="1080" w:leader="none"/>
        </w:tabs>
        <w:spacing w:before="0" w:after="0"/>
        <w:ind w:hanging="360" w:start="1080" w:end="0"/>
        <w:jc w:val="both"/>
        <w:rPr>
          <w:szCs w:val="22"/>
          <w:lang w:val="en-GB"/>
        </w:rPr>
      </w:pPr>
      <w:r>
        <w:rPr>
          <w:szCs w:val="22"/>
          <w:lang w:val="en-GB"/>
        </w:rPr>
        <w:t>Planning impacts on the running T&amp;T activities as defined in the T&amp;T Plan version 1.1 shall be incorporated in an updated version. T&amp;T Program Management will ensure that this update of the Transition Plan to version 1.2 is delivered no later than 1 month after Effective Date.</w:t>
      </w:r>
    </w:p>
    <w:p>
      <w:pPr>
        <w:pStyle w:val="Normal"/>
        <w:spacing w:before="0" w:after="0"/>
        <w:ind w:start="720" w:end="0"/>
        <w:jc w:val="both"/>
        <w:rPr>
          <w:szCs w:val="22"/>
          <w:lang w:val="en-GB"/>
        </w:rPr>
      </w:pPr>
      <w:r>
        <w:rPr>
          <w:szCs w:val="22"/>
          <w:lang w:val="en-GB"/>
        </w:rPr>
      </w:r>
    </w:p>
    <w:p>
      <w:pPr>
        <w:pStyle w:val="Normal"/>
        <w:numPr>
          <w:ilvl w:val="0"/>
          <w:numId w:val="4"/>
        </w:numPr>
        <w:tabs>
          <w:tab w:val="clear" w:pos="720"/>
          <w:tab w:val="left" w:pos="1080" w:leader="none"/>
        </w:tabs>
        <w:spacing w:before="0" w:after="0"/>
        <w:ind w:hanging="360" w:start="1080" w:end="0"/>
        <w:jc w:val="both"/>
        <w:rPr>
          <w:szCs w:val="22"/>
          <w:lang w:val="en-GB"/>
        </w:rPr>
      </w:pPr>
      <w:r>
        <w:rPr>
          <w:szCs w:val="22"/>
          <w:lang w:val="en-GB"/>
        </w:rPr>
        <w:t>Special attention should be given to the way AmsIT and EuroBank Technics are taken into account in the design and implementation of the operating model on Commencement Date and the “to be” model.</w:t>
      </w:r>
    </w:p>
    <w:p>
      <w:pPr>
        <w:pStyle w:val="Normal"/>
        <w:spacing w:before="0" w:after="0"/>
        <w:ind w:start="720" w:end="0"/>
        <w:jc w:val="both"/>
        <w:rPr>
          <w:szCs w:val="22"/>
          <w:lang w:val="en-GB"/>
        </w:rPr>
      </w:pPr>
      <w:r>
        <w:rPr>
          <w:szCs w:val="22"/>
          <w:lang w:val="en-GB"/>
        </w:rPr>
      </w:r>
    </w:p>
    <w:p>
      <w:pPr>
        <w:pStyle w:val="Normal"/>
        <w:numPr>
          <w:ilvl w:val="0"/>
          <w:numId w:val="4"/>
        </w:numPr>
        <w:tabs>
          <w:tab w:val="clear" w:pos="720"/>
          <w:tab w:val="left" w:pos="1080" w:leader="none"/>
        </w:tabs>
        <w:spacing w:before="0" w:after="0"/>
        <w:ind w:hanging="360" w:start="1080" w:end="0"/>
        <w:jc w:val="both"/>
        <w:rPr>
          <w:szCs w:val="22"/>
          <w:lang w:val="en-GB"/>
        </w:rPr>
      </w:pPr>
      <w:r>
        <w:rPr>
          <w:szCs w:val="22"/>
          <w:lang w:val="en-GB"/>
        </w:rPr>
        <w:t>Impacts on the Transformation Phase should be reflected latest in version 2.0 of the T&amp;T Plan.</w:t>
      </w:r>
    </w:p>
    <w:p>
      <w:pPr>
        <w:pStyle w:val="Normal"/>
        <w:spacing w:before="0" w:after="0"/>
        <w:ind w:hanging="720" w:start="720" w:end="0"/>
        <w:jc w:val="both"/>
        <w:rPr>
          <w:szCs w:val="22"/>
          <w:lang w:val="en-GB"/>
        </w:rPr>
      </w:pPr>
      <w:r>
        <w:rPr>
          <w:szCs w:val="22"/>
          <w:lang w:val="en-GB"/>
        </w:rPr>
      </w:r>
    </w:p>
    <w:p>
      <w:pPr>
        <w:pStyle w:val="Normal"/>
        <w:numPr>
          <w:ilvl w:val="0"/>
          <w:numId w:val="5"/>
        </w:numPr>
        <w:spacing w:before="0" w:after="0"/>
        <w:ind w:hanging="720" w:start="720" w:end="0"/>
        <w:jc w:val="both"/>
        <w:rPr>
          <w:szCs w:val="22"/>
          <w:lang w:val="en-GB"/>
        </w:rPr>
      </w:pPr>
      <w:r>
        <w:rPr>
          <w:szCs w:val="22"/>
          <w:lang w:val="en-GB"/>
        </w:rPr>
        <w:t>All documents mentioned in Attachment 6-B (</w:t>
      </w:r>
      <w:r>
        <w:rPr>
          <w:i/>
          <w:szCs w:val="22"/>
          <w:lang w:val="en-GB"/>
        </w:rPr>
        <w:t>Policy &amp; Procedures Manual Content</w:t>
      </w:r>
      <w:r>
        <w:rPr>
          <w:szCs w:val="22"/>
          <w:lang w:val="en-GB"/>
        </w:rPr>
        <w:t>) will be delivered according to the timelines stipulated in Attachment 6-B as part of the T&amp;T Plan. This update should also detail the type of document and responsible party according to Attachment 6-B. T&amp;T Program Management will ensure:</w:t>
      </w:r>
    </w:p>
    <w:p>
      <w:pPr>
        <w:pStyle w:val="Normal"/>
        <w:spacing w:before="0" w:after="0"/>
        <w:ind w:start="360" w:end="0"/>
        <w:jc w:val="both"/>
        <w:rPr>
          <w:szCs w:val="22"/>
          <w:lang w:val="en-GB"/>
        </w:rPr>
      </w:pPr>
      <w:r>
        <w:rPr>
          <w:szCs w:val="22"/>
          <w:lang w:val="en-GB"/>
        </w:rPr>
      </w:r>
    </w:p>
    <w:p>
      <w:pPr>
        <w:pStyle w:val="Normal"/>
        <w:numPr>
          <w:ilvl w:val="0"/>
          <w:numId w:val="11"/>
        </w:numPr>
        <w:tabs>
          <w:tab w:val="clear" w:pos="720"/>
          <w:tab w:val="left" w:pos="1080" w:leader="none"/>
        </w:tabs>
        <w:spacing w:before="0" w:after="0"/>
        <w:ind w:hanging="360" w:start="1080" w:end="0"/>
        <w:jc w:val="both"/>
        <w:rPr>
          <w:szCs w:val="22"/>
          <w:lang w:val="en-GB"/>
        </w:rPr>
      </w:pPr>
      <w:r>
        <w:rPr>
          <w:szCs w:val="22"/>
          <w:lang w:val="en-GB"/>
        </w:rPr>
        <w:t xml:space="preserve">The required update to version 1.2 of the Transition Plan should be delivered no later than 1 month after Effective Date. </w:t>
      </w:r>
    </w:p>
    <w:p>
      <w:pPr>
        <w:pStyle w:val="Normal"/>
        <w:spacing w:before="0" w:after="0"/>
        <w:ind w:start="720" w:end="0"/>
        <w:jc w:val="both"/>
        <w:rPr>
          <w:szCs w:val="22"/>
          <w:lang w:val="en-GB"/>
        </w:rPr>
      </w:pPr>
      <w:r>
        <w:rPr>
          <w:szCs w:val="22"/>
          <w:lang w:val="en-GB"/>
        </w:rPr>
      </w:r>
    </w:p>
    <w:p>
      <w:pPr>
        <w:pStyle w:val="Normal"/>
        <w:numPr>
          <w:ilvl w:val="0"/>
          <w:numId w:val="11"/>
        </w:numPr>
        <w:tabs>
          <w:tab w:val="clear" w:pos="720"/>
          <w:tab w:val="left" w:pos="1080" w:leader="none"/>
        </w:tabs>
        <w:spacing w:before="0" w:after="0"/>
        <w:ind w:hanging="360" w:start="1080" w:end="0"/>
        <w:jc w:val="both"/>
        <w:rPr>
          <w:szCs w:val="22"/>
          <w:lang w:val="en-GB"/>
        </w:rPr>
      </w:pPr>
      <w:r>
        <w:rPr>
          <w:szCs w:val="22"/>
          <w:lang w:val="en-GB"/>
        </w:rPr>
        <w:t>The required update on the Transformation Phase Plan should be reflected latest in version 2.0 of the T&amp;T Plan.</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19)</w:t>
        <w:tab/>
        <w:t>Critical Services as defined in Exhibit 21 (</w:t>
      </w:r>
      <w:r>
        <w:rPr>
          <w:i/>
          <w:iCs/>
          <w:szCs w:val="22"/>
          <w:lang w:val="en-GB"/>
        </w:rPr>
        <w:t>Critical Services</w:t>
      </w:r>
      <w:r>
        <w:rPr>
          <w:szCs w:val="22"/>
          <w:lang w:val="en-GB"/>
        </w:rPr>
        <w:t>) will be further detailed and measuring will be agreed upon during the Transition phase.</w:t>
      </w:r>
    </w:p>
    <w:p>
      <w:pPr>
        <w:pStyle w:val="Heading1Numbered"/>
        <w:numPr>
          <w:ilvl w:val="0"/>
          <w:numId w:val="2"/>
        </w:numPr>
        <w:ind w:hanging="0" w:start="0"/>
        <w:rPr>
          <w:bCs/>
          <w:sz w:val="22"/>
          <w:lang w:val="en-GB"/>
        </w:rPr>
      </w:pPr>
      <w:bookmarkStart w:id="9" w:name="__RefHeading___Toc152725969"/>
      <w:bookmarkEnd w:id="9"/>
      <w:r>
        <w:rPr>
          <w:bCs/>
          <w:sz w:val="22"/>
          <w:lang w:val="en-GB"/>
        </w:rPr>
        <w:t>OVERALL PHASING</w:t>
      </w:r>
    </w:p>
    <w:p>
      <w:pPr>
        <w:pStyle w:val="Normal"/>
        <w:spacing w:before="0" w:after="0"/>
        <w:jc w:val="both"/>
        <w:rPr>
          <w:szCs w:val="22"/>
          <w:lang w:val="en-GB"/>
        </w:rPr>
      </w:pPr>
      <w:r>
        <w:rPr>
          <w:szCs w:val="22"/>
          <w:lang w:val="en-GB"/>
        </w:rPr>
        <w:t>The overall approach for the HR Preparation, Preparation, Transition and Transformation Phases is depicted below:</w:t>
      </w:r>
    </w:p>
    <w:p>
      <w:pPr>
        <w:pStyle w:val="Normal"/>
        <w:spacing w:before="0" w:after="0"/>
        <w:jc w:val="both"/>
        <w:rPr>
          <w:szCs w:val="22"/>
          <w:lang w:val="en-GB"/>
        </w:rPr>
      </w:pPr>
      <w:r>
        <w:rPr>
          <w:szCs w:val="22"/>
          <w:lang w:val="en-GB"/>
        </w:rPr>
      </w:r>
    </w:p>
    <w:p>
      <w:pPr>
        <w:pStyle w:val="Normal"/>
        <w:spacing w:before="0" w:after="0"/>
        <w:jc w:val="both"/>
        <w:rPr>
          <w:szCs w:val="22"/>
        </w:rPr>
      </w:pPr>
      <w:r>
        <w:rPr/>
        <w:drawing>
          <wp:inline distT="0" distB="0" distL="0" distR="0">
            <wp:extent cx="5359400" cy="70421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4" t="-28" r="-4" b="-28"/>
                    <a:stretch>
                      <a:fillRect/>
                    </a:stretch>
                  </pic:blipFill>
                  <pic:spPr bwMode="auto">
                    <a:xfrm>
                      <a:off x="0" y="0"/>
                      <a:ext cx="5359400" cy="70421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More detailed timing requirements are set out in the Transition Plan and Transformation Plan.</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0" w:name="__RefHeading___Toc152725970"/>
      <w:bookmarkEnd w:id="10"/>
      <w:r>
        <w:rPr>
          <w:bCs/>
          <w:sz w:val="22"/>
          <w:lang w:val="en-GB"/>
        </w:rPr>
        <w:t>HR Preparation Phase</w:t>
      </w:r>
    </w:p>
    <w:p>
      <w:pPr>
        <w:pStyle w:val="Normal"/>
        <w:spacing w:before="0" w:after="0"/>
        <w:jc w:val="both"/>
        <w:rPr/>
      </w:pPr>
      <w:r>
        <w:rPr>
          <w:szCs w:val="22"/>
          <w:lang w:val="en-GB"/>
        </w:rPr>
        <w:t>This phase contains the activities needed to facilitate the critical path with regards to the planning of advice from Workers Council, Unions and the payroll transfer. All the affected functions are defined and allocated in cooperation with EuroBank, the PST Supplier and the Other PST Suppliers. A communication approach will be defined including means and materials, target groups, timing and events.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1" w:name="__RefHeading___Toc152725971"/>
      <w:bookmarkEnd w:id="11"/>
      <w:r>
        <w:rPr>
          <w:bCs/>
          <w:sz w:val="22"/>
          <w:lang w:val="en-GB"/>
        </w:rPr>
        <w:t>Preparation Phase</w:t>
      </w:r>
    </w:p>
    <w:p>
      <w:pPr>
        <w:pStyle w:val="Normal"/>
        <w:spacing w:before="0" w:after="0"/>
        <w:jc w:val="both"/>
        <w:rPr/>
      </w:pPr>
      <w:r>
        <w:rPr>
          <w:szCs w:val="22"/>
          <w:lang w:val="en-GB"/>
        </w:rPr>
        <w:t xml:space="preserve">During the Preparation Phase, EuroBank and the PST Supplier will start activities such as: organising the T&amp;T team governance; establishing the T&amp;T teams and Transition steering committee (as each is detailed in Attachment 30-C (Roles and Responsibilities Matrix)); making staff facilities operational; and working out the detail planning activities (e.g. add/verify dependencies, allocate staff to detailed tasks). In this phase all In-Scope Projects will be assessed and EuroBank and the PST Supplier will agree terms for the completion of any Assumed Projects.  The T&amp;T management processes and procedures referred to in Attachment 30-C (Roles and Responsibilities Matrix) will be further defined. </w:t>
      </w:r>
      <w:r>
        <w:rPr>
          <w:i/>
          <w:szCs w:val="22"/>
          <w:lang w:val="en-GB"/>
        </w:rPr>
      </w:r>
      <w:r>
        <w:rPr>
          <w:szCs w:val="22"/>
          <w:lang w:val="en-GB"/>
        </w:rPr>
      </w:r>
      <w:r>
        <w:rPr>
          <w:i/>
          <w:szCs w:val="22"/>
          <w:lang w:val="en-GB"/>
        </w:rPr>
      </w: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2" w:name="__RefHeading___Toc152725972"/>
      <w:bookmarkEnd w:id="12"/>
      <w:r>
        <w:rPr>
          <w:bCs/>
          <w:sz w:val="22"/>
          <w:lang w:val="en-GB"/>
        </w:rPr>
        <w:t>Transition Phase</w:t>
      </w:r>
    </w:p>
    <w:p>
      <w:pPr>
        <w:pStyle w:val="Normal"/>
        <w:spacing w:before="0" w:after="0"/>
        <w:jc w:val="both"/>
        <w:rPr/>
      </w:pPr>
      <w:r>
        <w:rPr>
          <w:szCs w:val="22"/>
          <w:lang w:val="en-GB"/>
        </w:rPr>
        <w:t>The objective of the Transition Phase is the smooth transfer of the financial and operational responsibility of the Services (“as-is”) and Affected Employees to the PST Supplier from the Commencement Date as agreed in this MSA. In this phase, the various assessments will take place in order to create a baseline for Service Levels in accordance with Exhibit 3 (</w:t>
      </w:r>
      <w:r>
        <w:rPr>
          <w:i/>
          <w:szCs w:val="22"/>
          <w:lang w:val="en-GB"/>
        </w:rPr>
        <w:t>Service Levels</w:t>
      </w:r>
      <w:r>
        <w:rPr>
          <w:szCs w:val="22"/>
          <w:lang w:val="en-GB"/>
        </w:rPr>
        <w:t xml:space="preserve">).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As an example of the “as-is” status that the PST Suppliers will inherit and adopt, the Service Levels within EuroBank will be accepted by the PST Suppliers “as is”. No reduction in those Service Levels will be acceptable to EuroBank and the transfer of Services to the PST Suppliers will be at or better than the “as is” status discovered during the Transition Phase.</w:t>
      </w:r>
    </w:p>
    <w:p>
      <w:pPr>
        <w:pStyle w:val="Heading2Numbered"/>
        <w:numPr>
          <w:ilvl w:val="1"/>
          <w:numId w:val="2"/>
        </w:numPr>
        <w:ind w:hanging="0" w:start="0"/>
        <w:rPr>
          <w:bCs/>
          <w:sz w:val="22"/>
          <w:lang w:val="fr-FR"/>
        </w:rPr>
      </w:pPr>
      <w:bookmarkStart w:id="13" w:name="__RefHeading___Toc152725973"/>
      <w:bookmarkEnd w:id="13"/>
      <w:r>
        <w:rPr>
          <w:bCs/>
          <w:sz w:val="22"/>
          <w:lang w:val="fr-FR"/>
        </w:rPr>
        <w:t>Transformation Phase (“</w:t>
      </w:r>
      <w:r>
        <w:rPr>
          <w:bCs/>
          <w:i/>
          <w:sz w:val="22"/>
          <w:lang w:val="fr-FR"/>
        </w:rPr>
        <w:t>T&amp;T Projects</w:t>
      </w:r>
      <w:r>
        <w:rPr>
          <w:bCs/>
          <w:sz w:val="22"/>
          <w:lang w:val="fr-FR"/>
        </w:rPr>
        <w:t>”):</w:t>
      </w:r>
    </w:p>
    <w:p>
      <w:pPr>
        <w:pStyle w:val="Normal"/>
        <w:spacing w:before="0" w:after="0"/>
        <w:jc w:val="both"/>
        <w:rPr>
          <w:szCs w:val="22"/>
          <w:lang w:val="en-GB"/>
        </w:rPr>
      </w:pPr>
      <w:r>
        <w:rPr>
          <w:szCs w:val="22"/>
          <w:lang w:val="en-GB"/>
        </w:rPr>
        <w:t>The following Projects shall be T&amp;T Projects, which the PST Supplier shall complete in accordance with the requirements of this Exhibit and this MSA:</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1)</w:t>
        <w:tab/>
      </w:r>
      <w:r>
        <w:rPr>
          <w:b/>
          <w:szCs w:val="22"/>
          <w:lang w:val="en-GB"/>
        </w:rPr>
        <w:t>The “From As to Be” Project</w:t>
      </w:r>
      <w:r>
        <w:rPr>
          <w:szCs w:val="22"/>
          <w:lang w:val="en-GB"/>
        </w:rPr>
        <w:t xml:space="preserve">, details of which are set out in Section 7 below;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2)</w:t>
        <w:tab/>
      </w:r>
      <w:r>
        <w:rPr>
          <w:b/>
          <w:szCs w:val="22"/>
          <w:lang w:val="en-GB"/>
        </w:rPr>
        <w:t>Mandatory Projects</w:t>
      </w:r>
      <w:r>
        <w:rPr>
          <w:szCs w:val="22"/>
          <w:lang w:val="en-GB"/>
        </w:rPr>
        <w:t>, details of which are set out in Section 7 below, excluding the “From As to Be” Project.  The PST Supplier shall execute all Mandatory Projects either as part of the Base Charges or for a separate Charge where specified in this MSA.  These projects are required to achieve the business objectives (achieve final Service Levels in accordance with Exhibit 3 (</w:t>
      </w:r>
      <w:r>
        <w:rPr>
          <w:i/>
          <w:szCs w:val="22"/>
          <w:lang w:val="en-GB"/>
        </w:rPr>
        <w:t>Service Levels</w:t>
      </w:r>
      <w:r>
        <w:rPr>
          <w:szCs w:val="22"/>
          <w:lang w:val="en-GB"/>
        </w:rPr>
        <w:t>)): improve the level of Service and reduce the overall SWS Function ongoing costs.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3)</w:t>
        <w:tab/>
        <w:t>Non-Mandatory (Value add) Projects, being potential projects suggested by the PST Supplier to bring additional financial and/or functional benefits to EuroBank. All proposed Non-Mandatory (Value add) Projects will be discussed with EuroBank and agreed by EuroBank on a case-by-case basis, decisions being based on positive business cases in each case.</w:t>
      </w:r>
      <w:r>
        <w:rPr>
          <w:b/>
          <w:szCs w:val="22"/>
          <w:lang w:val="en-GB"/>
        </w:rPr>
      </w:r>
      <w:r>
        <w:rPr>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4" w:name="__RefHeading___Toc152725974"/>
      <w:bookmarkEnd w:id="14"/>
      <w:r>
        <w:rPr>
          <w:bCs/>
          <w:sz w:val="22"/>
          <w:lang w:val="en-GB"/>
        </w:rPr>
        <w:t>STREAMS OVERVIEW</w:t>
      </w:r>
    </w:p>
    <w:p>
      <w:pPr>
        <w:pStyle w:val="Normal"/>
        <w:spacing w:before="0" w:after="0"/>
        <w:jc w:val="both"/>
        <w:rPr/>
      </w:pPr>
      <w:r>
        <w:rPr>
          <w:szCs w:val="22"/>
          <w:lang w:val="en-GB"/>
        </w:rPr>
        <w:t xml:space="preserve">The following key streams have been distinguished for the </w:t>
      </w:r>
      <w:r>
        <w:rPr>
          <w:i/>
          <w:szCs w:val="22"/>
          <w:lang w:val="en-GB"/>
        </w:rPr>
        <w:t>Preparation</w:t>
      </w:r>
      <w:r>
        <w:rPr>
          <w:szCs w:val="22"/>
          <w:lang w:val="en-GB"/>
        </w:rPr>
        <w:t xml:space="preserve">, </w:t>
      </w:r>
      <w:r>
        <w:rPr>
          <w:i/>
          <w:szCs w:val="22"/>
          <w:lang w:val="en-GB"/>
        </w:rPr>
        <w:t>Transition</w:t>
      </w:r>
      <w:r>
        <w:rPr>
          <w:szCs w:val="22"/>
          <w:lang w:val="en-GB"/>
        </w:rPr>
        <w:t xml:space="preserve"> and </w:t>
      </w:r>
      <w:r>
        <w:rPr>
          <w:i/>
          <w:szCs w:val="22"/>
          <w:lang w:val="en-GB"/>
        </w:rPr>
        <w:t>Transformation Phases</w:t>
      </w:r>
      <w:r>
        <w:rPr>
          <w:szCs w:val="22"/>
          <w:lang w:val="en-GB"/>
        </w:rPr>
        <w:t xml:space="preserve"> (further details are provided in Attachment 30-B (Transformation Plan):</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5" w:name="__RefHeading___Toc152725975"/>
      <w:bookmarkEnd w:id="15"/>
      <w:r>
        <w:rPr>
          <w:bCs/>
          <w:sz w:val="22"/>
          <w:lang w:val="en-GB"/>
        </w:rPr>
        <w:t>T&amp;T Program Management Stream:</w:t>
      </w:r>
    </w:p>
    <w:p>
      <w:pPr>
        <w:pStyle w:val="Normal"/>
        <w:spacing w:before="0" w:after="0"/>
        <w:ind w:start="720" w:end="0"/>
        <w:jc w:val="both"/>
        <w:rPr/>
      </w:pPr>
      <w:r>
        <w:rPr>
          <w:szCs w:val="22"/>
          <w:lang w:val="en-GB"/>
        </w:rPr>
        <w:t>In the Preparation Phase, the T&amp;T Program Management Stream will develop all activities required to mobilize the program management organisation, such as: the set up of Transition governance bodies, the preparation of the Detailed T&amp;T Plan, the set up of Transition progress reporting / quality / change / issue management procedures and all required operational activities (e.g. facilities / housing, user access, etc.) to start up the T&amp;T Program activities. Key input of the EuroBank T&amp;T management team is required during this phase and in joint planning sessions. The Detailed T&amp;T Plan will be jointly discussed and agreed (during the first half of the Preparation Phase month, in joint workshops at EuroBank’s premises - note the planning will be for Belgium and the Netherlands).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The Detailed T&amp;T Plan will be used as input for communication to key EuroBank stakeholders (e.g. critical business units) to explain in detail the execution of the T&amp;T Program phases. These meetings need to be planned for the second half of the Preparation Phase month.</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Finally, the T&amp;T Program Management Stream is responsible during the Preparation Phase for assessing and reviewing the status of the Assumed Projects. The PST Supplier will closely cooperate with EuroBank to determine the current status of each proposed Assumed Project and determine what (if any) additional effort from the PST Supplier may be required during the Transition Phase or Transformation Phase. In addition, an assessment will be made on the effect of any potential Assumed Projects on the total project portfolio (including T&amp;T Projects).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 xml:space="preserve">In the T&amp;T Program, the T&amp;T Program Management Stream will steer, monitor and execute all T&amp;T Program activities. Furthermore, this Stream will ensure that they conform to the Milestones in the agreed Detailed T&amp;T Plan and that the pertaining Deliverables satisfy agreed Acceptance Criteria. </w:t>
      </w:r>
    </w:p>
    <w:p>
      <w:pPr>
        <w:pStyle w:val="Normal"/>
        <w:spacing w:before="0" w:after="0"/>
        <w:ind w:start="720" w:end="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6" w:name="__RefHeading___Toc152725976"/>
      <w:bookmarkEnd w:id="16"/>
      <w:r>
        <w:rPr>
          <w:bCs/>
          <w:sz w:val="22"/>
          <w:lang w:val="en-GB"/>
        </w:rPr>
        <w:t>Service Management Stream:</w:t>
      </w:r>
    </w:p>
    <w:p>
      <w:pPr>
        <w:pStyle w:val="Normal"/>
        <w:spacing w:before="0" w:after="0"/>
        <w:ind w:start="720" w:end="0"/>
        <w:jc w:val="both"/>
        <w:rPr/>
      </w:pPr>
      <w:r>
        <w:rPr>
          <w:szCs w:val="22"/>
          <w:lang w:val="en-GB"/>
        </w:rPr>
        <w:t>During the Transition Phase, this stream will assess the current Services, detail out the overall PST Supplier Service Management framework and clear interfaces with the 2IM and the Other PST Suppliers.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7" w:name="__RefHeading___Toc152725977"/>
      <w:bookmarkEnd w:id="17"/>
      <w:r>
        <w:rPr>
          <w:bCs/>
          <w:sz w:val="22"/>
          <w:lang w:val="en-GB"/>
        </w:rPr>
        <w:t>Unit Operation Stream:</w:t>
      </w:r>
    </w:p>
    <w:p>
      <w:pPr>
        <w:pStyle w:val="Normal"/>
        <w:spacing w:before="0" w:after="0"/>
        <w:ind w:start="720" w:end="0"/>
        <w:jc w:val="both"/>
        <w:rPr/>
      </w:pPr>
      <w:r>
        <w:rPr>
          <w:szCs w:val="22"/>
          <w:lang w:val="en-GB"/>
        </w:rPr>
        <w:t>The main purpose is to create the unit which will effectively steer overall day-to-day operation (for the PST Supplier, each Other PST Supplier and the 2IM) and to assess the operational processes. This includes all the technical interfaces (between PST Members and/or between PST Members and EuroBank) required to support the Services and the associated tools.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8" w:name="__RefHeading___Toc152725978"/>
      <w:bookmarkEnd w:id="18"/>
      <w:r>
        <w:rPr>
          <w:bCs/>
          <w:sz w:val="22"/>
          <w:lang w:val="en-GB"/>
        </w:rPr>
        <w:t>Communication Stream:</w:t>
      </w:r>
    </w:p>
    <w:p>
      <w:pPr>
        <w:pStyle w:val="Normal"/>
        <w:spacing w:before="0" w:after="0"/>
        <w:ind w:start="720" w:end="0"/>
        <w:jc w:val="both"/>
        <w:rPr/>
      </w:pPr>
      <w:r>
        <w:rPr>
          <w:szCs w:val="22"/>
          <w:lang w:val="en-GB"/>
        </w:rPr>
        <w:t>All activities required to define and execute all T&amp;T Program-related communication activities (e.g. approach, plan). Important elements like all the communication activities around HR, Service Levels, and end-users will be covered in the overall communication plan. Some key communication activities will be executed during the Preparation Phase (like communication around the events of the MOU and/or MSA and the processes of the T&amp;T Program).</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9" w:name="__RefHeading___Toc152725979"/>
      <w:bookmarkEnd w:id="19"/>
      <w:r>
        <w:rPr>
          <w:bCs/>
          <w:sz w:val="22"/>
          <w:lang w:val="en-GB"/>
        </w:rPr>
        <w:t>Finance and Contract Management Stream:</w:t>
      </w:r>
    </w:p>
    <w:p>
      <w:pPr>
        <w:pStyle w:val="Normal"/>
        <w:spacing w:before="0" w:after="0"/>
        <w:ind w:start="720" w:end="0"/>
        <w:jc w:val="both"/>
        <w:rPr>
          <w:szCs w:val="22"/>
          <w:lang w:val="en-GB"/>
        </w:rPr>
      </w:pPr>
      <w:r>
        <w:rPr>
          <w:szCs w:val="22"/>
          <w:lang w:val="en-GB"/>
        </w:rPr>
        <w:t>In the Transition Phase, this stream will set up and implement all required financial processes and billing procedures (including interim billing procedures) to control the PST Supplier financials. In addition, this stream will execute all Third Party Contract-related activities including the novation of contracts from EuroBank to PST Supplier. Finally, this Stream is responsible for the execution of the agreed asset transfers pursuant to the MATA [and the LATA (TelCo only)].</w:t>
      </w:r>
      <w:r>
        <w:rPr>
          <w:szCs w:val="22"/>
          <w:highlight w:val="yellow"/>
          <w:lang w:val="en-GB"/>
        </w:rPr>
      </w: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0" w:name="__RefHeading___Toc152725980"/>
      <w:bookmarkEnd w:id="20"/>
      <w:r>
        <w:rPr>
          <w:bCs/>
          <w:sz w:val="22"/>
          <w:lang w:val="en-GB"/>
        </w:rPr>
        <w:t>People Transfer / HR Stream:</w:t>
      </w:r>
    </w:p>
    <w:p>
      <w:pPr>
        <w:pStyle w:val="Normal"/>
        <w:spacing w:before="0" w:after="0"/>
        <w:ind w:start="720" w:end="0"/>
        <w:jc w:val="both"/>
        <w:rPr/>
      </w:pPr>
      <w:r>
        <w:rPr>
          <w:szCs w:val="22"/>
          <w:lang w:val="en-GB"/>
        </w:rPr>
        <w:t>The purpose of this stream is to perform all joint activities which enable a smooth transfer of Affected Employees from EuroBank to the PST Supplier. Key activities are the Works Council process, the social protocol, harmonisation of the terms &amp; conditions, administration, payroll transfer and employment of the Affected Employees. Some of these activities will already start prior to the MOU and will continue during the Preparation and Transition Phases. For additional details please refer to Exhibit 5 (Human Resources Provisions) and its related Attachments.</w:t>
      </w:r>
      <w:r>
        <w:rPr>
          <w:i/>
          <w:szCs w:val="22"/>
          <w:lang w:val="en-GB"/>
        </w:rPr>
      </w: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1" w:name="__RefHeading___Toc152725981"/>
      <w:bookmarkEnd w:id="21"/>
      <w:r>
        <w:rPr>
          <w:bCs/>
          <w:sz w:val="22"/>
          <w:lang w:val="en-GB"/>
        </w:rPr>
        <w:t>Knowledge Transfer Stream:</w:t>
      </w:r>
    </w:p>
    <w:p>
      <w:pPr>
        <w:pStyle w:val="Normal"/>
        <w:spacing w:before="0" w:after="0"/>
        <w:ind w:start="720" w:end="0"/>
        <w:jc w:val="both"/>
        <w:rPr/>
      </w:pPr>
      <w:r>
        <w:rPr>
          <w:szCs w:val="22"/>
          <w:lang w:val="en-GB"/>
        </w:rPr>
        <w:t>The main purpose of this stream is to secure key knowledge transfer during the T&amp;T Program. Special focus for knowledge transfer is on contractors, retained and Affected Employees. Knowledge transfer relating to HR (e.g. terms &amp; conditions, new way of working) is included in the HR Stream; knowledge transfer relating to operations (e.g. new tools, interfaces) is included in the Unit Operation Stream.</w:t>
      </w:r>
    </w:p>
    <w:p>
      <w:pPr>
        <w:pStyle w:val="Normal"/>
        <w:spacing w:before="0" w:after="0"/>
        <w:ind w:start="720" w:end="0"/>
        <w:jc w:val="both"/>
        <w:rPr>
          <w:szCs w:val="22"/>
          <w:lang w:val="en-GB"/>
        </w:rPr>
      </w:pPr>
      <w:r>
        <w:rPr>
          <w:szCs w:val="22"/>
          <w:lang w:val="en-GB"/>
        </w:rPr>
      </w:r>
    </w:p>
    <w:p>
      <w:pPr>
        <w:pStyle w:val="Heading2Numbered"/>
        <w:numPr>
          <w:ilvl w:val="1"/>
          <w:numId w:val="2"/>
        </w:numPr>
        <w:ind w:hanging="0" w:start="0"/>
        <w:rPr>
          <w:bCs/>
          <w:sz w:val="22"/>
          <w:lang w:val="en-GB"/>
        </w:rPr>
      </w:pPr>
      <w:bookmarkStart w:id="22" w:name="__RefHeading___Toc152725982"/>
      <w:bookmarkEnd w:id="22"/>
      <w:r>
        <w:rPr>
          <w:bCs/>
          <w:sz w:val="22"/>
          <w:lang w:val="en-GB"/>
        </w:rPr>
        <w:t>Security Stream</w:t>
      </w:r>
    </w:p>
    <w:p>
      <w:pPr>
        <w:pStyle w:val="Normal"/>
        <w:spacing w:before="0" w:after="0"/>
        <w:ind w:start="720" w:end="0"/>
        <w:jc w:val="both"/>
        <w:rPr>
          <w:szCs w:val="22"/>
          <w:lang w:val="en-GB"/>
        </w:rPr>
      </w:pPr>
      <w:r>
        <w:rPr>
          <w:szCs w:val="22"/>
          <w:lang w:val="en-GB"/>
        </w:rPr>
        <w:t>As security is one of EuroBank’s key priorities, the Security Stream ensures that involvement of the EuroBank responsibles (for example Risk Management and CAS) and external regulatory bodies is arranged for, at the by Security Stream foreseen signoffs of deliverables of the above-mentioned streams. The security stream will also ensure everything will comply to agreed Policies and standards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From an EuroBank perspective there are numerous touchpoints for the Security Stream to all other streams for which a security sign off procedure will be set up. Tasks will be identified and classified as either light; medium or heavy in the overall T&amp;T planning where EuroBank security sign off is an Acceptance Criteria.</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parties agree that there shall be a Joint Security Steering Committee (staffed with representatives of both EuroBank and the PST Supplier) which will oversee and be responsible for all security-related activities and projects which are described in the above-mentioned streams.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Security stream is focussing on 3 main topics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1  Security</w:t>
      </w:r>
    </w:p>
    <w:p>
      <w:pPr>
        <w:pStyle w:val="Normal"/>
        <w:spacing w:before="0" w:after="0"/>
        <w:ind w:start="1260" w:end="0"/>
        <w:jc w:val="both"/>
        <w:rPr>
          <w:szCs w:val="22"/>
          <w:lang w:val="en-GB"/>
        </w:rPr>
      </w:pPr>
      <w:r>
        <w:rPr>
          <w:szCs w:val="22"/>
          <w:lang w:val="en-GB"/>
        </w:rPr>
        <w:t>The security work stream looks at the EuroBank policies.  The policies form the security baseline to which PST have agreed to comply.</w:t>
      </w:r>
    </w:p>
    <w:p>
      <w:pPr>
        <w:pStyle w:val="Normal"/>
        <w:spacing w:before="0" w:after="0"/>
        <w:ind w:start="1260" w:end="0"/>
        <w:jc w:val="both"/>
        <w:rPr>
          <w:szCs w:val="22"/>
          <w:lang w:val="en-GB"/>
        </w:rPr>
      </w:pPr>
      <w:r>
        <w:rPr>
          <w:szCs w:val="22"/>
          <w:lang w:val="en-GB"/>
        </w:rPr>
      </w:r>
    </w:p>
    <w:p>
      <w:pPr>
        <w:pStyle w:val="Normal"/>
        <w:spacing w:before="0" w:after="0"/>
        <w:ind w:start="720" w:end="0"/>
        <w:jc w:val="both"/>
        <w:rPr/>
      </w:pPr>
      <w:r>
        <w:rPr>
          <w:szCs w:val="22"/>
          <w:lang w:val="en-GB"/>
        </w:rPr>
        <w:t xml:space="preserve">2  Compliancy </w:t>
      </w:r>
    </w:p>
    <w:p>
      <w:pPr>
        <w:pStyle w:val="Normal"/>
        <w:spacing w:before="0" w:after="0"/>
        <w:ind w:start="1260" w:end="0"/>
        <w:jc w:val="both"/>
        <w:rPr>
          <w:szCs w:val="22"/>
          <w:lang w:val="en-GB"/>
        </w:rPr>
      </w:pPr>
      <w:r>
        <w:rPr>
          <w:szCs w:val="22"/>
          <w:lang w:val="en-GB"/>
        </w:rPr>
        <w:t>As a bank EuroBank need to comply with numerous standards and regulations. The compliancy activities look at the compliancy requirements EuroBank need to fulfil. This also includes for example SOX requirements.</w:t>
      </w:r>
    </w:p>
    <w:p>
      <w:pPr>
        <w:pStyle w:val="Normal"/>
        <w:spacing w:before="0" w:after="0"/>
        <w:ind w:start="1260" w:end="0"/>
        <w:jc w:val="both"/>
        <w:rPr>
          <w:szCs w:val="22"/>
          <w:lang w:val="en-GB"/>
        </w:rPr>
      </w:pPr>
      <w:r>
        <w:rPr>
          <w:szCs w:val="22"/>
          <w:lang w:val="en-GB"/>
        </w:rPr>
      </w:r>
    </w:p>
    <w:p>
      <w:pPr>
        <w:pStyle w:val="Normal"/>
        <w:spacing w:before="0" w:after="0"/>
        <w:ind w:start="720" w:end="0"/>
        <w:jc w:val="both"/>
        <w:rPr/>
      </w:pPr>
      <w:r>
        <w:rPr>
          <w:szCs w:val="22"/>
          <w:lang w:val="en-GB"/>
        </w:rPr>
        <w:t>3  BCP/DR</w:t>
      </w:r>
    </w:p>
    <w:p>
      <w:pPr>
        <w:pStyle w:val="Normal"/>
        <w:spacing w:before="0" w:after="0"/>
        <w:ind w:start="1260" w:end="0"/>
        <w:jc w:val="both"/>
        <w:rPr>
          <w:szCs w:val="22"/>
          <w:lang w:val="en-GB"/>
        </w:rPr>
      </w:pPr>
      <w:r>
        <w:rPr>
          <w:szCs w:val="22"/>
          <w:lang w:val="en-GB"/>
        </w:rPr>
        <w:t>The BCP/DR stream looks at all relevant BCP and the overall DR plan in scope of SWS.</w:t>
      </w:r>
    </w:p>
    <w:p>
      <w:pPr>
        <w:pStyle w:val="Normal"/>
        <w:spacing w:before="0" w:after="0"/>
        <w:jc w:val="both"/>
        <w:rPr>
          <w:szCs w:val="22"/>
          <w:lang w:val="en-GB"/>
        </w:rPr>
      </w:pPr>
      <w:r>
        <w:rPr>
          <w:szCs w:val="22"/>
          <w:lang w:val="en-GB"/>
        </w:rPr>
      </w:r>
    </w:p>
    <w:p>
      <w:pPr>
        <w:pStyle w:val="Heading1Numbered"/>
        <w:numPr>
          <w:ilvl w:val="0"/>
          <w:numId w:val="2"/>
        </w:numPr>
        <w:tabs>
          <w:tab w:val="clear" w:pos="720"/>
          <w:tab w:val="left" w:pos="540" w:leader="none"/>
        </w:tabs>
        <w:ind w:hanging="0" w:start="0"/>
        <w:rPr>
          <w:bCs/>
          <w:sz w:val="22"/>
          <w:lang w:val="en-GB"/>
        </w:rPr>
      </w:pPr>
      <w:bookmarkStart w:id="23" w:name="__RefHeading___Toc152725983"/>
      <w:bookmarkEnd w:id="23"/>
      <w:r>
        <w:rPr>
          <w:bCs/>
          <w:sz w:val="22"/>
          <w:lang w:val="en-GB"/>
        </w:rPr>
        <w:t>“</w:t>
      </w:r>
      <w:r>
        <w:rPr>
          <w:bCs/>
          <w:sz w:val="22"/>
          <w:lang w:val="en-GB"/>
        </w:rPr>
        <w:t>FROM AS TO BE” PROJECT AND MANDATORY PROJECTS OVERVIEW</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lang w:val="en-GB"/>
        </w:rPr>
        <w:t>The following T&amp;T Projects can be distinguished for the Transformation Phase (as each project is further described in Attachment 30-B (</w:t>
      </w:r>
      <w:r>
        <w:rPr>
          <w:i/>
          <w:szCs w:val="22"/>
          <w:lang w:val="en-GB"/>
        </w:rPr>
        <w:t>Transformation Plan</w:t>
      </w:r>
      <w:r>
        <w:rPr>
          <w:szCs w:val="22"/>
          <w:lang w:val="en-GB"/>
        </w:rPr>
        <w:t xml:space="preserve">)): the </w:t>
      </w:r>
      <w:r>
        <w:rPr>
          <w:i/>
          <w:szCs w:val="22"/>
          <w:lang w:val="en-GB"/>
        </w:rPr>
        <w:t>From As to Be Project</w:t>
      </w:r>
      <w:r>
        <w:rPr>
          <w:szCs w:val="22"/>
          <w:lang w:val="en-GB"/>
        </w:rPr>
        <w:t xml:space="preserve"> and the </w:t>
      </w:r>
      <w:r>
        <w:rPr>
          <w:i/>
          <w:szCs w:val="22"/>
          <w:lang w:val="en-GB"/>
        </w:rPr>
        <w:t>Mandatory Projects.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Supplier will install a dedicated project team per T&amp;T Project. The Transition Manager will be responsible for the execution of these Projects. T&amp;T Projects that will last longer than 9 months will be handed over to the ongoing PMO.  The PST Supplier shall complete the From As to Be Project and the Mandatory Projects as part of the One Time Charges.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following T&amp;T Projects can be distinguished for which dedicated streams will be installed:</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4" w:name="__RefHeading___Toc152725984"/>
      <w:bookmarkEnd w:id="24"/>
      <w:r>
        <w:rPr>
          <w:bCs/>
          <w:sz w:val="22"/>
          <w:lang w:val="en-GB"/>
        </w:rPr>
        <w:t>From As to Be</w:t>
      </w:r>
    </w:p>
    <w:p>
      <w:pPr>
        <w:pStyle w:val="Normal"/>
        <w:spacing w:before="0" w:after="0"/>
        <w:ind w:start="720" w:end="0"/>
        <w:jc w:val="both"/>
        <w:rPr>
          <w:szCs w:val="22"/>
          <w:lang w:val="en-GB"/>
        </w:rPr>
      </w:pPr>
      <w:r>
        <w:rPr>
          <w:szCs w:val="22"/>
          <w:lang w:val="en-GB"/>
        </w:rPr>
        <w:t>(To be completed by the PST Supplier in conjunction with the other PST Members)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 xml:space="preserve">The goal of this project is to get from the “As-is” to the “To-be” situation i.e. to transform the Services to the Service Levels and other requirements specified in this MSA so that they are in effect following Transformation. The program is formed by the same streams as described in Section 6 above, or additional streams if applicable. </w:t>
      </w:r>
    </w:p>
    <w:p>
      <w:pPr>
        <w:pStyle w:val="Normal"/>
        <w:spacing w:before="0" w:after="0"/>
        <w:ind w:start="720" w:end="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5" w:name="__RefHeading___Toc152725985"/>
      <w:bookmarkEnd w:id="25"/>
      <w:r>
        <w:rPr>
          <w:bCs/>
          <w:sz w:val="22"/>
          <w:lang w:val="en-GB"/>
        </w:rPr>
        <w:t>Mandatory Projects:</w:t>
      </w:r>
    </w:p>
    <w:p>
      <w:pPr>
        <w:pStyle w:val="Heading3Numbered"/>
        <w:numPr>
          <w:ilvl w:val="2"/>
          <w:numId w:val="2"/>
        </w:numPr>
        <w:ind w:hanging="720" w:start="1440" w:end="0"/>
        <w:rPr>
          <w:sz w:val="22"/>
          <w:szCs w:val="22"/>
          <w:lang w:val="en-GB"/>
        </w:rPr>
      </w:pPr>
      <w:bookmarkStart w:id="26" w:name="__RefHeading___Toc152725986"/>
      <w:bookmarkEnd w:id="26"/>
      <w:r>
        <w:rPr>
          <w:sz w:val="22"/>
          <w:szCs w:val="22"/>
          <w:lang w:val="en-GB"/>
        </w:rPr>
        <w:t>Service Portal (Vendor Alpha)</w:t>
      </w:r>
    </w:p>
    <w:p>
      <w:pPr>
        <w:pStyle w:val="Normal"/>
        <w:spacing w:before="0" w:after="0"/>
        <w:ind w:start="1440" w:end="0"/>
        <w:jc w:val="both"/>
        <w:rPr>
          <w:szCs w:val="22"/>
          <w:lang w:val="en-GB"/>
        </w:rPr>
      </w:pPr>
      <w:r>
        <w:rPr>
          <w:szCs w:val="22"/>
          <w:u w:val="single"/>
          <w:lang w:val="en-GB"/>
        </w:rPr>
        <w:t>Offered functionality</w:t>
      </w:r>
      <w:r>
        <w:rPr>
          <w:szCs w:val="22"/>
          <w:lang w:val="en-GB"/>
        </w:rPr>
        <w:t>:</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The portal will deliver the following functionality:</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w:t>
      </w:r>
      <w:r>
        <w:rPr>
          <w:szCs w:val="22"/>
          <w:lang w:val="en-GB"/>
        </w:rPr>
        <w:tab/>
        <w:t>User self service (referred to as the “</w:t>
      </w:r>
      <w:r>
        <w:rPr>
          <w:b/>
          <w:i/>
          <w:szCs w:val="22"/>
          <w:lang w:val="en-GB"/>
        </w:rPr>
        <w:t>Self Service Portal</w:t>
      </w:r>
      <w:r>
        <w:rPr>
          <w:szCs w:val="22"/>
          <w:lang w:val="en-GB"/>
        </w:rPr>
        <w:t>”)</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eProvisioning of default resources (e.g. mailbox, fileshare)</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Incident request creation and status check (this includes requests for User Access rights creation (starts a workflow in the backend (not part of the Portal))</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Access to knowledge database (KEWA)</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Access to reporting environment (central repository)</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The availability of the offered functionality to a specific end user will depend upon the role that is assigned to the end user while logging in. The role and end user configuration is part of the Self Service Portal functionality and will be part of the initial implementation.</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The “Self Service Portal” offers the following functionality:</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t>
      </w:r>
      <w:r>
        <w:rPr>
          <w:szCs w:val="22"/>
          <w:lang w:val="en-GB"/>
        </w:rPr>
        <w:tab/>
      </w:r>
      <w:r>
        <w:rPr>
          <w:i/>
          <w:szCs w:val="22"/>
          <w:lang w:val="en-GB"/>
        </w:rPr>
        <w:t>Password reset</w:t>
      </w:r>
    </w:p>
    <w:p>
      <w:pPr>
        <w:pStyle w:val="Normal"/>
        <w:spacing w:before="0" w:after="0"/>
        <w:ind w:start="2160" w:end="0"/>
        <w:jc w:val="both"/>
        <w:rPr>
          <w:szCs w:val="22"/>
          <w:lang w:val="en-GB"/>
        </w:rPr>
      </w:pPr>
      <w:r>
        <w:rPr>
          <w:szCs w:val="22"/>
          <w:lang w:val="en-GB"/>
        </w:rPr>
        <w:t>The end user can reset his/here password from any PC. Access to the actual reset is based upon the correct answering of (earlier configured) security questions.</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t>
      </w:r>
      <w:r>
        <w:rPr>
          <w:szCs w:val="22"/>
          <w:lang w:val="en-GB"/>
        </w:rPr>
        <w:tab/>
      </w:r>
      <w:r>
        <w:rPr>
          <w:i/>
          <w:szCs w:val="22"/>
          <w:lang w:val="en-GB"/>
        </w:rPr>
        <w:t>Request software and / or hardware</w:t>
      </w:r>
    </w:p>
    <w:p>
      <w:pPr>
        <w:pStyle w:val="Normal"/>
        <w:spacing w:before="0" w:after="0"/>
        <w:ind w:start="2160" w:end="0"/>
        <w:jc w:val="both"/>
        <w:rPr>
          <w:szCs w:val="22"/>
          <w:lang w:val="en-GB"/>
        </w:rPr>
      </w:pPr>
      <w:r>
        <w:rPr>
          <w:szCs w:val="22"/>
          <w:lang w:val="en-GB"/>
        </w:rPr>
        <w:t>A service catalogue will show the available items to for ordering. The available list can be configured and maintained by EuroBank procurement management and will take an approval workflow into account.</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t>
      </w:r>
      <w:r>
        <w:rPr>
          <w:szCs w:val="22"/>
          <w:lang w:val="en-GB"/>
        </w:rPr>
        <w:tab/>
      </w:r>
      <w:r>
        <w:rPr>
          <w:i/>
          <w:szCs w:val="22"/>
          <w:lang w:val="en-GB"/>
        </w:rPr>
        <w:t>Change of personal details (home site)</w:t>
      </w:r>
    </w:p>
    <w:p>
      <w:pPr>
        <w:pStyle w:val="Normal"/>
        <w:spacing w:before="0" w:after="0"/>
        <w:ind w:start="2160" w:end="0"/>
        <w:jc w:val="both"/>
        <w:rPr>
          <w:szCs w:val="22"/>
          <w:lang w:val="en-GB"/>
        </w:rPr>
      </w:pPr>
      <w:r>
        <w:rPr>
          <w:szCs w:val="22"/>
          <w:lang w:val="en-GB"/>
        </w:rPr>
        <w:t>Some personal profile components (like the home site) can be changed by the end user.</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t>
      </w:r>
      <w:r>
        <w:rPr>
          <w:szCs w:val="22"/>
          <w:lang w:val="en-GB"/>
        </w:rPr>
        <w:tab/>
      </w:r>
      <w:r>
        <w:rPr>
          <w:i/>
          <w:szCs w:val="22"/>
          <w:lang w:val="en-GB"/>
        </w:rPr>
        <w:t>User management</w:t>
      </w:r>
    </w:p>
    <w:p>
      <w:pPr>
        <w:pStyle w:val="Normal"/>
        <w:spacing w:before="0" w:after="0"/>
        <w:ind w:start="2160" w:end="0"/>
        <w:jc w:val="both"/>
        <w:rPr>
          <w:szCs w:val="22"/>
          <w:lang w:val="en-GB"/>
        </w:rPr>
      </w:pPr>
      <w:r>
        <w:rPr>
          <w:szCs w:val="22"/>
          <w:lang w:val="en-GB"/>
        </w:rPr>
        <w:t>Predefined, authorized users will be able to add and delete users and change profiles Provisioning functionality will depend on the profile created / changed.</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t>
      </w:r>
      <w:r>
        <w:rPr>
          <w:szCs w:val="22"/>
          <w:lang w:val="en-GB"/>
        </w:rPr>
        <w:tab/>
      </w:r>
      <w:r>
        <w:rPr>
          <w:i/>
          <w:szCs w:val="22"/>
          <w:lang w:val="en-GB"/>
        </w:rPr>
        <w:t>Emergency banner</w:t>
      </w:r>
    </w:p>
    <w:p>
      <w:pPr>
        <w:pStyle w:val="Normal"/>
        <w:spacing w:before="0" w:after="0"/>
        <w:ind w:start="2160" w:end="0"/>
        <w:jc w:val="both"/>
        <w:rPr>
          <w:szCs w:val="22"/>
          <w:lang w:val="en-GB"/>
        </w:rPr>
      </w:pPr>
      <w:r>
        <w:rPr>
          <w:szCs w:val="22"/>
          <w:lang w:val="en-GB"/>
        </w:rPr>
        <w:t>In case a service outage is influencing multiple end users the emergency banner will inform the end users preventing the need to call the helpdesk.</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t>
      </w:r>
      <w:r>
        <w:rPr>
          <w:szCs w:val="22"/>
          <w:lang w:val="en-GB"/>
        </w:rPr>
        <w:tab/>
      </w:r>
      <w:r>
        <w:rPr>
          <w:i/>
          <w:szCs w:val="22"/>
          <w:lang w:val="en-GB"/>
        </w:rPr>
        <w:t>News articles and banner</w:t>
      </w:r>
    </w:p>
    <w:p>
      <w:pPr>
        <w:pStyle w:val="Normal"/>
        <w:spacing w:before="0" w:after="0"/>
        <w:ind w:start="2160" w:end="0"/>
        <w:jc w:val="both"/>
        <w:rPr>
          <w:szCs w:val="22"/>
          <w:lang w:val="en-GB"/>
        </w:rPr>
      </w:pPr>
      <w:r>
        <w:rPr>
          <w:szCs w:val="22"/>
          <w:lang w:val="en-GB"/>
        </w:rPr>
        <w:t>General news articles and information will be distributed to all users.</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t>
      </w:r>
      <w:r>
        <w:rPr>
          <w:szCs w:val="22"/>
          <w:lang w:val="en-GB"/>
        </w:rPr>
        <w:tab/>
      </w:r>
      <w:r>
        <w:rPr>
          <w:i/>
          <w:szCs w:val="22"/>
          <w:lang w:val="en-GB"/>
        </w:rPr>
        <w:t>User manuals</w:t>
      </w:r>
    </w:p>
    <w:p>
      <w:pPr>
        <w:pStyle w:val="Normal"/>
        <w:spacing w:before="0" w:after="0"/>
        <w:ind w:start="2160" w:end="0"/>
        <w:jc w:val="both"/>
        <w:rPr>
          <w:szCs w:val="22"/>
          <w:lang w:val="en-GB"/>
        </w:rPr>
      </w:pPr>
      <w:r>
        <w:rPr>
          <w:szCs w:val="22"/>
          <w:lang w:val="en-GB"/>
        </w:rPr>
        <w:t>If required this functionality can be implemented as part of the knowledge database.</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t>
      </w:r>
      <w:r>
        <w:rPr>
          <w:szCs w:val="22"/>
          <w:lang w:val="en-GB"/>
        </w:rPr>
        <w:tab/>
      </w:r>
      <w:r>
        <w:rPr>
          <w:i/>
          <w:szCs w:val="22"/>
          <w:lang w:val="en-GB"/>
        </w:rPr>
        <w:t>Publication of maintenance schedules</w:t>
      </w:r>
    </w:p>
    <w:p>
      <w:pPr>
        <w:pStyle w:val="Normal"/>
        <w:spacing w:before="0" w:after="0"/>
        <w:ind w:start="2160" w:end="0"/>
        <w:jc w:val="both"/>
        <w:rPr>
          <w:szCs w:val="22"/>
          <w:lang w:val="en-GB"/>
        </w:rPr>
      </w:pPr>
      <w:r>
        <w:rPr>
          <w:szCs w:val="22"/>
          <w:lang w:val="en-GB"/>
        </w:rPr>
        <w:t>If required this functionality can be implemented as part of the central report environment.</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w:t>
      </w:r>
      <w:r>
        <w:rPr>
          <w:szCs w:val="22"/>
          <w:lang w:val="en-GB"/>
        </w:rPr>
        <w:tab/>
      </w:r>
      <w:r>
        <w:rPr>
          <w:i/>
          <w:szCs w:val="22"/>
          <w:lang w:val="en-GB"/>
        </w:rPr>
        <w:t>Contact information</w:t>
      </w:r>
    </w:p>
    <w:p>
      <w:pPr>
        <w:pStyle w:val="Normal"/>
        <w:spacing w:before="0" w:after="0"/>
        <w:ind w:start="1440" w:end="0"/>
        <w:jc w:val="both"/>
        <w:rPr>
          <w:szCs w:val="22"/>
          <w:lang w:val="en-GB"/>
        </w:rPr>
      </w:pPr>
      <w:r>
        <w:rPr>
          <w:szCs w:val="22"/>
          <w:lang w:val="en-GB"/>
        </w:rPr>
      </w:r>
    </w:p>
    <w:p>
      <w:pPr>
        <w:pStyle w:val="Normal"/>
        <w:spacing w:before="0" w:after="0"/>
        <w:ind w:hanging="720" w:start="2160" w:end="0"/>
        <w:jc w:val="both"/>
        <w:rPr/>
      </w:pPr>
      <w:r>
        <w:rPr>
          <w:szCs w:val="22"/>
          <w:lang w:val="en-GB"/>
        </w:rPr>
        <w:t>•</w:t>
      </w:r>
      <w:r>
        <w:rPr>
          <w:szCs w:val="22"/>
          <w:lang w:val="en-GB"/>
        </w:rPr>
        <w:tab/>
        <w:t>The “</w:t>
      </w:r>
      <w:r>
        <w:rPr>
          <w:i/>
          <w:szCs w:val="22"/>
          <w:lang w:val="en-GB"/>
        </w:rPr>
        <w:t>Incident request creation and status check</w:t>
      </w:r>
      <w:r>
        <w:rPr>
          <w:szCs w:val="22"/>
          <w:lang w:val="en-GB"/>
        </w:rPr>
        <w:t>” functionality enables the end user to enter a request in the central helpdesk system by means of answering some questions on web page. No other contact with the helpdesk is needed in this case.</w:t>
      </w:r>
    </w:p>
    <w:p>
      <w:pPr>
        <w:pStyle w:val="Normal"/>
        <w:spacing w:before="0" w:after="0"/>
        <w:ind w:start="1440" w:end="0"/>
        <w:jc w:val="both"/>
        <w:rPr>
          <w:szCs w:val="22"/>
          <w:lang w:val="en-GB"/>
        </w:rPr>
      </w:pPr>
      <w:r>
        <w:rPr>
          <w:szCs w:val="22"/>
          <w:lang w:val="en-GB"/>
        </w:rPr>
      </w:r>
    </w:p>
    <w:p>
      <w:pPr>
        <w:pStyle w:val="Normal"/>
        <w:spacing w:before="0" w:after="0"/>
        <w:ind w:hanging="720" w:start="2160" w:end="0"/>
        <w:jc w:val="both"/>
        <w:rPr/>
      </w:pPr>
      <w:r>
        <w:rPr>
          <w:szCs w:val="22"/>
          <w:lang w:val="en-GB"/>
        </w:rPr>
        <w:t>•</w:t>
      </w:r>
      <w:r>
        <w:rPr>
          <w:szCs w:val="22"/>
          <w:lang w:val="en-GB"/>
        </w:rPr>
        <w:tab/>
        <w:t>The “</w:t>
      </w:r>
      <w:r>
        <w:rPr>
          <w:i/>
          <w:szCs w:val="22"/>
          <w:lang w:val="en-GB"/>
        </w:rPr>
        <w:t>Access to knowledge database</w:t>
      </w:r>
      <w:r>
        <w:rPr>
          <w:szCs w:val="22"/>
          <w:lang w:val="en-GB"/>
        </w:rPr>
        <w:t>” functionality offers the end user to consult a knowledge database for answers / solutions to encountered questions / issues. The database will answer generic as well as PST specific questions (over time).</w:t>
      </w:r>
    </w:p>
    <w:p>
      <w:pPr>
        <w:pStyle w:val="Normal"/>
        <w:spacing w:before="0" w:after="0"/>
        <w:ind w:start="1440" w:end="0"/>
        <w:jc w:val="both"/>
        <w:rPr>
          <w:szCs w:val="22"/>
          <w:lang w:val="en-GB"/>
        </w:rPr>
      </w:pPr>
      <w:r>
        <w:rPr>
          <w:szCs w:val="22"/>
          <w:lang w:val="en-GB"/>
        </w:rPr>
      </w:r>
    </w:p>
    <w:p>
      <w:pPr>
        <w:pStyle w:val="Normal"/>
        <w:spacing w:before="0" w:after="0"/>
        <w:ind w:hanging="720" w:start="2160" w:end="0"/>
        <w:jc w:val="both"/>
        <w:rPr/>
      </w:pPr>
      <w:r>
        <w:rPr>
          <w:szCs w:val="22"/>
          <w:lang w:val="en-GB"/>
        </w:rPr>
        <w:t>•</w:t>
        <w:tab/>
        <w:t>The “Access to reporting environment” functionality offers the end user to access reports showing the performance of the Services. Depending on EuroBank requirements access to reports can be made role specific.</w:t>
      </w:r>
      <w:r>
        <w:rPr>
          <w:szCs w:val="22"/>
          <w:lang w:val="en-GB"/>
        </w:rPr>
      </w:r>
      <w:r>
        <w:rPr>
          <w:i/>
          <w:szCs w:val="22"/>
          <w:lang w:val="en-GB"/>
        </w:rPr>
      </w:r>
      <w:r>
        <w:rPr>
          <w:szCs w:val="22"/>
          <w:lang w:val="en-GB"/>
        </w:rPr>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u w:val="single"/>
          <w:lang w:val="en-GB"/>
        </w:rPr>
      </w:pPr>
      <w:r>
        <w:rPr>
          <w:szCs w:val="22"/>
          <w:u w:val="single"/>
          <w:lang w:val="en-GB"/>
        </w:rPr>
        <w:t>Purpose:</w:t>
      </w:r>
    </w:p>
    <w:p>
      <w:pPr>
        <w:pStyle w:val="Normal"/>
        <w:spacing w:before="0" w:after="0"/>
        <w:ind w:start="1440" w:end="0"/>
        <w:jc w:val="both"/>
        <w:rPr>
          <w:szCs w:val="22"/>
          <w:u w:val="single"/>
          <w:lang w:val="en-GB"/>
        </w:rPr>
      </w:pPr>
      <w:r>
        <w:rPr>
          <w:szCs w:val="22"/>
          <w:u w:val="single"/>
          <w:lang w:val="en-GB"/>
        </w:rPr>
      </w:r>
    </w:p>
    <w:p>
      <w:pPr>
        <w:pStyle w:val="Normal"/>
        <w:spacing w:before="0" w:after="0"/>
        <w:ind w:start="1440" w:end="0"/>
        <w:jc w:val="both"/>
        <w:rPr/>
      </w:pPr>
      <w:r>
        <w:rPr>
          <w:szCs w:val="22"/>
          <w:lang w:val="en-GB"/>
        </w:rPr>
        <w:t xml:space="preserve">The Service Portal’s main goal is to lower the support costs by enabling the end user environment to solve part of the issues themselves in an easy and quick(er) way and to increase the Service Levels (quicker and consistent) by automating part of the provisioning activities (like creating an account, mailbox and file shares). </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u w:val="single"/>
          <w:lang w:val="en-GB"/>
        </w:rPr>
        <w:t>Scope</w:t>
      </w:r>
      <w:r>
        <w:rPr>
          <w:szCs w:val="22"/>
          <w:lang w:val="en-GB"/>
        </w:rPr>
        <w:t>:</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The offered functionality is limited to the Services and PST Supplier infrastructure.</w:t>
      </w:r>
    </w:p>
    <w:p>
      <w:pPr>
        <w:pStyle w:val="Normal"/>
        <w:spacing w:before="0" w:after="0"/>
        <w:ind w:start="144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7" w:name="__RefHeading___Toc152725987"/>
      <w:bookmarkEnd w:id="27"/>
      <w:r>
        <w:rPr>
          <w:bCs/>
          <w:sz w:val="22"/>
          <w:lang w:val="en-GB"/>
        </w:rPr>
        <w:t>EuroBank Meta Directory Services Enhancement (Vendor Alpha)</w:t>
      </w:r>
    </w:p>
    <w:p>
      <w:pPr>
        <w:pStyle w:val="Normal"/>
        <w:spacing w:before="0" w:after="0"/>
        <w:ind w:start="1440" w:end="0"/>
        <w:jc w:val="both"/>
        <w:rPr>
          <w:szCs w:val="22"/>
          <w:lang w:val="en-GB"/>
        </w:rPr>
      </w:pPr>
      <w:r>
        <w:rPr>
          <w:szCs w:val="22"/>
          <w:u w:val="single"/>
          <w:lang w:val="en-GB"/>
        </w:rPr>
        <w:t>Offered functionality</w:t>
      </w:r>
      <w:r>
        <w:rPr>
          <w:szCs w:val="22"/>
          <w:lang w:val="en-GB"/>
        </w:rPr>
        <w:t>:</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The Meta Directory project will offer the implementation of a process alignment between the different identity sources / stores (as far as not already implemented by means of the current meta directory and running projects) and in particular, an alignment and extended usage-implementation of the Active Directory that will be used as identity source for the Services.</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u w:val="single"/>
          <w:lang w:val="en-GB"/>
        </w:rPr>
      </w:pPr>
      <w:r>
        <w:rPr>
          <w:szCs w:val="22"/>
          <w:u w:val="single"/>
          <w:lang w:val="en-GB"/>
        </w:rPr>
        <w:t>Purpose:</w:t>
      </w:r>
    </w:p>
    <w:p>
      <w:pPr>
        <w:pStyle w:val="Normal"/>
        <w:spacing w:before="0" w:after="0"/>
        <w:ind w:start="1440" w:end="0"/>
        <w:jc w:val="both"/>
        <w:rPr>
          <w:szCs w:val="22"/>
          <w:u w:val="single"/>
          <w:lang w:val="en-GB"/>
        </w:rPr>
      </w:pPr>
      <w:r>
        <w:rPr>
          <w:szCs w:val="22"/>
          <w:u w:val="single"/>
          <w:lang w:val="en-GB"/>
        </w:rPr>
      </w:r>
    </w:p>
    <w:p>
      <w:pPr>
        <w:pStyle w:val="Normal"/>
        <w:spacing w:before="0" w:after="0"/>
        <w:ind w:start="1440" w:end="0"/>
        <w:jc w:val="both"/>
        <w:rPr>
          <w:szCs w:val="22"/>
          <w:lang w:val="en-GB"/>
        </w:rPr>
      </w:pPr>
      <w:r>
        <w:rPr>
          <w:szCs w:val="22"/>
          <w:lang w:val="en-GB"/>
        </w:rPr>
        <w:t>The purpose of the Meta Directory project is to ensure centrally managed identities and to create the basis for a highly centralized and automated identity management infrastructure to be the source for the data in the Active Directory.</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u w:val="single"/>
          <w:lang w:val="en-GB"/>
        </w:rPr>
      </w:pPr>
      <w:r>
        <w:rPr>
          <w:szCs w:val="22"/>
          <w:u w:val="single"/>
          <w:lang w:val="en-GB"/>
        </w:rPr>
        <w:t>Scope:</w:t>
      </w:r>
    </w:p>
    <w:p>
      <w:pPr>
        <w:pStyle w:val="Normal"/>
        <w:spacing w:before="0" w:after="0"/>
        <w:ind w:start="1440" w:end="0"/>
        <w:jc w:val="both"/>
        <w:rPr>
          <w:szCs w:val="22"/>
          <w:u w:val="single"/>
          <w:lang w:val="en-GB"/>
        </w:rPr>
      </w:pPr>
      <w:r>
        <w:rPr>
          <w:szCs w:val="22"/>
          <w:u w:val="single"/>
          <w:lang w:val="en-GB"/>
        </w:rPr>
      </w:r>
    </w:p>
    <w:p>
      <w:pPr>
        <w:pStyle w:val="Normal"/>
        <w:spacing w:before="0" w:after="0"/>
        <w:ind w:start="1440" w:end="0"/>
        <w:jc w:val="both"/>
        <w:rPr/>
      </w:pPr>
      <w:r>
        <w:rPr>
          <w:szCs w:val="22"/>
          <w:lang w:val="en-GB"/>
        </w:rPr>
        <w:t>The project scope is the processes description and alignment as far as relevant for identity management and the extended implementation of centrally managed identities in the Active Directory. Within the process description and alignment, all tools / environments used within EuroBank and the PST Supplier will be positioned and described.</w:t>
      </w:r>
    </w:p>
    <w:p>
      <w:pPr>
        <w:pStyle w:val="Normal"/>
        <w:spacing w:before="0" w:after="0"/>
        <w:ind w:start="144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8" w:name="__RefHeading___Toc152725988"/>
      <w:r>
        <w:rPr>
          <w:bCs/>
          <w:sz w:val="22"/>
          <w:lang w:val="en-GB"/>
        </w:rPr>
        <w:t xml:space="preserve">PBX Release Policy (N-1) (TelCo) </w:t>
      </w:r>
      <w:bookmarkEnd w:id="28"/>
      <w:r>
        <w:rPr>
          <w:bCs/>
          <w:sz w:val="22"/>
          <w:lang w:val="en-GB"/>
        </w:rPr>
      </w:r>
    </w:p>
    <w:p>
      <w:pPr>
        <w:pStyle w:val="Normal"/>
        <w:spacing w:before="0" w:after="0"/>
        <w:ind w:start="1440" w:end="0"/>
        <w:jc w:val="both"/>
        <w:rPr>
          <w:szCs w:val="22"/>
          <w:u w:val="single"/>
          <w:lang w:val="en-GB"/>
        </w:rPr>
      </w:pPr>
      <w:r>
        <w:rPr>
          <w:szCs w:val="22"/>
          <w:u w:val="single"/>
          <w:lang w:val="en-GB"/>
        </w:rPr>
        <w:t>Purpose:</w:t>
      </w:r>
    </w:p>
    <w:p>
      <w:pPr>
        <w:pStyle w:val="Normal"/>
        <w:spacing w:before="0" w:after="0"/>
        <w:ind w:start="1440" w:end="0"/>
        <w:jc w:val="both"/>
        <w:rPr>
          <w:szCs w:val="22"/>
          <w:u w:val="single"/>
          <w:lang w:val="en-GB"/>
        </w:rPr>
      </w:pPr>
      <w:r>
        <w:rPr>
          <w:szCs w:val="22"/>
          <w:u w:val="single"/>
          <w:lang w:val="en-GB"/>
        </w:rPr>
      </w:r>
    </w:p>
    <w:p>
      <w:pPr>
        <w:pStyle w:val="Normal"/>
        <w:spacing w:before="0" w:after="0"/>
        <w:ind w:start="1440" w:end="0"/>
        <w:jc w:val="both"/>
        <w:rPr>
          <w:szCs w:val="22"/>
          <w:lang w:val="en-GB"/>
        </w:rPr>
      </w:pPr>
      <w:r>
        <w:rPr>
          <w:szCs w:val="22"/>
          <w:lang w:val="en-GB"/>
        </w:rPr>
        <w:t>The N-1 main goal is to bring all the necessary Pabx systems to the latest software release (or release N-1).</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u w:val="single"/>
          <w:lang w:val="en-GB"/>
        </w:rPr>
      </w:pPr>
      <w:r>
        <w:rPr>
          <w:szCs w:val="22"/>
          <w:u w:val="single"/>
          <w:lang w:val="en-GB"/>
        </w:rPr>
        <w:t>Scope:</w:t>
      </w:r>
    </w:p>
    <w:p>
      <w:pPr>
        <w:pStyle w:val="Normal"/>
        <w:spacing w:before="0" w:after="0"/>
        <w:ind w:start="1440" w:end="0"/>
        <w:jc w:val="both"/>
        <w:rPr>
          <w:szCs w:val="22"/>
          <w:u w:val="single"/>
          <w:lang w:val="en-GB"/>
        </w:rPr>
      </w:pPr>
      <w:r>
        <w:rPr>
          <w:szCs w:val="22"/>
          <w:u w:val="single"/>
          <w:lang w:val="en-GB"/>
        </w:rPr>
      </w:r>
    </w:p>
    <w:p>
      <w:pPr>
        <w:pStyle w:val="Normal"/>
        <w:spacing w:before="0" w:after="0"/>
        <w:ind w:start="1440" w:end="0"/>
        <w:jc w:val="both"/>
        <w:rPr>
          <w:szCs w:val="22"/>
          <w:lang w:val="en-GB"/>
        </w:rPr>
      </w:pPr>
      <w:r>
        <w:rPr>
          <w:szCs w:val="22"/>
          <w:lang w:val="en-GB"/>
        </w:rPr>
        <w:t>In this project, a distinction is made between branch offices (bank shops) and the normal offices, as follows:</w:t>
      </w:r>
    </w:p>
    <w:p>
      <w:pPr>
        <w:pStyle w:val="Normal"/>
        <w:spacing w:before="0" w:after="0"/>
        <w:ind w:start="1440" w:end="0"/>
        <w:jc w:val="both"/>
        <w:rPr>
          <w:szCs w:val="22"/>
          <w:lang w:val="en-GB"/>
        </w:rPr>
      </w:pPr>
      <w:r>
        <w:rPr>
          <w:szCs w:val="22"/>
          <w:lang w:val="en-GB"/>
        </w:rPr>
      </w:r>
    </w:p>
    <w:p>
      <w:pPr>
        <w:pStyle w:val="Normal"/>
        <w:numPr>
          <w:ilvl w:val="0"/>
          <w:numId w:val="13"/>
        </w:numPr>
        <w:tabs>
          <w:tab w:val="clear" w:pos="720"/>
          <w:tab w:val="left" w:pos="1800" w:leader="none"/>
        </w:tabs>
        <w:spacing w:before="0" w:after="0"/>
        <w:ind w:hanging="360" w:start="1800" w:end="0"/>
        <w:jc w:val="both"/>
        <w:rPr>
          <w:szCs w:val="22"/>
          <w:lang w:val="en-GB"/>
        </w:rPr>
      </w:pPr>
      <w:r>
        <w:rPr>
          <w:szCs w:val="22"/>
          <w:lang w:val="en-GB"/>
        </w:rPr>
        <w:t xml:space="preserve">The </w:t>
      </w:r>
      <w:r>
        <w:rPr>
          <w:i/>
          <w:szCs w:val="22"/>
          <w:lang w:val="en-GB"/>
        </w:rPr>
        <w:t>normal office systems</w:t>
      </w:r>
      <w:r>
        <w:rPr>
          <w:szCs w:val="22"/>
          <w:lang w:val="en-GB"/>
        </w:rPr>
        <w:t xml:space="preserve"> found in the data room in Belgium and The Netherlands will be brought to the required software level.</w:t>
      </w:r>
    </w:p>
    <w:p>
      <w:pPr>
        <w:pStyle w:val="Normal"/>
        <w:spacing w:before="0" w:after="0"/>
        <w:ind w:start="1440" w:end="0"/>
        <w:jc w:val="both"/>
        <w:rPr>
          <w:szCs w:val="22"/>
          <w:lang w:val="en-GB"/>
        </w:rPr>
      </w:pPr>
      <w:r>
        <w:rPr>
          <w:szCs w:val="22"/>
          <w:lang w:val="en-GB"/>
        </w:rPr>
      </w:r>
    </w:p>
    <w:p>
      <w:pPr>
        <w:pStyle w:val="Normal"/>
        <w:numPr>
          <w:ilvl w:val="0"/>
          <w:numId w:val="13"/>
        </w:numPr>
        <w:tabs>
          <w:tab w:val="clear" w:pos="720"/>
          <w:tab w:val="left" w:pos="1800" w:leader="none"/>
        </w:tabs>
        <w:spacing w:before="0" w:after="0"/>
        <w:ind w:hanging="360" w:start="1800" w:end="0"/>
        <w:jc w:val="both"/>
        <w:rPr>
          <w:szCs w:val="22"/>
          <w:lang w:val="en-GB"/>
        </w:rPr>
      </w:pPr>
      <w:r>
        <w:rPr>
          <w:szCs w:val="22"/>
          <w:lang w:val="en-GB"/>
        </w:rPr>
        <w:t xml:space="preserve">For the </w:t>
      </w:r>
      <w:r>
        <w:rPr>
          <w:i/>
          <w:szCs w:val="22"/>
          <w:lang w:val="en-GB"/>
        </w:rPr>
        <w:t>branch offices</w:t>
      </w:r>
      <w:r>
        <w:rPr>
          <w:szCs w:val="22"/>
          <w:lang w:val="en-GB"/>
        </w:rPr>
        <w:t xml:space="preserve"> a different approach is required because bringing all known systems to the required N-1 or higher software level is not possible. It turns out that about 20% of all ports, representing about 80% of all systems, cannot be upgraded for a cost less than a full replacement of these systems. In this case, all the systems in Belgium for the bank shops have already been updated and 241 systems in the Netherlands for the bank shops should be replaced (the amount found in the data room). For this reason, it is suggested that instead of replacing all the systems, an extension of the life time is chosen and only replace systems if they cannot be repaired. </w:t>
      </w:r>
    </w:p>
    <w:p>
      <w:pPr>
        <w:pStyle w:val="Normal"/>
        <w:spacing w:before="0" w:after="0"/>
        <w:ind w:start="144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fr-FR"/>
        </w:rPr>
      </w:pPr>
      <w:bookmarkStart w:id="29" w:name="__RefHeading___Toc152725989"/>
      <w:bookmarkEnd w:id="29"/>
      <w:r>
        <w:rPr>
          <w:bCs/>
          <w:sz w:val="22"/>
          <w:lang w:val="fr-FR"/>
        </w:rPr>
        <w:t>BCP/DR Transformation Project (Vendor Beta)</w:t>
      </w:r>
    </w:p>
    <w:p>
      <w:pPr>
        <w:pStyle w:val="Normal"/>
        <w:spacing w:before="0" w:after="0"/>
        <w:ind w:start="1440" w:end="0"/>
        <w:jc w:val="both"/>
        <w:rPr>
          <w:szCs w:val="22"/>
          <w:lang w:val="en-GB"/>
        </w:rPr>
      </w:pPr>
      <w:r>
        <w:rPr>
          <w:szCs w:val="22"/>
          <w:u w:val="single"/>
          <w:lang w:val="en-GB"/>
        </w:rPr>
        <w:t>Purpose</w:t>
      </w:r>
      <w:r>
        <w:rPr>
          <w:szCs w:val="22"/>
          <w:lang w:val="en-GB"/>
        </w:rPr>
        <w:t>:</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The BCP/DR Transformation Project’s main objective is to establish a best practice BCP/DR capability aligned to EuroBank’s business needs and requirements with respect to the SWS Function scope (findings of PST Supplier due-diligence highlighted that current BCP/DR capability is not as expected).</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As a major part of the overall security compliance programme, the BCP/DR Transformation Project will deliver the following:</w:t>
      </w:r>
    </w:p>
    <w:p>
      <w:pPr>
        <w:pStyle w:val="Normal"/>
        <w:spacing w:before="0" w:after="0"/>
        <w:ind w:start="1440" w:end="0"/>
        <w:jc w:val="both"/>
        <w:rPr>
          <w:szCs w:val="22"/>
          <w:lang w:val="en-GB"/>
        </w:rPr>
      </w:pPr>
      <w:r>
        <w:rPr>
          <w:szCs w:val="22"/>
          <w:lang w:val="en-GB"/>
        </w:rPr>
      </w:r>
    </w:p>
    <w:p>
      <w:pPr>
        <w:pStyle w:val="Normal"/>
        <w:spacing w:before="0" w:after="0"/>
        <w:ind w:hanging="720" w:start="2160" w:end="0"/>
        <w:jc w:val="both"/>
        <w:rPr/>
      </w:pPr>
      <w:r>
        <w:rPr>
          <w:szCs w:val="22"/>
          <w:lang w:val="en-GB"/>
        </w:rPr>
        <w:t>•</w:t>
        <w:tab/>
        <w:t>Top-down assessment of EuroBank’s BCP/DR requirements and capability, and which will take as input, the bottom-up IT Service technical assessment of the PST Suppliers</w:t>
      </w:r>
      <w:r>
        <w:rPr>
          <w:szCs w:val="22"/>
          <w:lang w:val="en-GB"/>
        </w:rPr>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Risk assessment of the ‘as-is’ BCP/DR Services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w:t>
      </w:r>
      <w:r>
        <w:rPr>
          <w:szCs w:val="22"/>
          <w:lang w:val="en-GB"/>
        </w:rPr>
        <w:tab/>
        <w:t>Develop the BCP/DR strategy</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The proposed BCP/DR Transformation Project is required in order to determine whether EuroBank’s ‘as-is’ business BCP/DR service meets the business requirements</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If additional projects are required as an outcome of this assessment, these will be subject to the Significant Change Control Procedure.</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30" w:name="__RefHeading___Toc152725990"/>
      <w:bookmarkEnd w:id="30"/>
      <w:r>
        <w:rPr>
          <w:bCs/>
          <w:sz w:val="22"/>
          <w:lang w:val="en-GB"/>
        </w:rPr>
        <w:t>Service Desk Consolidation and Near-Shore Project (Vendor Gamma)</w:t>
      </w:r>
    </w:p>
    <w:p>
      <w:pPr>
        <w:pStyle w:val="Normal"/>
        <w:spacing w:before="0" w:after="0"/>
        <w:ind w:start="1440" w:end="0"/>
        <w:jc w:val="both"/>
        <w:rPr/>
      </w:pPr>
      <w:r>
        <w:rPr>
          <w:szCs w:val="22"/>
          <w:u w:val="single"/>
          <w:lang w:val="en-GB"/>
        </w:rPr>
        <w:t>Main Goals</w:t>
      </w:r>
      <w:r>
        <w:rPr>
          <w:szCs w:val="22"/>
          <w:lang w:val="en-GB"/>
        </w:rPr>
        <w:t>:</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 xml:space="preserve">The main goals are: </w:t>
      </w:r>
    </w:p>
    <w:p>
      <w:pPr>
        <w:pStyle w:val="Normal"/>
        <w:spacing w:before="0" w:after="0"/>
        <w:ind w:start="144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1)</w:t>
        <w:tab/>
        <w:t>Standardisation and consolidation of the 3 Service Desks into 1 Service Desk; and</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pPr>
      <w:r>
        <w:rPr>
          <w:szCs w:val="22"/>
          <w:lang w:val="en-GB"/>
        </w:rPr>
        <w:t>2)</w:t>
        <w:tab/>
        <w:t>Establishment of a “near-shore” Service Desk</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u w:val="single"/>
          <w:lang w:val="en-GB"/>
        </w:rPr>
        <w:t>Objective</w:t>
      </w:r>
      <w:r>
        <w:rPr>
          <w:szCs w:val="22"/>
          <w:lang w:val="en-GB"/>
        </w:rPr>
        <w:t>:</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The objective is to lower costs (unit rates) for EuroBank by:</w:t>
      </w:r>
    </w:p>
    <w:p>
      <w:pPr>
        <w:pStyle w:val="Normal"/>
        <w:spacing w:before="0" w:after="0"/>
        <w:ind w:start="1440" w:end="0"/>
        <w:jc w:val="both"/>
        <w:rPr>
          <w:szCs w:val="22"/>
          <w:lang w:val="en-GB"/>
        </w:rPr>
      </w:pPr>
      <w:r>
        <w:rPr>
          <w:szCs w:val="22"/>
          <w:lang w:val="en-GB"/>
        </w:rPr>
      </w:r>
    </w:p>
    <w:p>
      <w:pPr>
        <w:pStyle w:val="Normal"/>
        <w:numPr>
          <w:ilvl w:val="0"/>
          <w:numId w:val="10"/>
        </w:numPr>
        <w:spacing w:before="0" w:after="0"/>
        <w:jc w:val="both"/>
        <w:rPr>
          <w:szCs w:val="22"/>
          <w:lang w:val="en-GB"/>
        </w:rPr>
      </w:pPr>
      <w:r>
        <w:rPr>
          <w:szCs w:val="22"/>
          <w:lang w:val="en-GB"/>
        </w:rPr>
        <w:t xml:space="preserve">increasing productivity (from consolidation) </w:t>
      </w:r>
    </w:p>
    <w:p>
      <w:pPr>
        <w:pStyle w:val="Normal"/>
        <w:numPr>
          <w:ilvl w:val="0"/>
          <w:numId w:val="10"/>
        </w:numPr>
        <w:spacing w:before="0" w:after="0"/>
        <w:jc w:val="both"/>
        <w:rPr>
          <w:szCs w:val="22"/>
          <w:lang w:val="en-GB"/>
        </w:rPr>
      </w:pPr>
      <w:r>
        <w:rPr>
          <w:szCs w:val="22"/>
          <w:lang w:val="en-GB"/>
        </w:rPr>
        <w:t>lowering hourly rates (from “near-shore” re-location)</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u w:val="single"/>
          <w:lang w:val="en-GB"/>
        </w:rPr>
        <w:t>Scope</w:t>
      </w:r>
      <w:r>
        <w:rPr>
          <w:szCs w:val="22"/>
          <w:lang w:val="en-GB"/>
        </w:rPr>
        <w:t xml:space="preserve">: </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All Service Desks within the SWS Function are In Scope. After logical consolidation to use same tooling and processes, the physical consolidation will take place, followed by the near-shore re-location of the Service Desk.</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Based on the agreed HR principles, planning for the consolidation and transition to the near-shore environment will be done by EuroBank and PST Suppliers.</w:t>
      </w:r>
      <w:r>
        <w:rPr>
          <w:szCs w:val="22"/>
        </w:rPr>
      </w:r>
    </w:p>
    <w:p>
      <w:pPr>
        <w:pStyle w:val="Normal"/>
        <w:spacing w:before="0" w:after="0"/>
        <w:ind w:start="1440" w:end="0"/>
        <w:jc w:val="both"/>
        <w:rPr>
          <w:szCs w:val="22"/>
        </w:rPr>
      </w:pPr>
      <w:r>
        <w:rPr>
          <w:szCs w:val="22"/>
        </w:rPr>
      </w:r>
    </w:p>
    <w:p>
      <w:pPr>
        <w:pStyle w:val="Normal"/>
        <w:spacing w:before="0" w:after="0"/>
        <w:ind w:start="1440" w:end="0"/>
        <w:jc w:val="both"/>
        <w:rPr>
          <w:szCs w:val="22"/>
          <w:lang w:val="en-GB"/>
        </w:rPr>
      </w:pPr>
      <w:r>
        <w:rPr>
          <w:szCs w:val="22"/>
          <w:lang w:val="en-GB"/>
        </w:rPr>
        <w:t>The new location of the consolidated Service Desk will be determined 6 months after Effective Date.</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All Services agreed in the MSA will continue to be delivered during the execution of this project.</w:t>
      </w:r>
    </w:p>
    <w:p>
      <w:pPr>
        <w:pStyle w:val="Normal"/>
        <w:spacing w:before="0" w:after="0"/>
        <w:ind w:start="144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31" w:name="__RefHeading___Toc152725991"/>
      <w:bookmarkEnd w:id="31"/>
      <w:r>
        <w:rPr>
          <w:bCs/>
          <w:sz w:val="22"/>
          <w:lang w:val="en-GB"/>
        </w:rPr>
        <w:t>Security/Compliance Project (Vendor Beta)</w:t>
      </w:r>
    </w:p>
    <w:p>
      <w:pPr>
        <w:pStyle w:val="Normal"/>
        <w:spacing w:before="0" w:after="0"/>
        <w:ind w:start="1440" w:end="0"/>
        <w:jc w:val="both"/>
        <w:rPr>
          <w:szCs w:val="22"/>
          <w:lang w:val="en-GB"/>
        </w:rPr>
      </w:pPr>
      <w:r>
        <w:rPr>
          <w:szCs w:val="22"/>
          <w:u w:val="single"/>
          <w:lang w:val="en-GB"/>
        </w:rPr>
        <w:t>Purpose</w:t>
      </w:r>
      <w:r>
        <w:rPr>
          <w:szCs w:val="22"/>
          <w:lang w:val="en-GB"/>
        </w:rPr>
        <w:t>:</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 xml:space="preserve">The T&amp;T Projects are supposed to start from a sufficient ‘’as-is’’ state, then Transition and Transformation activities take place to achieve the ‘’to-be’’ state. The Security/Compliance Project is an extra effort to identify closure activities. This project follows the Transition assessment activities as executed by the PST Suppliers. This extra project is required because the current state for security Services is not known. 2IM need a separate project to identify closure activities and define business cases for possible follow-on projects to close gaps.  </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The ‘’as-is’’ state was assessed with the 2IM Security Best Practices Questionnaires in the due diligence phase. The expected outcome of this questionnaire is a 100 % response rate on the questions asked and 80% proof delivered of implementation. A deviation of +/- 5 % is allowed.</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The due diligence performed for EuroBank Security in November 2005 and February 2006 shows there is approximately 15% of its best Practices Questionnaires answered, and insufficient proof of implementation delivered. In order to establish the ‘’as-is’’ security state of EuroBank, identification of closure activities is necessary. The PST Supplier findings from the assessments as executed in the Transition Phase will serve as input for this identification. For these activities, business cases will be developed to determine with EuroBank which closure activities will need to be executed.</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u w:val="single"/>
          <w:lang w:val="en-GB"/>
        </w:rPr>
        <w:t>Scope</w:t>
      </w:r>
      <w:r>
        <w:rPr>
          <w:szCs w:val="22"/>
          <w:lang w:val="en-GB"/>
        </w:rPr>
        <w:t>:</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 xml:space="preserve">This project includes both the 2IM Services and the PST Supplier Services.  PST Supplier costs associated with the projects will be in addition to those estimated by the 2IM.  </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The output of the PST Suppliers’ technical assessment will provide ‘bottom-up’ input to the identification of closing activities that is conducted by 2IM during the “identification phase” of this project, and will capture EuroBank’s business-derived requirements for Security from sources such as security policy, operational risk management framework policy, compliance frameworks etc.</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 xml:space="preserve">This ”Bottom up – Top down’’ approach will provide a clear view on the security status ‘’as-is’’ of EuroBank. </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pPr>
      <w:r>
        <w:rPr>
          <w:szCs w:val="22"/>
          <w:lang w:val="en-GB"/>
        </w:rPr>
        <w:t>These projects will be initiated by the PST Suppliers in accordance with the Significant Change Control Procedure in agreement with EuroBank.  Costs and efforts for those projects cannot be estimated at this time.</w:t>
      </w:r>
    </w:p>
    <w:p>
      <w:pPr>
        <w:pStyle w:val="Normal"/>
        <w:spacing w:before="0" w:after="0"/>
        <w:ind w:start="144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32" w:name="__RefHeading___Toc152725992"/>
      <w:bookmarkEnd w:id="32"/>
      <w:r>
        <w:rPr>
          <w:bCs/>
          <w:sz w:val="22"/>
          <w:lang w:val="en-GB"/>
        </w:rPr>
        <w:t>2IM/EuroBank Rules of Engagement (Vendor Beta)</w:t>
      </w:r>
    </w:p>
    <w:p>
      <w:pPr>
        <w:pStyle w:val="Normal"/>
        <w:spacing w:before="0" w:after="0"/>
        <w:ind w:start="1440" w:end="0"/>
        <w:jc w:val="both"/>
        <w:rPr>
          <w:szCs w:val="22"/>
          <w:lang w:val="en-GB"/>
        </w:rPr>
      </w:pPr>
      <w:r>
        <w:rPr>
          <w:szCs w:val="22"/>
          <w:u w:val="single"/>
          <w:lang w:val="en-GB"/>
        </w:rPr>
        <w:t>Purpose</w:t>
      </w:r>
      <w:r>
        <w:rPr>
          <w:szCs w:val="22"/>
          <w:lang w:val="en-GB"/>
        </w:rPr>
        <w:t>:</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To improve collaboration between EuroBank and 2IM and define clear Touch Points and processes between EuroBank and 2IM.</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This project will be an assessment. If additional projects are required as an outcome of this assessment, these will be subject to the Significant Change Control Procedure.</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3" w:name="__RefHeading___Toc152725993"/>
      <w:bookmarkEnd w:id="33"/>
      <w:r>
        <w:rPr>
          <w:bCs/>
          <w:sz w:val="22"/>
          <w:lang w:val="en-GB"/>
        </w:rPr>
        <w:t>OVERVIEW OF KEY MILESTONES/ KEY DELIVERABLES/ TIMING</w:t>
      </w:r>
    </w:p>
    <w:p>
      <w:pPr>
        <w:pStyle w:val="Normal"/>
        <w:rPr>
          <w:lang w:val="en-GB"/>
        </w:rPr>
      </w:pPr>
      <w:r>
        <w:rPr>
          <w:lang w:val="en-GB"/>
        </w:rPr>
        <w:t>The overview provided in this chapter is based on the agreed T&amp;T Plan 1.1. Updates of this plan shall be realized by T&amp;T Program Management as stipulated in section 4 of this exhibit.</w:t>
      </w:r>
    </w:p>
    <w:p>
      <w:pPr>
        <w:pStyle w:val="Normal"/>
        <w:spacing w:before="0" w:after="0"/>
        <w:rPr>
          <w:lang w:val="en-GB"/>
        </w:rPr>
      </w:pPr>
      <w:r>
        <w:rPr>
          <w:lang w:val="en-GB"/>
        </w:rPr>
        <w:drawing>
          <wp:inline distT="0" distB="0" distL="0" distR="0">
            <wp:extent cx="5094605" cy="7762875"/>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9"/>
                    <a:srcRect l="-4" t="-3" r="-4" b="-3"/>
                    <a:stretch>
                      <a:fillRect/>
                    </a:stretch>
                  </pic:blipFill>
                  <pic:spPr bwMode="auto">
                    <a:xfrm>
                      <a:off x="0" y="0"/>
                      <a:ext cx="5094605" cy="7762875"/>
                    </a:xfrm>
                    <a:prstGeom prst="rect">
                      <a:avLst/>
                    </a:prstGeom>
                    <a:noFill/>
                  </pic:spPr>
                </pic:pic>
              </a:graphicData>
            </a:graphic>
          </wp:inline>
        </w:drawing>
      </w:r>
    </w:p>
    <w:p>
      <w:pPr>
        <w:pStyle w:val="Normal"/>
        <w:spacing w:before="0" w:after="0"/>
        <w:rPr>
          <w:lang w:val="en-GB"/>
        </w:rPr>
      </w:pPr>
      <w:r>
        <w:rPr>
          <w:lang w:val="en-GB"/>
        </w:rPr>
      </w:r>
    </w:p>
    <w:p>
      <w:pPr>
        <w:pStyle w:val="Heading1Numbered"/>
        <w:numPr>
          <w:ilvl w:val="0"/>
          <w:numId w:val="2"/>
        </w:numPr>
        <w:ind w:hanging="0" w:start="0"/>
        <w:rPr>
          <w:bCs/>
          <w:sz w:val="22"/>
          <w:lang w:val="en-GB"/>
        </w:rPr>
      </w:pPr>
      <w:bookmarkStart w:id="34" w:name="__RefHeading___Toc152725994"/>
      <w:bookmarkEnd w:id="34"/>
      <w:r>
        <w:rPr>
          <w:bCs/>
          <w:sz w:val="22"/>
          <w:lang w:val="en-GB"/>
        </w:rPr>
        <w:t>KEY RISKS</w:t>
      </w:r>
    </w:p>
    <w:p>
      <w:pPr>
        <w:pStyle w:val="Normal"/>
        <w:spacing w:before="0" w:after="0"/>
        <w:jc w:val="both"/>
        <w:rPr>
          <w:bCs/>
          <w:sz w:val="22"/>
          <w:lang w:val="en-GB"/>
        </w:rPr>
      </w:pPr>
      <w:r>
        <w:rPr>
          <w:bCs/>
          <w:sz w:val="22"/>
          <w:lang w:val="en-GB"/>
        </w:rPr>
      </w:r>
    </w:p>
    <w:p>
      <w:pPr>
        <w:pStyle w:val="Normal"/>
        <w:spacing w:before="0" w:after="0"/>
        <w:jc w:val="both"/>
        <w:rPr/>
      </w:pPr>
      <w:r>
        <w:rPr>
          <w:lang w:val="en-GB"/>
        </w:rPr>
        <w:t>The overview below details the key risks (T&amp;T Steering Committee is owner of the risks):</w:t>
      </w:r>
    </w:p>
    <w:p>
      <w:pPr>
        <w:pStyle w:val="Normal"/>
        <w:spacing w:before="0" w:after="0"/>
        <w:jc w:val="both"/>
        <w:rPr>
          <w:lang w:val="en-GB"/>
        </w:rPr>
      </w:pPr>
      <w:r>
        <w:rPr>
          <w:lang w:val="en-GB"/>
        </w:rPr>
      </w:r>
    </w:p>
    <w:p>
      <w:pPr>
        <w:pStyle w:val="Normal"/>
        <w:spacing w:before="0" w:after="0"/>
        <w:rPr>
          <w:lang w:val="en-GB"/>
        </w:rPr>
      </w:pPr>
      <w:r>
        <w:rPr>
          <w:lang w:val="en-GB"/>
        </w:rPr>
      </w:r>
    </w:p>
    <w:tbl>
      <w:tblPr>
        <w:tblW w:w="9108" w:type="dxa"/>
        <w:jc w:val="start"/>
        <w:tblInd w:w="0" w:type="dxa"/>
        <w:tblLayout w:type="fixed"/>
        <w:tblCellMar>
          <w:top w:w="0" w:type="dxa"/>
          <w:start w:w="108" w:type="dxa"/>
          <w:bottom w:w="0" w:type="dxa"/>
          <w:end w:w="108" w:type="dxa"/>
        </w:tblCellMar>
      </w:tblPr>
      <w:tblGrid>
        <w:gridCol w:w="1368"/>
        <w:gridCol w:w="2520"/>
        <w:gridCol w:w="3060"/>
        <w:gridCol w:w="1080"/>
        <w:gridCol w:w="1080"/>
      </w:tblGrid>
      <w:tr>
        <w:trPr>
          <w:tblHeader w:val="true"/>
          <w:cantSplit w:val="true"/>
        </w:trPr>
        <w:tc>
          <w:tcPr>
            <w:tcW w:w="1368" w:type="dxa"/>
            <w:tcBorders>
              <w:bottom w:val="single" w:sz="18" w:space="0" w:color="FFFFFF"/>
              <w:end w:val="single" w:sz="18" w:space="0" w:color="FFFFFF"/>
            </w:tcBorders>
            <w:shd w:fill="CCCCCC" w:val="clear"/>
          </w:tcPr>
          <w:p>
            <w:pPr>
              <w:pStyle w:val="Normal"/>
              <w:spacing w:before="120" w:after="120"/>
              <w:jc w:val="center"/>
              <w:rPr>
                <w:b/>
              </w:rPr>
            </w:pPr>
            <w:r>
              <w:rPr>
                <w:b/>
              </w:rPr>
              <w:t>Category</w:t>
            </w:r>
          </w:p>
        </w:tc>
        <w:tc>
          <w:tcPr>
            <w:tcW w:w="2520" w:type="dxa"/>
            <w:tcBorders>
              <w:start w:val="single" w:sz="18" w:space="0" w:color="FFFFFF"/>
              <w:bottom w:val="single" w:sz="18" w:space="0" w:color="FFFFFF"/>
              <w:end w:val="single" w:sz="18" w:space="0" w:color="FFFFFF"/>
            </w:tcBorders>
            <w:shd w:fill="CCCCCC" w:val="clear"/>
          </w:tcPr>
          <w:p>
            <w:pPr>
              <w:pStyle w:val="Normal"/>
              <w:spacing w:before="120" w:after="120"/>
              <w:jc w:val="center"/>
              <w:rPr>
                <w:b/>
              </w:rPr>
            </w:pPr>
            <w:r>
              <w:rPr>
                <w:b/>
              </w:rPr>
              <w:t>Description</w:t>
            </w:r>
          </w:p>
        </w:tc>
        <w:tc>
          <w:tcPr>
            <w:tcW w:w="3060" w:type="dxa"/>
            <w:tcBorders>
              <w:start w:val="single" w:sz="18" w:space="0" w:color="FFFFFF"/>
              <w:bottom w:val="single" w:sz="18" w:space="0" w:color="FFFFFF"/>
              <w:end w:val="single" w:sz="18" w:space="0" w:color="FFFFFF"/>
            </w:tcBorders>
            <w:shd w:fill="CCCCCC" w:val="clear"/>
          </w:tcPr>
          <w:p>
            <w:pPr>
              <w:pStyle w:val="Normal"/>
              <w:spacing w:before="120" w:after="120"/>
              <w:jc w:val="center"/>
              <w:rPr>
                <w:b/>
              </w:rPr>
            </w:pPr>
            <w:r>
              <w:rPr>
                <w:b/>
              </w:rPr>
              <w:t>Mitigation</w:t>
            </w:r>
          </w:p>
        </w:tc>
        <w:tc>
          <w:tcPr>
            <w:tcW w:w="1080" w:type="dxa"/>
            <w:tcBorders>
              <w:start w:val="single" w:sz="18" w:space="0" w:color="FFFFFF"/>
              <w:bottom w:val="single" w:sz="18" w:space="0" w:color="FFFFFF"/>
              <w:end w:val="single" w:sz="18" w:space="0" w:color="FFFFFF"/>
            </w:tcBorders>
            <w:shd w:fill="CCCCCC" w:val="clear"/>
          </w:tcPr>
          <w:p>
            <w:pPr>
              <w:pStyle w:val="Normal"/>
              <w:spacing w:before="120" w:after="120"/>
              <w:jc w:val="center"/>
              <w:rPr>
                <w:b/>
              </w:rPr>
            </w:pPr>
            <w:r>
              <w:rPr>
                <w:b/>
              </w:rPr>
              <w:t>Prob.</w:t>
            </w:r>
          </w:p>
        </w:tc>
        <w:tc>
          <w:tcPr>
            <w:tcW w:w="1080" w:type="dxa"/>
            <w:tcBorders>
              <w:start w:val="single" w:sz="18" w:space="0" w:color="FFFFFF"/>
              <w:bottom w:val="single" w:sz="18" w:space="0" w:color="FFFFFF"/>
            </w:tcBorders>
            <w:shd w:fill="CCCCCC" w:val="clear"/>
          </w:tcPr>
          <w:p>
            <w:pPr>
              <w:pStyle w:val="Normal"/>
              <w:spacing w:before="120" w:after="120"/>
              <w:jc w:val="center"/>
              <w:rPr>
                <w:b/>
              </w:rPr>
            </w:pPr>
            <w:r>
              <w:rPr>
                <w:b/>
              </w:rPr>
              <w:t>Impact</w:t>
            </w:r>
          </w:p>
        </w:tc>
      </w:tr>
      <w:tr>
        <w:trPr>
          <w:cantSplit w:val="true"/>
        </w:trPr>
        <w:tc>
          <w:tcPr>
            <w:tcW w:w="1368" w:type="dxa"/>
            <w:tcBorders>
              <w:top w:val="single" w:sz="18" w:space="0" w:color="FFFFFF"/>
              <w:bottom w:val="single" w:sz="18" w:space="0" w:color="FFFFFF"/>
              <w:end w:val="single" w:sz="18" w:space="0" w:color="FFFFFF"/>
            </w:tcBorders>
            <w:shd w:fill="F2F2F2" w:val="clear"/>
          </w:tcPr>
          <w:p>
            <w:pPr>
              <w:pStyle w:val="Normal"/>
              <w:widowControl/>
              <w:bidi w:val="0"/>
              <w:spacing w:before="120" w:after="120"/>
              <w:rPr/>
            </w:pPr>
            <w:r>
              <w:rPr/>
              <w:t>Business resistance</w:t>
            </w:r>
          </w:p>
        </w:tc>
        <w:tc>
          <w:tcPr>
            <w:tcW w:w="2520" w:type="dxa"/>
            <w:tcBorders>
              <w:top w:val="single" w:sz="18" w:space="0" w:color="FFFFFF"/>
              <w:start w:val="single" w:sz="18" w:space="0" w:color="FFFFFF"/>
              <w:bottom w:val="single" w:sz="18" w:space="0" w:color="FFFFFF"/>
              <w:end w:val="single" w:sz="18" w:space="0" w:color="FFFFFF"/>
            </w:tcBorders>
            <w:shd w:fill="F2F2F2" w:val="clear"/>
          </w:tcPr>
          <w:p>
            <w:pPr>
              <w:pStyle w:val="Normal"/>
              <w:widowControl/>
              <w:bidi w:val="0"/>
              <w:spacing w:before="120" w:after="120"/>
              <w:rPr/>
            </w:pPr>
            <w:r>
              <w:rPr/>
              <w:t>The business owners may put up resistance to their IT function being migrated to PST</w:t>
            </w:r>
          </w:p>
          <w:p>
            <w:pPr>
              <w:pStyle w:val="Normal"/>
              <w:rPr/>
            </w:pPr>
            <w:r>
              <w:rPr/>
            </w:r>
          </w:p>
          <w:p>
            <w:pPr>
              <w:pStyle w:val="Normal"/>
              <w:widowControl/>
              <w:bidi w:val="0"/>
              <w:spacing w:before="120" w:after="120"/>
              <w:rPr/>
            </w:pPr>
            <w:r>
              <w:rPr/>
            </w:r>
          </w:p>
        </w:tc>
        <w:tc>
          <w:tcPr>
            <w:tcW w:w="3060" w:type="dxa"/>
            <w:tcBorders>
              <w:top w:val="single" w:sz="18" w:space="0" w:color="FFFFFF"/>
              <w:start w:val="single" w:sz="18" w:space="0" w:color="FFFFFF"/>
              <w:bottom w:val="single" w:sz="18" w:space="0" w:color="FFFFFF"/>
              <w:end w:val="single" w:sz="18" w:space="0" w:color="FFFFFF"/>
            </w:tcBorders>
            <w:shd w:fill="F2F2F2" w:val="clear"/>
          </w:tcPr>
          <w:p>
            <w:pPr>
              <w:pStyle w:val="Normal"/>
              <w:widowControl/>
              <w:bidi w:val="0"/>
              <w:spacing w:before="120" w:after="120"/>
              <w:rPr/>
            </w:pPr>
            <w:r>
              <w:rPr/>
              <w:t>Mandated EuroBank governance bodies in place.</w:t>
            </w:r>
          </w:p>
          <w:p>
            <w:pPr>
              <w:pStyle w:val="Normal"/>
              <w:widowControl/>
              <w:bidi w:val="0"/>
              <w:spacing w:before="120" w:after="120"/>
              <w:rPr/>
            </w:pPr>
            <w:r>
              <w:rPr/>
              <w:t>Including communication to the business.</w:t>
            </w:r>
          </w:p>
        </w:tc>
        <w:tc>
          <w:tcPr>
            <w:tcW w:w="1080" w:type="dxa"/>
            <w:tcBorders>
              <w:top w:val="single" w:sz="18" w:space="0" w:color="FFFFFF"/>
              <w:start w:val="single" w:sz="18" w:space="0" w:color="FFFFFF"/>
              <w:bottom w:val="single" w:sz="18" w:space="0" w:color="FFFFFF"/>
              <w:end w:val="single" w:sz="18" w:space="0" w:color="FFFFFF"/>
            </w:tcBorders>
            <w:shd w:fill="F2F2F2" w:val="clear"/>
          </w:tcPr>
          <w:p>
            <w:pPr>
              <w:pStyle w:val="Normal"/>
              <w:spacing w:before="120" w:after="120"/>
              <w:jc w:val="center"/>
              <w:rPr/>
            </w:pPr>
            <w:r>
              <w:rPr/>
              <w:t>Medium</w:t>
            </w:r>
          </w:p>
        </w:tc>
        <w:tc>
          <w:tcPr>
            <w:tcW w:w="1080" w:type="dxa"/>
            <w:tcBorders>
              <w:top w:val="single" w:sz="18" w:space="0" w:color="FFFFFF"/>
              <w:start w:val="single" w:sz="18" w:space="0" w:color="FFFFFF"/>
              <w:bottom w:val="single" w:sz="18" w:space="0" w:color="FFFFFF"/>
            </w:tcBorders>
            <w:shd w:fill="F2F2F2" w:val="clear"/>
          </w:tcPr>
          <w:p>
            <w:pPr>
              <w:pStyle w:val="Normal"/>
              <w:spacing w:before="120" w:after="120"/>
              <w:jc w:val="center"/>
              <w:rPr/>
            </w:pPr>
            <w:r>
              <w:rPr/>
              <w:t>High</w:t>
            </w:r>
          </w:p>
          <w:p>
            <w:pPr>
              <w:pStyle w:val="Normal"/>
              <w:spacing w:before="120" w:after="120"/>
              <w:jc w:val="center"/>
              <w:rPr/>
            </w:pPr>
            <w:r>
              <w:rPr/>
            </w:r>
          </w:p>
        </w:tc>
      </w:tr>
      <w:tr>
        <w:trPr>
          <w:cantSplit w:val="true"/>
        </w:trPr>
        <w:tc>
          <w:tcPr>
            <w:tcW w:w="1368" w:type="dxa"/>
            <w:tcBorders>
              <w:top w:val="single" w:sz="18" w:space="0" w:color="FFFFFF"/>
              <w:bottom w:val="single" w:sz="18" w:space="0" w:color="FFFFFF"/>
              <w:end w:val="single" w:sz="18" w:space="0" w:color="FFFFFF"/>
            </w:tcBorders>
            <w:shd w:fill="CCCCCC" w:val="clear"/>
          </w:tcPr>
          <w:p>
            <w:pPr>
              <w:pStyle w:val="Normal"/>
              <w:widowControl/>
              <w:bidi w:val="0"/>
              <w:spacing w:before="120" w:after="120"/>
              <w:rPr/>
            </w:pPr>
            <w:r>
              <w:rPr/>
              <w:t>Business  Continuity</w:t>
            </w:r>
          </w:p>
        </w:tc>
        <w:tc>
          <w:tcPr>
            <w:tcW w:w="252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Low motivation due to the outsourcing decision could cause lower quality on services provided for a short or long time period</w:t>
            </w:r>
          </w:p>
          <w:p>
            <w:pPr>
              <w:pStyle w:val="Normal"/>
              <w:rPr/>
            </w:pPr>
            <w:r>
              <w:rPr/>
            </w:r>
          </w:p>
          <w:p>
            <w:pPr>
              <w:pStyle w:val="Normal"/>
              <w:rPr/>
            </w:pPr>
            <w:r>
              <w:rPr/>
            </w:r>
          </w:p>
          <w:p>
            <w:pPr>
              <w:pStyle w:val="Normal"/>
              <w:rPr/>
            </w:pPr>
            <w:r>
              <w:rPr/>
              <w:t>As current contractors have not yet been part of the process (from PST Supplier point of view) we foresee a potential risk</w:t>
            </w:r>
          </w:p>
          <w:p>
            <w:pPr>
              <w:pStyle w:val="Normal"/>
              <w:rPr/>
            </w:pPr>
            <w:r>
              <w:rPr/>
            </w:r>
          </w:p>
          <w:p>
            <w:pPr>
              <w:pStyle w:val="Normal"/>
              <w:widowControl/>
              <w:bidi w:val="0"/>
              <w:spacing w:before="120" w:after="120"/>
              <w:rPr/>
            </w:pPr>
            <w:r>
              <w:rPr/>
              <w:t>Declining motivation and fear of job-loss will have negative effect on resolution rate.</w:t>
            </w:r>
          </w:p>
        </w:tc>
        <w:tc>
          <w:tcPr>
            <w:tcW w:w="306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Facilitate successful completion of the transition programme as speedily as possible.</w:t>
            </w:r>
          </w:p>
          <w:p>
            <w:pPr>
              <w:pStyle w:val="Normal"/>
              <w:rPr/>
            </w:pPr>
            <w:r>
              <w:rPr/>
              <w:t>Add business continuity metric to EuroBank/PST management appraisals during transition.</w:t>
            </w:r>
          </w:p>
          <w:p>
            <w:pPr>
              <w:pStyle w:val="Normal"/>
              <w:rPr/>
            </w:pPr>
            <w:r>
              <w:rPr/>
            </w:r>
          </w:p>
          <w:p>
            <w:pPr>
              <w:pStyle w:val="Normal"/>
              <w:rPr/>
            </w:pPr>
            <w:r>
              <w:rPr/>
              <w:t>After down select start working together with i.e. AMSIT and other relevant contractors.</w:t>
            </w:r>
          </w:p>
          <w:p>
            <w:pPr>
              <w:pStyle w:val="Normal"/>
              <w:rPr/>
            </w:pPr>
            <w:r>
              <w:rPr/>
              <w:t>This should be as of pre-T&amp;T phase</w:t>
            </w:r>
          </w:p>
          <w:p>
            <w:pPr>
              <w:pStyle w:val="Normal"/>
              <w:rPr/>
            </w:pPr>
            <w:r>
              <w:rPr/>
            </w:r>
          </w:p>
          <w:p>
            <w:pPr>
              <w:pStyle w:val="Normal"/>
              <w:widowControl/>
              <w:bidi w:val="0"/>
              <w:spacing w:before="120" w:after="120"/>
              <w:rPr/>
            </w:pPr>
            <w:r>
              <w:rPr/>
              <w:t>Start HR programme as soon as possible after down select. Provide for clear process for EuroBank personnel. Knowledge Transfer should be started as soon as possible.</w:t>
            </w:r>
          </w:p>
        </w:tc>
        <w:tc>
          <w:tcPr>
            <w:tcW w:w="108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jc w:val="center"/>
              <w:rPr/>
            </w:pPr>
            <w:r>
              <w:rPr/>
              <w:t>Medium</w:t>
            </w:r>
          </w:p>
        </w:tc>
        <w:tc>
          <w:tcPr>
            <w:tcW w:w="1080" w:type="dxa"/>
            <w:tcBorders>
              <w:top w:val="single" w:sz="18" w:space="0" w:color="FFFFFF"/>
              <w:start w:val="single" w:sz="18" w:space="0" w:color="FFFFFF"/>
              <w:bottom w:val="single" w:sz="18" w:space="0" w:color="FFFFFF"/>
            </w:tcBorders>
            <w:shd w:fill="CCCCCC" w:val="clear"/>
          </w:tcPr>
          <w:p>
            <w:pPr>
              <w:pStyle w:val="Normal"/>
              <w:spacing w:before="120" w:after="120"/>
              <w:jc w:val="center"/>
              <w:rPr/>
            </w:pPr>
            <w:r>
              <w:rPr/>
              <w:t>High</w:t>
            </w:r>
          </w:p>
        </w:tc>
      </w:tr>
      <w:tr>
        <w:trPr>
          <w:cantSplit w:val="true"/>
        </w:trPr>
        <w:tc>
          <w:tcPr>
            <w:tcW w:w="1368" w:type="dxa"/>
            <w:tcBorders>
              <w:top w:val="single" w:sz="18" w:space="0" w:color="FFFFFF"/>
              <w:bottom w:val="single" w:sz="18" w:space="0" w:color="FFFFFF"/>
              <w:end w:val="single" w:sz="18" w:space="0" w:color="FFFFFF"/>
            </w:tcBorders>
            <w:shd w:fill="F2F2F2" w:val="clear"/>
          </w:tcPr>
          <w:p>
            <w:pPr>
              <w:pStyle w:val="Normal"/>
              <w:widowControl/>
              <w:bidi w:val="0"/>
              <w:spacing w:before="120" w:after="120"/>
              <w:rPr/>
            </w:pPr>
            <w:r>
              <w:rPr/>
              <w:t>Communication</w:t>
            </w:r>
          </w:p>
        </w:tc>
        <w:tc>
          <w:tcPr>
            <w:tcW w:w="2520" w:type="dxa"/>
            <w:tcBorders>
              <w:top w:val="single" w:sz="18" w:space="0" w:color="FFFFFF"/>
              <w:start w:val="single" w:sz="18" w:space="0" w:color="FFFFFF"/>
              <w:bottom w:val="single" w:sz="18" w:space="0" w:color="FFFFFF"/>
              <w:end w:val="single" w:sz="18" w:space="0" w:color="FFFFFF"/>
            </w:tcBorders>
            <w:shd w:fill="F2F2F2" w:val="clear"/>
          </w:tcPr>
          <w:p>
            <w:pPr>
              <w:pStyle w:val="Normal"/>
              <w:widowControl/>
              <w:bidi w:val="0"/>
              <w:spacing w:before="120" w:after="120"/>
              <w:rPr/>
            </w:pPr>
            <w:r>
              <w:rPr/>
              <w:t>Difficult to send a consistent message to all effected staff and across the business, which could create rumours</w:t>
            </w:r>
          </w:p>
        </w:tc>
        <w:tc>
          <w:tcPr>
            <w:tcW w:w="3060" w:type="dxa"/>
            <w:tcBorders>
              <w:top w:val="single" w:sz="18" w:space="0" w:color="FFFFFF"/>
              <w:start w:val="single" w:sz="18" w:space="0" w:color="FFFFFF"/>
              <w:bottom w:val="single" w:sz="18" w:space="0" w:color="FFFFFF"/>
              <w:end w:val="single" w:sz="18" w:space="0" w:color="FFFFFF"/>
            </w:tcBorders>
            <w:shd w:fill="F2F2F2" w:val="clear"/>
          </w:tcPr>
          <w:p>
            <w:pPr>
              <w:pStyle w:val="Normal"/>
              <w:widowControl/>
              <w:bidi w:val="0"/>
              <w:spacing w:before="120" w:after="120"/>
              <w:rPr/>
            </w:pPr>
            <w:r>
              <w:rPr/>
              <w:t>All communication related to SWS addressed to staff, internal business units and all public are aligned and/or informed by the communication work stream</w:t>
            </w:r>
          </w:p>
        </w:tc>
        <w:tc>
          <w:tcPr>
            <w:tcW w:w="1080" w:type="dxa"/>
            <w:tcBorders>
              <w:top w:val="single" w:sz="18" w:space="0" w:color="FFFFFF"/>
              <w:start w:val="single" w:sz="18" w:space="0" w:color="FFFFFF"/>
              <w:bottom w:val="single" w:sz="18" w:space="0" w:color="FFFFFF"/>
              <w:end w:val="single" w:sz="18" w:space="0" w:color="FFFFFF"/>
            </w:tcBorders>
            <w:shd w:fill="F2F2F2" w:val="clear"/>
          </w:tcPr>
          <w:p>
            <w:pPr>
              <w:pStyle w:val="Normal"/>
              <w:spacing w:before="120" w:after="120"/>
              <w:jc w:val="center"/>
              <w:rPr/>
            </w:pPr>
            <w:r>
              <w:rPr/>
              <w:t>Low</w:t>
            </w:r>
          </w:p>
        </w:tc>
        <w:tc>
          <w:tcPr>
            <w:tcW w:w="1080" w:type="dxa"/>
            <w:tcBorders>
              <w:top w:val="single" w:sz="18" w:space="0" w:color="FFFFFF"/>
              <w:start w:val="single" w:sz="18" w:space="0" w:color="FFFFFF"/>
              <w:bottom w:val="single" w:sz="18" w:space="0" w:color="FFFFFF"/>
            </w:tcBorders>
            <w:shd w:fill="F2F2F2" w:val="clear"/>
          </w:tcPr>
          <w:p>
            <w:pPr>
              <w:pStyle w:val="Normal"/>
              <w:spacing w:before="120" w:after="120"/>
              <w:jc w:val="center"/>
              <w:rPr/>
            </w:pPr>
            <w:r>
              <w:rPr/>
              <w:t>High</w:t>
            </w:r>
          </w:p>
        </w:tc>
      </w:tr>
      <w:tr>
        <w:trPr>
          <w:cantSplit w:val="true"/>
        </w:trPr>
        <w:tc>
          <w:tcPr>
            <w:tcW w:w="1368" w:type="dxa"/>
            <w:tcBorders>
              <w:top w:val="single" w:sz="18" w:space="0" w:color="FFFFFF"/>
              <w:bottom w:val="single" w:sz="18" w:space="0" w:color="FFFFFF"/>
              <w:end w:val="single" w:sz="18" w:space="0" w:color="FFFFFF"/>
            </w:tcBorders>
            <w:shd w:fill="CCCCCC" w:val="clear"/>
          </w:tcPr>
          <w:p>
            <w:pPr>
              <w:pStyle w:val="Normal"/>
              <w:widowControl/>
              <w:bidi w:val="0"/>
              <w:spacing w:before="120" w:after="120"/>
              <w:rPr/>
            </w:pPr>
            <w:r>
              <w:rPr/>
              <w:t>Loss of key skills</w:t>
            </w:r>
          </w:p>
        </w:tc>
        <w:tc>
          <w:tcPr>
            <w:tcW w:w="252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Key personnel may decide to leave before or after transfer. This could cause lower quality on services provide for a short or long timeframe</w:t>
            </w:r>
          </w:p>
        </w:tc>
        <w:tc>
          <w:tcPr>
            <w:tcW w:w="306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Make employees feel welcome and valued in the new organisations and provide them with clear career roadmaps. Identify key personnel and treat them as a distinct stakeholder group. Use knowledge transfer.</w:t>
            </w:r>
          </w:p>
        </w:tc>
        <w:tc>
          <w:tcPr>
            <w:tcW w:w="108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jc w:val="center"/>
              <w:rPr/>
            </w:pPr>
            <w:r>
              <w:rPr/>
              <w:t>High</w:t>
            </w:r>
          </w:p>
        </w:tc>
        <w:tc>
          <w:tcPr>
            <w:tcW w:w="1080" w:type="dxa"/>
            <w:tcBorders>
              <w:top w:val="single" w:sz="18" w:space="0" w:color="FFFFFF"/>
              <w:start w:val="single" w:sz="18" w:space="0" w:color="FFFFFF"/>
              <w:bottom w:val="single" w:sz="18" w:space="0" w:color="FFFFFF"/>
            </w:tcBorders>
            <w:shd w:fill="CCCCCC" w:val="clear"/>
          </w:tcPr>
          <w:p>
            <w:pPr>
              <w:pStyle w:val="Normal"/>
              <w:spacing w:before="120" w:after="120"/>
              <w:jc w:val="center"/>
              <w:rPr/>
            </w:pPr>
            <w:r>
              <w:rPr/>
              <w:t>High</w:t>
            </w:r>
          </w:p>
        </w:tc>
      </w:tr>
      <w:tr>
        <w:trPr>
          <w:cantSplit w:val="true"/>
        </w:trPr>
        <w:tc>
          <w:tcPr>
            <w:tcW w:w="1368" w:type="dxa"/>
            <w:tcBorders>
              <w:top w:val="single" w:sz="18" w:space="0" w:color="FFFFFF"/>
              <w:bottom w:val="single" w:sz="18" w:space="0" w:color="FFFFFF"/>
              <w:end w:val="single" w:sz="18" w:space="0" w:color="FFFFFF"/>
            </w:tcBorders>
            <w:shd w:fill="F2F2F2" w:val="clear"/>
          </w:tcPr>
          <w:p>
            <w:pPr>
              <w:pStyle w:val="Normal"/>
              <w:widowControl/>
              <w:bidi w:val="0"/>
              <w:spacing w:before="120" w:after="120"/>
              <w:rPr/>
            </w:pPr>
            <w:r>
              <w:rPr/>
              <w:t>Change awareness</w:t>
            </w:r>
          </w:p>
        </w:tc>
        <w:tc>
          <w:tcPr>
            <w:tcW w:w="2520" w:type="dxa"/>
            <w:tcBorders>
              <w:top w:val="single" w:sz="18" w:space="0" w:color="FFFFFF"/>
              <w:start w:val="single" w:sz="18" w:space="0" w:color="FFFFFF"/>
              <w:bottom w:val="single" w:sz="18" w:space="0" w:color="FFFFFF"/>
              <w:end w:val="single" w:sz="18" w:space="0" w:color="FFFFFF"/>
            </w:tcBorders>
            <w:shd w:fill="F2F2F2" w:val="clear"/>
          </w:tcPr>
          <w:p>
            <w:pPr>
              <w:pStyle w:val="Normal"/>
              <w:widowControl/>
              <w:bidi w:val="0"/>
              <w:spacing w:before="120" w:after="120"/>
              <w:rPr/>
            </w:pPr>
            <w:r>
              <w:rPr/>
              <w:t>The proposal involves considerable change for employees.  This may lead to a resistance to change from employees which may impact the implementation of change initiatives</w:t>
            </w:r>
          </w:p>
        </w:tc>
        <w:tc>
          <w:tcPr>
            <w:tcW w:w="3060" w:type="dxa"/>
            <w:tcBorders>
              <w:top w:val="single" w:sz="18" w:space="0" w:color="FFFFFF"/>
              <w:start w:val="single" w:sz="18" w:space="0" w:color="FFFFFF"/>
              <w:bottom w:val="single" w:sz="18" w:space="0" w:color="FFFFFF"/>
              <w:end w:val="single" w:sz="18" w:space="0" w:color="FFFFFF"/>
            </w:tcBorders>
            <w:shd w:fill="F2F2F2" w:val="clear"/>
          </w:tcPr>
          <w:p>
            <w:pPr>
              <w:pStyle w:val="Normal"/>
              <w:widowControl/>
              <w:bidi w:val="0"/>
              <w:spacing w:before="120" w:after="120"/>
              <w:rPr/>
            </w:pPr>
            <w:r>
              <w:rPr/>
              <w:t>The overall programme management function would co-ordinate all change management activities, designing and delivering specific, focused interventions. Wherever possible, PST invites transferring employees to work on the change initiatives. In addition, an interactive communications  programme underlines the change programme. EuroBank has setup Change Awareness training for all people in scope within Belgium and The Netherlands.</w:t>
            </w:r>
          </w:p>
        </w:tc>
        <w:tc>
          <w:tcPr>
            <w:tcW w:w="1080" w:type="dxa"/>
            <w:tcBorders>
              <w:top w:val="single" w:sz="18" w:space="0" w:color="FFFFFF"/>
              <w:start w:val="single" w:sz="18" w:space="0" w:color="FFFFFF"/>
              <w:bottom w:val="single" w:sz="18" w:space="0" w:color="FFFFFF"/>
              <w:end w:val="single" w:sz="18" w:space="0" w:color="FFFFFF"/>
            </w:tcBorders>
            <w:shd w:fill="F2F2F2" w:val="clear"/>
          </w:tcPr>
          <w:p>
            <w:pPr>
              <w:pStyle w:val="Normal"/>
              <w:spacing w:before="120" w:after="120"/>
              <w:jc w:val="center"/>
              <w:rPr/>
            </w:pPr>
            <w:r>
              <w:rPr/>
              <w:t>High</w:t>
            </w:r>
          </w:p>
        </w:tc>
        <w:tc>
          <w:tcPr>
            <w:tcW w:w="1080" w:type="dxa"/>
            <w:tcBorders>
              <w:top w:val="single" w:sz="18" w:space="0" w:color="FFFFFF"/>
              <w:start w:val="single" w:sz="18" w:space="0" w:color="FFFFFF"/>
              <w:bottom w:val="single" w:sz="18" w:space="0" w:color="FFFFFF"/>
            </w:tcBorders>
            <w:shd w:fill="F2F2F2" w:val="clear"/>
          </w:tcPr>
          <w:p>
            <w:pPr>
              <w:pStyle w:val="Normal"/>
              <w:spacing w:before="120" w:after="120"/>
              <w:jc w:val="center"/>
              <w:rPr/>
            </w:pPr>
            <w:r>
              <w:rPr/>
              <w:t>High</w:t>
            </w:r>
          </w:p>
          <w:p>
            <w:pPr>
              <w:pStyle w:val="Normal"/>
              <w:spacing w:before="120" w:after="120"/>
              <w:jc w:val="center"/>
              <w:rPr/>
            </w:pPr>
            <w:r>
              <w:rPr/>
            </w:r>
          </w:p>
        </w:tc>
      </w:tr>
      <w:tr>
        <w:trPr>
          <w:cantSplit w:val="true"/>
        </w:trPr>
        <w:tc>
          <w:tcPr>
            <w:tcW w:w="1368" w:type="dxa"/>
            <w:tcBorders>
              <w:top w:val="single" w:sz="18" w:space="0" w:color="FFFFFF"/>
              <w:bottom w:val="single" w:sz="18" w:space="0" w:color="FFFFFF"/>
              <w:end w:val="single" w:sz="18" w:space="0" w:color="FFFFFF"/>
            </w:tcBorders>
            <w:shd w:fill="F2F2F2" w:val="clear"/>
          </w:tcPr>
          <w:p>
            <w:pPr>
              <w:pStyle w:val="Normal"/>
              <w:widowControl/>
              <w:bidi w:val="0"/>
              <w:spacing w:before="120" w:after="120"/>
              <w:rPr/>
            </w:pPr>
            <w:r>
              <w:rPr/>
              <w:t>No Social Protocol for SWS</w:t>
            </w:r>
          </w:p>
        </w:tc>
        <w:tc>
          <w:tcPr>
            <w:tcW w:w="2520" w:type="dxa"/>
            <w:tcBorders>
              <w:top w:val="single" w:sz="18" w:space="0" w:color="FFFFFF"/>
              <w:start w:val="single" w:sz="18" w:space="0" w:color="FFFFFF"/>
              <w:bottom w:val="single" w:sz="18" w:space="0" w:color="FFFFFF"/>
              <w:end w:val="single" w:sz="18" w:space="0" w:color="FFFFFF"/>
            </w:tcBorders>
            <w:shd w:fill="F2F2F2" w:val="clear"/>
          </w:tcPr>
          <w:p>
            <w:pPr>
              <w:pStyle w:val="Normal"/>
              <w:widowControl/>
              <w:bidi w:val="0"/>
              <w:spacing w:before="120" w:after="120"/>
              <w:rPr/>
            </w:pPr>
            <w:r>
              <w:rPr/>
              <w:t>Parties concerned cannot agree on Social Protocol</w:t>
            </w:r>
          </w:p>
        </w:tc>
        <w:tc>
          <w:tcPr>
            <w:tcW w:w="3060" w:type="dxa"/>
            <w:tcBorders>
              <w:top w:val="single" w:sz="18" w:space="0" w:color="FFFFFF"/>
              <w:start w:val="single" w:sz="18" w:space="0" w:color="FFFFFF"/>
              <w:bottom w:val="single" w:sz="18" w:space="0" w:color="FFFFFF"/>
              <w:end w:val="single" w:sz="18" w:space="0" w:color="FFFFFF"/>
            </w:tcBorders>
            <w:shd w:fill="F2F2F2" w:val="clear"/>
          </w:tcPr>
          <w:p>
            <w:pPr>
              <w:pStyle w:val="Normal"/>
              <w:widowControl/>
              <w:bidi w:val="0"/>
              <w:spacing w:before="120" w:after="120"/>
              <w:rPr/>
            </w:pPr>
            <w:r>
              <w:rPr/>
              <w:t>Postpone date of transfer</w:t>
            </w:r>
          </w:p>
          <w:p>
            <w:pPr>
              <w:pStyle w:val="Normal"/>
              <w:widowControl/>
              <w:bidi w:val="0"/>
              <w:spacing w:before="120" w:after="120"/>
              <w:rPr/>
            </w:pPr>
            <w:r>
              <w:rPr/>
              <w:t>Postpone harmonisation (keeping employees on pay-roll of EuroBank and second them to PST)</w:t>
            </w:r>
          </w:p>
        </w:tc>
        <w:tc>
          <w:tcPr>
            <w:tcW w:w="1080" w:type="dxa"/>
            <w:tcBorders>
              <w:top w:val="single" w:sz="18" w:space="0" w:color="FFFFFF"/>
              <w:start w:val="single" w:sz="18" w:space="0" w:color="FFFFFF"/>
              <w:bottom w:val="single" w:sz="18" w:space="0" w:color="FFFFFF"/>
              <w:end w:val="single" w:sz="18" w:space="0" w:color="FFFFFF"/>
            </w:tcBorders>
            <w:shd w:fill="F2F2F2" w:val="clear"/>
          </w:tcPr>
          <w:p>
            <w:pPr>
              <w:pStyle w:val="Normal"/>
              <w:spacing w:before="120" w:after="120"/>
              <w:jc w:val="center"/>
              <w:rPr/>
            </w:pPr>
            <w:r>
              <w:rPr/>
              <w:t>Low</w:t>
            </w:r>
          </w:p>
        </w:tc>
        <w:tc>
          <w:tcPr>
            <w:tcW w:w="1080" w:type="dxa"/>
            <w:tcBorders>
              <w:top w:val="single" w:sz="18" w:space="0" w:color="FFFFFF"/>
              <w:start w:val="single" w:sz="18" w:space="0" w:color="FFFFFF"/>
              <w:bottom w:val="single" w:sz="18" w:space="0" w:color="FFFFFF"/>
            </w:tcBorders>
            <w:shd w:fill="F2F2F2" w:val="clear"/>
          </w:tcPr>
          <w:p>
            <w:pPr>
              <w:pStyle w:val="Normal"/>
              <w:widowControl/>
              <w:bidi w:val="0"/>
              <w:spacing w:before="120" w:after="120"/>
              <w:rPr/>
            </w:pPr>
            <w:r>
              <w:rPr/>
              <w:t>High</w:t>
            </w:r>
          </w:p>
          <w:p>
            <w:pPr>
              <w:pStyle w:val="Normal"/>
              <w:widowControl/>
              <w:bidi w:val="0"/>
              <w:spacing w:before="120" w:after="120"/>
              <w:rPr/>
            </w:pPr>
            <w:r>
              <w:rPr/>
            </w:r>
          </w:p>
        </w:tc>
      </w:tr>
      <w:tr>
        <w:trPr>
          <w:cantSplit w:val="true"/>
        </w:trPr>
        <w:tc>
          <w:tcPr>
            <w:tcW w:w="1368" w:type="dxa"/>
            <w:tcBorders>
              <w:top w:val="single" w:sz="18" w:space="0" w:color="FFFFFF"/>
              <w:bottom w:val="single" w:sz="18" w:space="0" w:color="FFFFFF"/>
              <w:end w:val="single" w:sz="18" w:space="0" w:color="FFFFFF"/>
            </w:tcBorders>
            <w:shd w:fill="CCCCCC" w:val="clear"/>
          </w:tcPr>
          <w:p>
            <w:pPr>
              <w:pStyle w:val="Normal"/>
              <w:widowControl/>
              <w:bidi w:val="0"/>
              <w:spacing w:before="120" w:after="120"/>
              <w:rPr/>
            </w:pPr>
            <w:r>
              <w:rPr/>
              <w:t>No or negative advice by Works Council (Both EuroBank and PST)</w:t>
            </w:r>
          </w:p>
        </w:tc>
        <w:tc>
          <w:tcPr>
            <w:tcW w:w="252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Works council does not have enough information or will not provide positive advice</w:t>
            </w:r>
          </w:p>
        </w:tc>
        <w:tc>
          <w:tcPr>
            <w:tcW w:w="306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Analyse possible hold-ups</w:t>
            </w:r>
          </w:p>
          <w:p>
            <w:pPr>
              <w:pStyle w:val="Normal"/>
              <w:widowControl/>
              <w:bidi w:val="0"/>
              <w:spacing w:before="120" w:after="120"/>
              <w:rPr/>
            </w:pPr>
            <w:r>
              <w:rPr/>
              <w:t>Adjusting goals / providing missing data</w:t>
            </w:r>
          </w:p>
        </w:tc>
        <w:tc>
          <w:tcPr>
            <w:tcW w:w="108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jc w:val="center"/>
              <w:rPr/>
            </w:pPr>
            <w:r>
              <w:rPr/>
              <w:t>Medium</w:t>
            </w:r>
          </w:p>
        </w:tc>
        <w:tc>
          <w:tcPr>
            <w:tcW w:w="1080" w:type="dxa"/>
            <w:tcBorders>
              <w:top w:val="single" w:sz="18" w:space="0" w:color="FFFFFF"/>
              <w:start w:val="single" w:sz="18" w:space="0" w:color="FFFFFF"/>
              <w:bottom w:val="single" w:sz="18" w:space="0" w:color="FFFFFF"/>
            </w:tcBorders>
            <w:shd w:fill="CCCCCC" w:val="clear"/>
          </w:tcPr>
          <w:p>
            <w:pPr>
              <w:pStyle w:val="Normal"/>
              <w:spacing w:before="120" w:after="120"/>
              <w:jc w:val="center"/>
              <w:rPr/>
            </w:pPr>
            <w:r>
              <w:rPr/>
              <w:t>High</w:t>
            </w:r>
          </w:p>
        </w:tc>
      </w:tr>
      <w:tr>
        <w:trPr>
          <w:cantSplit w:val="true"/>
        </w:trPr>
        <w:tc>
          <w:tcPr>
            <w:tcW w:w="1368" w:type="dxa"/>
            <w:tcBorders>
              <w:top w:val="single" w:sz="18" w:space="0" w:color="FFFFFF"/>
              <w:bottom w:val="single" w:sz="18" w:space="0" w:color="FFFFFF"/>
              <w:end w:val="single" w:sz="18" w:space="0" w:color="FFFFFF"/>
            </w:tcBorders>
            <w:shd w:fill="CCCCCC" w:val="clear"/>
          </w:tcPr>
          <w:p>
            <w:pPr>
              <w:pStyle w:val="Normal"/>
              <w:widowControl/>
              <w:bidi w:val="0"/>
              <w:spacing w:before="120" w:after="120"/>
              <w:rPr/>
            </w:pPr>
            <w:r>
              <w:rPr/>
              <w:t>Missing agreed ED and CD timelines</w:t>
            </w:r>
          </w:p>
        </w:tc>
        <w:tc>
          <w:tcPr>
            <w:tcW w:w="252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Due to unclarity of ED and CD teams can not proactively been staffed which will delay the program</w:t>
            </w:r>
          </w:p>
        </w:tc>
        <w:tc>
          <w:tcPr>
            <w:tcW w:w="306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 xml:space="preserve">Agree on clear and realistic dates of ED and CD by EuroBank and PST </w:t>
            </w:r>
          </w:p>
        </w:tc>
        <w:tc>
          <w:tcPr>
            <w:tcW w:w="108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jc w:val="center"/>
              <w:rPr/>
            </w:pPr>
            <w:r>
              <w:rPr/>
              <w:t>Low</w:t>
            </w:r>
          </w:p>
        </w:tc>
        <w:tc>
          <w:tcPr>
            <w:tcW w:w="1080" w:type="dxa"/>
            <w:tcBorders>
              <w:top w:val="single" w:sz="18" w:space="0" w:color="FFFFFF"/>
              <w:start w:val="single" w:sz="18" w:space="0" w:color="FFFFFF"/>
              <w:bottom w:val="single" w:sz="18" w:space="0" w:color="FFFFFF"/>
            </w:tcBorders>
            <w:shd w:fill="CCCCCC" w:val="clear"/>
          </w:tcPr>
          <w:p>
            <w:pPr>
              <w:pStyle w:val="Normal"/>
              <w:widowControl/>
              <w:bidi w:val="0"/>
              <w:spacing w:before="120" w:after="120"/>
              <w:rPr/>
            </w:pPr>
            <w:r>
              <w:rPr/>
              <w:t>High</w:t>
            </w:r>
          </w:p>
        </w:tc>
      </w:tr>
      <w:tr>
        <w:trPr>
          <w:cantSplit w:val="true"/>
        </w:trPr>
        <w:tc>
          <w:tcPr>
            <w:tcW w:w="1368" w:type="dxa"/>
            <w:tcBorders>
              <w:top w:val="single" w:sz="18" w:space="0" w:color="FFFFFF"/>
              <w:bottom w:val="single" w:sz="18" w:space="0" w:color="FFFFFF"/>
              <w:end w:val="single" w:sz="18" w:space="0" w:color="FFFFFF"/>
            </w:tcBorders>
            <w:shd w:fill="CCCCCC" w:val="clear"/>
          </w:tcPr>
          <w:p>
            <w:pPr>
              <w:pStyle w:val="Normal"/>
              <w:widowControl/>
              <w:bidi w:val="0"/>
              <w:spacing w:before="120" w:after="120"/>
              <w:rPr/>
            </w:pPr>
            <w:r>
              <w:rPr/>
              <w:t>Continuity of (EuroBank and PST) T&amp;T Team</w:t>
            </w:r>
          </w:p>
        </w:tc>
        <w:tc>
          <w:tcPr>
            <w:tcW w:w="252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Discontinuity of key roles in the T&amp;T team can delay the program</w:t>
            </w:r>
          </w:p>
        </w:tc>
        <w:tc>
          <w:tcPr>
            <w:tcW w:w="306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rPr>
                <w:rFonts w:cs="Arial"/>
              </w:rPr>
            </w:pPr>
            <w:r>
              <w:rPr>
                <w:rFonts w:cs="Arial"/>
              </w:rPr>
              <w:t>Commitment of EuroBank and PST executives to keep the T&amp;T team intact.</w:t>
            </w:r>
          </w:p>
          <w:p>
            <w:pPr>
              <w:pStyle w:val="Normal"/>
              <w:widowControl/>
              <w:bidi w:val="0"/>
              <w:spacing w:before="120" w:after="120"/>
              <w:rPr/>
            </w:pPr>
            <w:r>
              <w:rPr/>
              <w:t>Define PST names on key roles in Exhibit 19 “Key PST personnel”. EuroBank will state names on key roles at Effective Date.</w:t>
            </w:r>
          </w:p>
        </w:tc>
        <w:tc>
          <w:tcPr>
            <w:tcW w:w="108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jc w:val="center"/>
              <w:rPr/>
            </w:pPr>
            <w:r>
              <w:rPr/>
              <w:t>High</w:t>
            </w:r>
          </w:p>
        </w:tc>
        <w:tc>
          <w:tcPr>
            <w:tcW w:w="1080" w:type="dxa"/>
            <w:tcBorders>
              <w:top w:val="single" w:sz="18" w:space="0" w:color="FFFFFF"/>
              <w:start w:val="single" w:sz="18" w:space="0" w:color="FFFFFF"/>
              <w:bottom w:val="single" w:sz="18" w:space="0" w:color="FFFFFF"/>
            </w:tcBorders>
            <w:shd w:fill="CCCCCC" w:val="clear"/>
          </w:tcPr>
          <w:p>
            <w:pPr>
              <w:pStyle w:val="Normal"/>
              <w:spacing w:before="120" w:after="120"/>
              <w:jc w:val="center"/>
              <w:rPr/>
            </w:pPr>
            <w:r>
              <w:rPr/>
              <w:t>High</w:t>
            </w:r>
          </w:p>
        </w:tc>
      </w:tr>
      <w:tr>
        <w:trPr>
          <w:cantSplit w:val="true"/>
        </w:trPr>
        <w:tc>
          <w:tcPr>
            <w:tcW w:w="1368" w:type="dxa"/>
            <w:tcBorders>
              <w:top w:val="single" w:sz="18" w:space="0" w:color="FFFFFF"/>
              <w:bottom w:val="single" w:sz="18" w:space="0" w:color="FFFFFF"/>
              <w:end w:val="single" w:sz="18" w:space="0" w:color="FFFFFF"/>
            </w:tcBorders>
            <w:shd w:fill="CCCCCC" w:val="clear"/>
          </w:tcPr>
          <w:p>
            <w:pPr>
              <w:pStyle w:val="Normal"/>
              <w:widowControl/>
              <w:bidi w:val="0"/>
              <w:spacing w:before="120" w:after="120"/>
              <w:rPr/>
            </w:pPr>
            <w:r>
              <w:rPr/>
              <w:t>Delay in Transition program, e.g. security procedures, access to systems and sites</w:t>
            </w:r>
          </w:p>
        </w:tc>
        <w:tc>
          <w:tcPr>
            <w:tcW w:w="252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Cost of the transition program will increase, motivation of the team will decrease</w:t>
            </w:r>
          </w:p>
        </w:tc>
        <w:tc>
          <w:tcPr>
            <w:tcW w:w="306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Both EuroBank and PST transition team to identify in early stage, to take measurements, e.g. work arounds</w:t>
            </w:r>
          </w:p>
        </w:tc>
        <w:tc>
          <w:tcPr>
            <w:tcW w:w="108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jc w:val="center"/>
              <w:rPr/>
            </w:pPr>
            <w:r>
              <w:rPr/>
              <w:t>Medium</w:t>
            </w:r>
          </w:p>
        </w:tc>
        <w:tc>
          <w:tcPr>
            <w:tcW w:w="1080" w:type="dxa"/>
            <w:tcBorders>
              <w:top w:val="single" w:sz="18" w:space="0" w:color="FFFFFF"/>
              <w:start w:val="single" w:sz="18" w:space="0" w:color="FFFFFF"/>
              <w:bottom w:val="single" w:sz="18" w:space="0" w:color="FFFFFF"/>
            </w:tcBorders>
            <w:shd w:fill="CCCCCC" w:val="clear"/>
          </w:tcPr>
          <w:p>
            <w:pPr>
              <w:pStyle w:val="Normal"/>
              <w:spacing w:before="120" w:after="120"/>
              <w:jc w:val="center"/>
              <w:rPr/>
            </w:pPr>
            <w:r>
              <w:rPr/>
              <w:t>High</w:t>
            </w:r>
          </w:p>
        </w:tc>
      </w:tr>
      <w:tr>
        <w:trPr>
          <w:cantSplit w:val="true"/>
        </w:trPr>
        <w:tc>
          <w:tcPr>
            <w:tcW w:w="1368" w:type="dxa"/>
            <w:tcBorders>
              <w:top w:val="single" w:sz="18" w:space="0" w:color="FFFFFF"/>
              <w:bottom w:val="single" w:sz="18" w:space="0" w:color="FFFFFF"/>
              <w:end w:val="single" w:sz="18" w:space="0" w:color="FFFFFF"/>
            </w:tcBorders>
            <w:shd w:fill="CCCCCC" w:val="clear"/>
          </w:tcPr>
          <w:p>
            <w:pPr>
              <w:pStyle w:val="Normal"/>
              <w:spacing w:before="120" w:after="120"/>
              <w:rPr>
                <w:rFonts w:cs="Arial"/>
              </w:rPr>
            </w:pPr>
            <w:r>
              <w:rPr>
                <w:rFonts w:cs="Arial"/>
              </w:rPr>
              <w:t>Retained Organization not  in place on time</w:t>
            </w:r>
          </w:p>
          <w:p>
            <w:pPr>
              <w:pStyle w:val="Normal"/>
              <w:spacing w:before="120" w:after="120"/>
              <w:rPr>
                <w:rFonts w:cs="Arial"/>
              </w:rPr>
            </w:pPr>
            <w:r>
              <w:rPr>
                <w:rFonts w:cs="Arial"/>
              </w:rPr>
              <w:t>(EuroBank and PST)</w:t>
            </w:r>
          </w:p>
        </w:tc>
        <w:tc>
          <w:tcPr>
            <w:tcW w:w="252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rPr>
                <w:rFonts w:cs="Arial"/>
              </w:rPr>
            </w:pPr>
            <w:r>
              <w:rPr>
                <w:rFonts w:cs="Arial"/>
              </w:rPr>
              <w:t>Disrupting / delaying the transition process and jeopardizing the service continuity.</w:t>
            </w:r>
          </w:p>
        </w:tc>
        <w:tc>
          <w:tcPr>
            <w:tcW w:w="306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rPr>
                <w:rFonts w:cs="Arial"/>
              </w:rPr>
            </w:pPr>
            <w:r>
              <w:rPr>
                <w:rFonts w:cs="Arial"/>
              </w:rPr>
              <w:t>Define clear planning with clear milestones enables to set up the standing organisation on time</w:t>
            </w:r>
          </w:p>
        </w:tc>
        <w:tc>
          <w:tcPr>
            <w:tcW w:w="108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jc w:val="center"/>
              <w:rPr/>
            </w:pPr>
            <w:r>
              <w:rPr/>
              <w:t>Low</w:t>
            </w:r>
          </w:p>
        </w:tc>
        <w:tc>
          <w:tcPr>
            <w:tcW w:w="1080" w:type="dxa"/>
            <w:tcBorders>
              <w:top w:val="single" w:sz="18" w:space="0" w:color="FFFFFF"/>
              <w:start w:val="single" w:sz="18" w:space="0" w:color="FFFFFF"/>
              <w:bottom w:val="single" w:sz="18" w:space="0" w:color="FFFFFF"/>
            </w:tcBorders>
            <w:shd w:fill="CCCCCC" w:val="clear"/>
          </w:tcPr>
          <w:p>
            <w:pPr>
              <w:pStyle w:val="Normal"/>
              <w:spacing w:before="120" w:after="120"/>
              <w:jc w:val="center"/>
              <w:rPr/>
            </w:pPr>
            <w:r>
              <w:rPr/>
              <w:t>High</w:t>
            </w:r>
          </w:p>
        </w:tc>
      </w:tr>
      <w:tr>
        <w:trPr>
          <w:cantSplit w:val="true"/>
        </w:trPr>
        <w:tc>
          <w:tcPr>
            <w:tcW w:w="1368" w:type="dxa"/>
            <w:tcBorders>
              <w:top w:val="single" w:sz="18" w:space="0" w:color="FFFFFF"/>
              <w:bottom w:val="single" w:sz="18" w:space="0" w:color="FFFFFF"/>
              <w:end w:val="single" w:sz="18" w:space="0" w:color="FFFFFF"/>
            </w:tcBorders>
            <w:shd w:fill="CCCCCC" w:val="clear"/>
          </w:tcPr>
          <w:p>
            <w:pPr>
              <w:pStyle w:val="Normal"/>
              <w:spacing w:before="120" w:after="120"/>
              <w:rPr>
                <w:rFonts w:cs="Arial"/>
              </w:rPr>
            </w:pPr>
            <w:r>
              <w:rPr>
                <w:rFonts w:cs="Arial"/>
              </w:rPr>
              <w:t>Missing the mandated steering board in place on time</w:t>
            </w:r>
          </w:p>
        </w:tc>
        <w:tc>
          <w:tcPr>
            <w:tcW w:w="252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rPr>
                <w:rFonts w:cs="Arial"/>
              </w:rPr>
            </w:pPr>
            <w:r>
              <w:rPr>
                <w:rFonts w:cs="Arial"/>
              </w:rPr>
              <w:t>Delay as result of lacking mandated steering board for adequate decision making (both EuroBank and PST)</w:t>
            </w:r>
          </w:p>
        </w:tc>
        <w:tc>
          <w:tcPr>
            <w:tcW w:w="306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rPr>
                <w:rFonts w:cs="Arial"/>
              </w:rPr>
            </w:pPr>
            <w:r>
              <w:rPr>
                <w:rFonts w:cs="Arial"/>
              </w:rPr>
              <w:t>Define clear planning with clear milestones enables to set up the steering board on time</w:t>
            </w:r>
          </w:p>
        </w:tc>
        <w:tc>
          <w:tcPr>
            <w:tcW w:w="108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jc w:val="center"/>
              <w:rPr/>
            </w:pPr>
            <w:r>
              <w:rPr/>
              <w:t xml:space="preserve">Medium </w:t>
            </w:r>
          </w:p>
        </w:tc>
        <w:tc>
          <w:tcPr>
            <w:tcW w:w="1080" w:type="dxa"/>
            <w:tcBorders>
              <w:top w:val="single" w:sz="18" w:space="0" w:color="FFFFFF"/>
              <w:start w:val="single" w:sz="18" w:space="0" w:color="FFFFFF"/>
              <w:bottom w:val="single" w:sz="18" w:space="0" w:color="FFFFFF"/>
            </w:tcBorders>
            <w:shd w:fill="CCCCCC" w:val="clear"/>
          </w:tcPr>
          <w:p>
            <w:pPr>
              <w:pStyle w:val="Normal"/>
              <w:spacing w:before="120" w:after="120"/>
              <w:jc w:val="center"/>
              <w:rPr/>
            </w:pPr>
            <w:r>
              <w:rPr/>
              <w:t>High</w:t>
            </w:r>
          </w:p>
        </w:tc>
      </w:tr>
      <w:tr>
        <w:trPr>
          <w:cantSplit w:val="true"/>
        </w:trPr>
        <w:tc>
          <w:tcPr>
            <w:tcW w:w="1368" w:type="dxa"/>
            <w:tcBorders>
              <w:top w:val="single" w:sz="18" w:space="0" w:color="FFFFFF"/>
              <w:bottom w:val="single" w:sz="18" w:space="0" w:color="FFFFFF"/>
              <w:end w:val="single" w:sz="18" w:space="0" w:color="FFFFFF"/>
            </w:tcBorders>
            <w:shd w:fill="CCCCCC" w:val="clear"/>
          </w:tcPr>
          <w:p>
            <w:pPr>
              <w:pStyle w:val="Normal"/>
              <w:widowControl/>
              <w:bidi w:val="0"/>
              <w:spacing w:before="120" w:after="120"/>
              <w:rPr/>
            </w:pPr>
            <w:r>
              <w:rPr/>
              <w:t>Overload of Management</w:t>
            </w:r>
          </w:p>
        </w:tc>
        <w:tc>
          <w:tcPr>
            <w:tcW w:w="252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Pre Commencement Date period is a very hectic and loaded timeframe</w:t>
            </w:r>
          </w:p>
        </w:tc>
        <w:tc>
          <w:tcPr>
            <w:tcW w:w="3060" w:type="dxa"/>
            <w:tcBorders>
              <w:top w:val="single" w:sz="18" w:space="0" w:color="FFFFFF"/>
              <w:start w:val="single" w:sz="18" w:space="0" w:color="FFFFFF"/>
              <w:bottom w:val="single" w:sz="18" w:space="0" w:color="FFFFFF"/>
              <w:end w:val="single" w:sz="18" w:space="0" w:color="FFFFFF"/>
            </w:tcBorders>
            <w:shd w:fill="CCCCCC" w:val="clear"/>
          </w:tcPr>
          <w:p>
            <w:pPr>
              <w:pStyle w:val="Normal"/>
              <w:widowControl/>
              <w:bidi w:val="0"/>
              <w:spacing w:before="120" w:after="120"/>
              <w:rPr/>
            </w:pPr>
            <w:r>
              <w:rPr/>
              <w:t>Attention from both EuroBank and PST HR and line managers</w:t>
            </w:r>
          </w:p>
          <w:p>
            <w:pPr>
              <w:pStyle w:val="Normal"/>
              <w:rPr/>
            </w:pPr>
            <w:r>
              <w:rPr/>
              <w:t>Define tasks for manager and associated infused manager</w:t>
            </w:r>
          </w:p>
          <w:p>
            <w:pPr>
              <w:pStyle w:val="Normal"/>
              <w:widowControl/>
              <w:bidi w:val="0"/>
              <w:spacing w:before="120" w:after="120"/>
              <w:rPr/>
            </w:pPr>
            <w:r>
              <w:rPr/>
            </w:r>
          </w:p>
        </w:tc>
        <w:tc>
          <w:tcPr>
            <w:tcW w:w="1080" w:type="dxa"/>
            <w:tcBorders>
              <w:top w:val="single" w:sz="18" w:space="0" w:color="FFFFFF"/>
              <w:start w:val="single" w:sz="18" w:space="0" w:color="FFFFFF"/>
              <w:bottom w:val="single" w:sz="18" w:space="0" w:color="FFFFFF"/>
              <w:end w:val="single" w:sz="18" w:space="0" w:color="FFFFFF"/>
            </w:tcBorders>
            <w:shd w:fill="CCCCCC" w:val="clear"/>
          </w:tcPr>
          <w:p>
            <w:pPr>
              <w:pStyle w:val="Normal"/>
              <w:spacing w:before="120" w:after="120"/>
              <w:jc w:val="center"/>
              <w:rPr/>
            </w:pPr>
            <w:r>
              <w:rPr/>
              <w:t>Medium</w:t>
            </w:r>
          </w:p>
        </w:tc>
        <w:tc>
          <w:tcPr>
            <w:tcW w:w="1080" w:type="dxa"/>
            <w:tcBorders>
              <w:top w:val="single" w:sz="18" w:space="0" w:color="FFFFFF"/>
              <w:start w:val="single" w:sz="18" w:space="0" w:color="FFFFFF"/>
              <w:bottom w:val="single" w:sz="18" w:space="0" w:color="FFFFFF"/>
            </w:tcBorders>
            <w:shd w:fill="CCCCCC" w:val="clear"/>
          </w:tcPr>
          <w:p>
            <w:pPr>
              <w:pStyle w:val="Normal"/>
              <w:spacing w:before="120" w:after="120"/>
              <w:jc w:val="center"/>
              <w:rPr/>
            </w:pPr>
            <w:r>
              <w:rPr/>
              <w:t>High</w:t>
            </w:r>
          </w:p>
        </w:tc>
      </w:tr>
      <w:tr>
        <w:trPr>
          <w:cantSplit w:val="true"/>
        </w:trPr>
        <w:tc>
          <w:tcPr>
            <w:tcW w:w="1368" w:type="dxa"/>
            <w:tcBorders>
              <w:top w:val="single" w:sz="18" w:space="0" w:color="FFFFFF"/>
              <w:end w:val="single" w:sz="18" w:space="0" w:color="FFFFFF"/>
            </w:tcBorders>
            <w:shd w:fill="CCCCCC" w:val="clear"/>
          </w:tcPr>
          <w:p>
            <w:pPr>
              <w:pStyle w:val="Normal"/>
              <w:widowControl/>
              <w:bidi w:val="0"/>
              <w:spacing w:before="120" w:after="120"/>
              <w:rPr/>
            </w:pPr>
            <w:r>
              <w:rPr/>
              <w:t>High Attrition</w:t>
            </w:r>
          </w:p>
        </w:tc>
        <w:tc>
          <w:tcPr>
            <w:tcW w:w="2520" w:type="dxa"/>
            <w:tcBorders>
              <w:top w:val="single" w:sz="18" w:space="0" w:color="FFFFFF"/>
              <w:start w:val="single" w:sz="18" w:space="0" w:color="FFFFFF"/>
              <w:end w:val="single" w:sz="18" w:space="0" w:color="FFFFFF"/>
            </w:tcBorders>
            <w:shd w:fill="CCCCCC" w:val="clear"/>
          </w:tcPr>
          <w:p>
            <w:pPr>
              <w:pStyle w:val="Normal"/>
              <w:widowControl/>
              <w:bidi w:val="0"/>
              <w:spacing w:before="120" w:after="120"/>
              <w:rPr/>
            </w:pPr>
            <w:r>
              <w:rPr/>
              <w:t>Significant groups (relative to the bundle scope) and/or key knowledge decide to leave EuroBank before Commencement Date</w:t>
            </w:r>
          </w:p>
        </w:tc>
        <w:tc>
          <w:tcPr>
            <w:tcW w:w="3060" w:type="dxa"/>
            <w:tcBorders>
              <w:top w:val="single" w:sz="18" w:space="0" w:color="FFFFFF"/>
              <w:start w:val="single" w:sz="18" w:space="0" w:color="FFFFFF"/>
              <w:end w:val="single" w:sz="18" w:space="0" w:color="FFFFFF"/>
            </w:tcBorders>
            <w:shd w:fill="CCCCCC" w:val="clear"/>
          </w:tcPr>
          <w:p>
            <w:pPr>
              <w:pStyle w:val="Normal"/>
              <w:widowControl/>
              <w:bidi w:val="0"/>
              <w:spacing w:before="120" w:after="120"/>
              <w:rPr/>
            </w:pPr>
            <w:r>
              <w:rPr/>
              <w:t>Secure staff by clear communication</w:t>
            </w:r>
          </w:p>
          <w:p>
            <w:pPr>
              <w:pStyle w:val="Normal"/>
              <w:widowControl/>
              <w:bidi w:val="0"/>
              <w:spacing w:before="120" w:after="120"/>
              <w:rPr/>
            </w:pPr>
            <w:r>
              <w:rPr/>
              <w:t>Speed up knowledge transfer</w:t>
            </w:r>
          </w:p>
        </w:tc>
        <w:tc>
          <w:tcPr>
            <w:tcW w:w="1080" w:type="dxa"/>
            <w:tcBorders>
              <w:top w:val="single" w:sz="18" w:space="0" w:color="FFFFFF"/>
              <w:start w:val="single" w:sz="18" w:space="0" w:color="FFFFFF"/>
              <w:end w:val="single" w:sz="18" w:space="0" w:color="FFFFFF"/>
            </w:tcBorders>
            <w:shd w:fill="CCCCCC" w:val="clear"/>
          </w:tcPr>
          <w:p>
            <w:pPr>
              <w:pStyle w:val="Normal"/>
              <w:spacing w:before="120" w:after="120"/>
              <w:jc w:val="center"/>
              <w:rPr/>
            </w:pPr>
            <w:r>
              <w:rPr/>
              <w:t>Low</w:t>
            </w:r>
          </w:p>
        </w:tc>
        <w:tc>
          <w:tcPr>
            <w:tcW w:w="1080" w:type="dxa"/>
            <w:tcBorders>
              <w:top w:val="single" w:sz="18" w:space="0" w:color="FFFFFF"/>
              <w:start w:val="single" w:sz="18" w:space="0" w:color="FFFFFF"/>
            </w:tcBorders>
            <w:shd w:fill="CCCCCC" w:val="clear"/>
          </w:tcPr>
          <w:p>
            <w:pPr>
              <w:pStyle w:val="Normal"/>
              <w:spacing w:before="120" w:after="120"/>
              <w:jc w:val="center"/>
              <w:rPr/>
            </w:pPr>
            <w:r>
              <w:rPr/>
              <w:t>High</w:t>
            </w:r>
          </w:p>
        </w:tc>
      </w:tr>
    </w:tbl>
    <w:p>
      <w:pPr>
        <w:pStyle w:val="Normal"/>
        <w:spacing w:before="0" w:after="0"/>
        <w:rPr>
          <w:lang w:val="en-GB"/>
        </w:rPr>
      </w:pPr>
      <w:r>
        <w:rPr>
          <w:lang w:val="en-GB"/>
        </w:rPr>
      </w:r>
    </w:p>
    <w:p>
      <w:pPr>
        <w:pStyle w:val="Normal"/>
        <w:spacing w:before="0" w:after="0"/>
        <w:rPr>
          <w:lang w:val="en-GB"/>
        </w:rPr>
      </w:pPr>
      <w:r>
        <w:rPr>
          <w:lang w:val="en-GB"/>
        </w:rPr>
      </w:r>
    </w:p>
    <w:p>
      <w:pPr>
        <w:pStyle w:val="Heading1Numbered"/>
        <w:numPr>
          <w:ilvl w:val="0"/>
          <w:numId w:val="2"/>
        </w:numPr>
        <w:ind w:hanging="0" w:start="0"/>
        <w:rPr>
          <w:bCs/>
          <w:sz w:val="22"/>
          <w:lang w:val="en-GB"/>
        </w:rPr>
      </w:pPr>
      <w:bookmarkStart w:id="35" w:name="__RefHeading___Toc152725995"/>
      <w:bookmarkEnd w:id="35"/>
      <w:r>
        <w:rPr>
          <w:bCs/>
          <w:sz w:val="22"/>
          <w:lang w:val="en-GB"/>
        </w:rPr>
        <w:t>T&amp;T ADJUSTMENTS</w:t>
      </w:r>
    </w:p>
    <w:p>
      <w:pPr>
        <w:pStyle w:val="Normal"/>
        <w:spacing w:before="0" w:after="0"/>
        <w:jc w:val="both"/>
        <w:rPr>
          <w:szCs w:val="22"/>
        </w:rPr>
      </w:pPr>
      <w:r>
        <w:rPr>
          <w:szCs w:val="22"/>
        </w:rPr>
        <w:t>The following Services are included in the Base Charges:</w:t>
      </w:r>
    </w:p>
    <w:p>
      <w:pPr>
        <w:pStyle w:val="Normal"/>
        <w:spacing w:before="0" w:after="0"/>
        <w:jc w:val="both"/>
        <w:rPr>
          <w:szCs w:val="22"/>
        </w:rPr>
      </w:pPr>
      <w:r>
        <w:rPr>
          <w:szCs w:val="22"/>
        </w:rPr>
      </w:r>
    </w:p>
    <w:p>
      <w:pPr>
        <w:pStyle w:val="Normal"/>
        <w:numPr>
          <w:ilvl w:val="0"/>
          <w:numId w:val="9"/>
        </w:numPr>
        <w:spacing w:before="0" w:after="0"/>
        <w:jc w:val="both"/>
        <w:rPr>
          <w:szCs w:val="22"/>
        </w:rPr>
      </w:pPr>
      <w:r>
        <w:rPr>
          <w:szCs w:val="22"/>
        </w:rPr>
        <w:t>the From As to Be Project;</w:t>
      </w:r>
    </w:p>
    <w:p>
      <w:pPr>
        <w:pStyle w:val="Normal"/>
        <w:spacing w:before="0" w:after="0"/>
        <w:ind w:start="360" w:end="0"/>
        <w:jc w:val="both"/>
        <w:rPr>
          <w:szCs w:val="22"/>
        </w:rPr>
      </w:pPr>
      <w:r>
        <w:rPr>
          <w:szCs w:val="22"/>
        </w:rPr>
      </w:r>
    </w:p>
    <w:p>
      <w:pPr>
        <w:pStyle w:val="Normal"/>
        <w:numPr>
          <w:ilvl w:val="0"/>
          <w:numId w:val="9"/>
        </w:numPr>
        <w:spacing w:before="0" w:after="0"/>
        <w:jc w:val="both"/>
        <w:rPr>
          <w:szCs w:val="22"/>
        </w:rPr>
      </w:pPr>
      <w:r>
        <w:rPr>
          <w:szCs w:val="22"/>
        </w:rPr>
        <w:t xml:space="preserve">the Mandatory Projects; and </w:t>
      </w:r>
    </w:p>
    <w:p>
      <w:pPr>
        <w:pStyle w:val="Normal"/>
        <w:spacing w:before="0" w:after="0"/>
        <w:ind w:start="360" w:end="0"/>
        <w:jc w:val="both"/>
        <w:rPr>
          <w:szCs w:val="22"/>
        </w:rPr>
      </w:pPr>
      <w:r>
        <w:rPr>
          <w:szCs w:val="22"/>
        </w:rPr>
      </w:r>
    </w:p>
    <w:p>
      <w:pPr>
        <w:pStyle w:val="Normal"/>
        <w:numPr>
          <w:ilvl w:val="0"/>
          <w:numId w:val="9"/>
        </w:numPr>
        <w:spacing w:before="0" w:after="0"/>
        <w:jc w:val="both"/>
        <w:rPr>
          <w:szCs w:val="22"/>
        </w:rPr>
      </w:pPr>
      <w:r>
        <w:rPr>
          <w:szCs w:val="22"/>
        </w:rPr>
        <w:t>all work associated with T&amp;T unless it is explicitly stated within this Exhibit 30 that any given item of such work is excluded from the Base Charges and is to be referred to the Significant Change Control Procedure.</w:t>
      </w:r>
    </w:p>
    <w:p>
      <w:pPr>
        <w:pStyle w:val="Normal"/>
        <w:spacing w:before="0" w:after="0"/>
        <w:jc w:val="both"/>
        <w:rPr>
          <w:szCs w:val="22"/>
        </w:rPr>
      </w:pPr>
      <w:r>
        <w:rPr>
          <w:szCs w:val="22"/>
        </w:rPr>
      </w:r>
    </w:p>
    <w:p>
      <w:pPr>
        <w:pStyle w:val="Normal"/>
        <w:spacing w:before="0" w:after="0"/>
        <w:jc w:val="both"/>
        <w:rPr>
          <w:szCs w:val="22"/>
        </w:rPr>
      </w:pPr>
      <w:r>
        <w:rPr>
          <w:szCs w:val="22"/>
        </w:rPr>
        <w:t>The parties accept that during the course of T&amp;T, new items of work may arise or be discovered that could not have reasonably been anticipated by the PST Suppliers during the due diligence undertaken prior to the Effective Date. In such cases, the following provisions shall apply:</w:t>
      </w:r>
    </w:p>
    <w:p>
      <w:pPr>
        <w:pStyle w:val="Normal"/>
        <w:spacing w:before="0" w:after="0"/>
        <w:jc w:val="both"/>
        <w:rPr>
          <w:szCs w:val="22"/>
        </w:rPr>
      </w:pPr>
      <w:r>
        <w:rPr>
          <w:szCs w:val="22"/>
        </w:rPr>
      </w:r>
    </w:p>
    <w:p>
      <w:pPr>
        <w:pStyle w:val="Normal"/>
        <w:numPr>
          <w:ilvl w:val="0"/>
          <w:numId w:val="6"/>
        </w:numPr>
        <w:spacing w:before="0" w:after="0"/>
        <w:jc w:val="both"/>
        <w:rPr>
          <w:szCs w:val="22"/>
        </w:rPr>
      </w:pPr>
      <w:r>
        <w:rPr>
          <w:szCs w:val="22"/>
        </w:rPr>
        <w:t>the reasonableness of the PST Supplier’s failure to anticipate the work shall be validated by the 2IM (in the light of information available to the parties at the time of due diligence and the expertise of the PST Supplier in the Service area);</w:t>
      </w:r>
    </w:p>
    <w:p>
      <w:pPr>
        <w:pStyle w:val="Normal"/>
        <w:spacing w:before="0" w:after="0"/>
        <w:ind w:start="360" w:end="0"/>
        <w:jc w:val="both"/>
        <w:rPr>
          <w:szCs w:val="22"/>
        </w:rPr>
      </w:pPr>
      <w:r>
        <w:rPr>
          <w:szCs w:val="22"/>
        </w:rPr>
      </w:r>
    </w:p>
    <w:p>
      <w:pPr>
        <w:pStyle w:val="Normal"/>
        <w:numPr>
          <w:ilvl w:val="0"/>
          <w:numId w:val="6"/>
        </w:numPr>
        <w:spacing w:before="0" w:after="0"/>
        <w:jc w:val="both"/>
        <w:rPr>
          <w:szCs w:val="22"/>
        </w:rPr>
      </w:pPr>
      <w:r>
        <w:rPr>
          <w:szCs w:val="22"/>
        </w:rPr>
        <w:t>the anticipated total value of the work concerned shall be validated by the 2IM;</w:t>
      </w:r>
    </w:p>
    <w:p>
      <w:pPr>
        <w:pStyle w:val="Normal"/>
        <w:spacing w:before="0" w:after="0"/>
        <w:jc w:val="both"/>
        <w:rPr>
          <w:szCs w:val="22"/>
        </w:rPr>
      </w:pPr>
      <w:r>
        <w:rPr>
          <w:szCs w:val="22"/>
        </w:rPr>
      </w:r>
    </w:p>
    <w:p>
      <w:pPr>
        <w:pStyle w:val="Normal"/>
        <w:numPr>
          <w:ilvl w:val="0"/>
          <w:numId w:val="6"/>
        </w:numPr>
        <w:spacing w:before="0" w:after="0"/>
        <w:jc w:val="both"/>
        <w:rPr>
          <w:lang w:val="en-GB"/>
        </w:rPr>
      </w:pPr>
      <w:r>
        <w:rPr>
          <w:szCs w:val="22"/>
        </w:rPr>
        <w:t>where that total value is equal to or exceeds € 1000, the matter shall be referred to the Significant Change Control Procedure;</w:t>
      </w:r>
    </w:p>
    <w:p>
      <w:pPr>
        <w:pStyle w:val="Normal"/>
        <w:spacing w:before="0" w:after="0"/>
        <w:jc w:val="both"/>
        <w:rPr>
          <w:szCs w:val="22"/>
          <w:lang w:val="en-GB"/>
        </w:rPr>
      </w:pPr>
      <w:r>
        <w:rPr>
          <w:szCs w:val="22"/>
          <w:lang w:val="en-GB"/>
        </w:rPr>
      </w:r>
    </w:p>
    <w:p>
      <w:pPr>
        <w:pStyle w:val="Normal"/>
        <w:numPr>
          <w:ilvl w:val="0"/>
          <w:numId w:val="6"/>
        </w:numPr>
        <w:spacing w:before="0" w:after="0"/>
        <w:jc w:val="both"/>
        <w:rPr>
          <w:lang w:val="en-GB"/>
        </w:rPr>
      </w:pPr>
      <w:r>
        <w:rPr>
          <w:szCs w:val="22"/>
        </w:rPr>
        <w:t>where that total value is less than € 1000, the matter shall be referred to the Procedural Change Control Procedure and shall form part of the PST Supplier’s Base Charges.</w:t>
      </w:r>
    </w:p>
    <w:p>
      <w:pPr>
        <w:pStyle w:val="Normal"/>
        <w:spacing w:before="0" w:after="0"/>
        <w:rPr>
          <w:lang w:val="en-GB"/>
        </w:rPr>
      </w:pPr>
      <w:r>
        <w:rPr>
          <w:lang w:val="en-GB"/>
        </w:rPr>
      </w:r>
    </w:p>
    <w:sectPr>
      <w:headerReference w:type="default" r:id="rId10"/>
      <w:headerReference w:type="first" r:id="rId11"/>
      <w:footerReference w:type="default" r:id="rId12"/>
      <w:footerReference w:type="first" r:id="rId13"/>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19</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16"/>
        <w:szCs w:val="16"/>
        <w:lang w:val="fr-F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30 (T &amp; T) Final v2.5.doc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16"/>
        <w:szCs w:val="16"/>
        <w:lang w:val="fr-F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30 (T &amp; T) Final v2.5.doc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5"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16"/>
        <w:szCs w:val="16"/>
        <w:lang w:val="fr-F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30 (T &amp; T) Final v2.5.doc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2"/>
        <w:i w:val="false"/>
        <w:b/>
        <w:szCs w:val="22"/>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lowerLetter"/>
      <w:lvlText w:val="%1)"/>
      <w:lvlJc w:val="start"/>
      <w:pPr>
        <w:tabs>
          <w:tab w:val="num" w:pos="1500"/>
        </w:tabs>
        <w:ind w:start="1500" w:hanging="360"/>
      </w:pPr>
      <w:rPr/>
    </w:lvl>
  </w:abstractNum>
  <w:abstractNum w:abstractNumId="5">
    <w:lvl w:ilvl="0">
      <w:start w:val="18"/>
      <w:numFmt w:val="decimal"/>
      <w:lvlText w:val="%1)"/>
      <w:lvlJc w:val="start"/>
      <w:pPr>
        <w:tabs>
          <w:tab w:val="num" w:pos="720"/>
        </w:tabs>
        <w:ind w:start="720" w:hanging="360"/>
      </w:pPr>
      <w:rPr/>
    </w:lvl>
  </w:abstractNum>
  <w:abstractNum w:abstractNumId="6">
    <w:lvl w:ilvl="0">
      <w:start w:val="1"/>
      <w:numFmt w:val="lowerLetter"/>
      <w:lvlText w:val="%1)"/>
      <w:lvlJc w:val="start"/>
      <w:pPr>
        <w:tabs>
          <w:tab w:val="num" w:pos="1080"/>
        </w:tabs>
        <w:ind w:start="1080" w:hanging="720"/>
      </w:pPr>
      <w:rPr/>
    </w:lvl>
  </w:abstractNum>
  <w:abstractNum w:abstractNumId="7">
    <w:lvl w:ilvl="0">
      <w:start w:val="1"/>
      <w:numFmt w:val="lowerLetter"/>
      <w:lvlText w:val="%1)"/>
      <w:lvlJc w:val="start"/>
      <w:pPr>
        <w:tabs>
          <w:tab w:val="num" w:pos="1500"/>
        </w:tabs>
        <w:ind w:start="1500" w:hanging="360"/>
      </w:pPr>
    </w:lvl>
  </w:abstractNum>
  <w:abstractNum w:abstractNumId="8">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9">
    <w:lvl w:ilvl="0">
      <w:start w:val="1"/>
      <w:numFmt w:val="lowerRoman"/>
      <w:lvlText w:val="(%1)"/>
      <w:lvlJc w:val="start"/>
      <w:pPr>
        <w:tabs>
          <w:tab w:val="num" w:pos="1080"/>
        </w:tabs>
        <w:ind w:start="1080" w:hanging="720"/>
      </w:pPr>
      <w:rPr/>
    </w:lvl>
  </w:abstractNum>
  <w:abstractNum w:abstractNumId="10">
    <w:lvl w:ilvl="0">
      <w:start w:val="1"/>
      <w:numFmt w:val="bullet"/>
      <w:lvlText w:val=""/>
      <w:lvlJc w:val="start"/>
      <w:pPr>
        <w:tabs>
          <w:tab w:val="num" w:pos="2160"/>
        </w:tabs>
        <w:ind w:start="2160" w:hanging="360"/>
      </w:pPr>
      <w:rPr>
        <w:rFonts w:ascii="Symbol" w:hAnsi="Symbol" w:cs="Symbol" w:hint="default"/>
      </w:rPr>
    </w:lvl>
  </w:abstractNum>
  <w:abstractNum w:abstractNumId="11">
    <w:lvl w:ilvl="0">
      <w:start w:val="1"/>
      <w:numFmt w:val="lowerLetter"/>
      <w:lvlText w:val="%1)"/>
      <w:lvlJc w:val="start"/>
      <w:pPr>
        <w:tabs>
          <w:tab w:val="num" w:pos="1500"/>
        </w:tabs>
        <w:ind w:start="1500" w:hanging="360"/>
      </w:pPr>
    </w:lvl>
  </w:abstractNum>
  <w:abstractNum w:abstractNumId="12">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3">
    <w:lvl w:ilvl="0">
      <w:start w:val="1"/>
      <w:numFmt w:val="bullet"/>
      <w:lvlText w:val=""/>
      <w:lvlJc w:val="start"/>
      <w:pPr>
        <w:tabs>
          <w:tab w:val="num" w:pos="2160"/>
        </w:tabs>
        <w:ind w:start="2160" w:hanging="360"/>
      </w:pPr>
      <w:rPr>
        <w:rFonts w:ascii="Symbol" w:hAnsi="Symbol" w:cs="Symbol" w:hint="default"/>
      </w:rPr>
    </w:lvl>
  </w:abstractNum>
  <w:abstractNum w:abstractNumId="14">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2"/>
      <w:szCs w:val="22"/>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Arial" w:hAnsi="Arial"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Times New Roman" w:hAnsi="Times New Roman" w:cs="Times New Roman"/>
      <w:b w:val="false"/>
      <w:i w:val="false"/>
      <w:color w:val="000000"/>
      <w:sz w:val="22"/>
    </w:rPr>
  </w:style>
  <w:style w:type="character" w:styleId="WW8Num14z1">
    <w:name w:val="WW8Num14z1"/>
    <w:qFormat/>
    <w:rPr>
      <w:rFonts w:ascii="Times New Roman" w:hAnsi="Times New Roman" w:cs="Times New Roman"/>
      <w:b w:val="false"/>
      <w:i w:val="false"/>
      <w:sz w:val="22"/>
    </w:rPr>
  </w:style>
  <w:style w:type="character" w:styleId="WW8Num14z4">
    <w:name w:val="WW8Num14z4"/>
    <w:qFormat/>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9z0">
    <w:name w:val="WW8Num19z0"/>
    <w:qFormat/>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14"/>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12"/>
      </w:numPr>
    </w:pPr>
    <w:rPr>
      <w:bCs/>
    </w:rPr>
  </w:style>
  <w:style w:type="paragraph" w:styleId="TableLevel3Numbered">
    <w:name w:val="Table Level 3 Numbered"/>
    <w:basedOn w:val="Normal"/>
    <w:qFormat/>
    <w:pPr>
      <w:numPr>
        <w:ilvl w:val="0"/>
        <w:numId w:val="12"/>
      </w:numPr>
    </w:pPr>
    <w:rPr/>
  </w:style>
  <w:style w:type="paragraph" w:styleId="TableLevel4Numbered">
    <w:name w:val="Table Level 4 Numbered"/>
    <w:basedOn w:val="Normal"/>
    <w:qFormat/>
    <w:pPr>
      <w:numPr>
        <w:ilvl w:val="0"/>
        <w:numId w:val="12"/>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8"/>
      </w:numPr>
      <w:spacing w:before="240" w:after="240"/>
    </w:pPr>
    <w:rPr/>
  </w:style>
  <w:style w:type="paragraph" w:styleId="BodyLevel2Numbered">
    <w:name w:val="Body Level 2 Numbered"/>
    <w:basedOn w:val="Normal"/>
    <w:qFormat/>
    <w:pPr>
      <w:numPr>
        <w:ilvl w:val="0"/>
        <w:numId w:val="8"/>
      </w:numPr>
      <w:spacing w:before="240" w:after="240"/>
    </w:pPr>
    <w:rPr/>
  </w:style>
  <w:style w:type="paragraph" w:styleId="BodyLevel3Numbered">
    <w:name w:val="Body Level 3 Numbered"/>
    <w:basedOn w:val="Normal"/>
    <w:qFormat/>
    <w:pPr>
      <w:numPr>
        <w:ilvl w:val="0"/>
        <w:numId w:val="8"/>
      </w:numPr>
      <w:spacing w:before="240" w:after="240"/>
    </w:pPr>
    <w:rPr/>
  </w:style>
  <w:style w:type="paragraph" w:styleId="BodyLevel4Numbered">
    <w:name w:val="Body Level 4 Numbered"/>
    <w:basedOn w:val="Normal"/>
    <w:qFormat/>
    <w:pPr>
      <w:numPr>
        <w:ilvl w:val="0"/>
        <w:numId w:val="8"/>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NormalWeb">
    <w:name w:val="Normal (Web)"/>
    <w:basedOn w:val="Normal"/>
    <w:qFormat/>
    <w:pPr>
      <w:spacing w:before="280" w:after="280"/>
    </w:pPr>
    <w:rPr>
      <w:sz w:val="24"/>
      <w:lang w:bidi="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wmf"/><Relationship Id="rId9" Type="http://schemas.openxmlformats.org/officeDocument/2006/relationships/image" Target="media/image3.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2006-12-13T16:45:00Z</dcterms:created>
  <dc:creator>Stuart Johnson</dc:creator>
  <dc:description/>
  <cp:keywords/>
  <dc:language>en-US</dc:language>
  <cp:lastModifiedBy>Stuart Johnson</cp:lastModifiedBy>
  <cp:lastPrinted>2006-11-04T07:04:00Z</cp:lastPrinted>
  <dcterms:modified xsi:type="dcterms:W3CDTF">2006-12-13T16:47:00Z</dcterms:modified>
  <cp:revision>4</cp:revision>
  <dc:subject/>
  <dc:title> </dc:title>
</cp:coreProperties>
</file>