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r>
      <w:bookmarkStart w:id="0" w:name="_DV_M0"/>
      <w:bookmarkStart w:id="1" w:name="_DV_M0"/>
      <w:bookmarkEnd w:id="1"/>
    </w:p>
    <w:p>
      <w:pPr>
        <w:pStyle w:val="Heading"/>
        <w:rPr>
          <w:b w:val="false"/>
          <w:bCs w:val="false"/>
          <w:lang w:val="en-GB"/>
        </w:rPr>
      </w:pPr>
      <w:r>
        <w:rPr>
          <w:b w:val="false"/>
          <w:bCs w:val="false"/>
          <w:lang w:val="en-GB"/>
        </w:rPr>
      </w:r>
    </w:p>
    <w:p>
      <w:pPr>
        <w:pStyle w:val="Heading"/>
        <w:rPr>
          <w:lang w:val="en-GB"/>
        </w:rPr>
      </w:pPr>
      <w:r>
        <w:rPr>
          <w:lang w:val="en-GB"/>
        </w:rPr>
      </w:r>
    </w:p>
    <w:p>
      <w:pPr>
        <w:pStyle w:val="Heading"/>
        <w:rPr>
          <w:lang w:val="en-GB"/>
        </w:rPr>
      </w:pPr>
      <w:r>
        <w:rPr>
          <w:lang w:val="en-GB"/>
        </w:rPr>
      </w:r>
    </w:p>
    <w:p>
      <w:pPr>
        <w:pStyle w:val="Heading"/>
        <w:rPr>
          <w:lang w:val="en-GB"/>
        </w:rPr>
      </w:pPr>
      <w:r>
        <w:rPr>
          <w:lang w:val="en-GB"/>
        </w:rPr>
        <w:t>EuroBank</w:t>
      </w:r>
    </w:p>
    <w:p>
      <w:pPr>
        <w:pStyle w:val="Heading"/>
        <w:rPr>
          <w:lang w:val="en-GB"/>
        </w:rPr>
      </w:pPr>
      <w:r>
        <w:rPr>
          <w:lang w:val="en-GB"/>
        </w:rPr>
      </w:r>
    </w:p>
    <w:p>
      <w:pPr>
        <w:pStyle w:val="Heading"/>
        <w:rPr>
          <w:lang w:val="en-GB"/>
        </w:rPr>
      </w:pPr>
      <w:r>
        <w:rPr>
          <w:lang w:val="en-GB"/>
        </w:rPr>
        <w:t>exhibit 34</w:t>
      </w:r>
    </w:p>
    <w:p>
      <w:pPr>
        <w:pStyle w:val="Heading"/>
        <w:rPr>
          <w:lang w:val="en-GB"/>
        </w:rPr>
      </w:pPr>
      <w:r>
        <w:rPr>
          <w:lang w:val="en-GB"/>
        </w:rPr>
      </w:r>
    </w:p>
    <w:p>
      <w:pPr>
        <w:pStyle w:val="Heading"/>
        <w:rPr>
          <w:lang w:val="en-GB"/>
        </w:rPr>
      </w:pPr>
      <w:r>
        <w:rPr>
          <w:lang w:val="en-GB"/>
        </w:rPr>
        <w:t>Price Adjustment and Benchmarking</w:t>
      </w:r>
    </w:p>
    <w:p>
      <w:pPr>
        <w:pStyle w:val="Heading"/>
        <w:rPr>
          <w:lang w:val="en-GB"/>
        </w:rPr>
      </w:pPr>
      <w:r>
        <w:rPr>
          <w:lang w:val="en-GB"/>
        </w:rPr>
      </w:r>
    </w:p>
    <w:p>
      <w:pPr>
        <w:pStyle w:val="Heading"/>
        <w:rPr>
          <w:lang w:val="en-GB"/>
        </w:rPr>
      </w:pPr>
      <w:r>
        <w:rPr>
          <w:lang w:val="en-GB"/>
        </w:rPr>
      </w:r>
    </w:p>
    <w:p>
      <w:pPr>
        <w:sectPr>
          <w:headerReference w:type="default" r:id="rId2"/>
          <w:footerReference w:type="default" r:id="rId3"/>
          <w:type w:val="nextPage"/>
          <w:pgSz w:w="11906" w:h="16838"/>
          <w:pgMar w:left="1797" w:right="1797" w:gutter="0" w:header="720" w:top="1440" w:footer="720" w:bottom="1797"/>
          <w:pgNumType w:fmt="decimal"/>
          <w:formProt w:val="false"/>
          <w:textDirection w:val="lrTb"/>
          <w:docGrid w:type="default" w:linePitch="360" w:charSpace="0"/>
        </w:sectPr>
        <w:pStyle w:val="Normal"/>
        <w:rPr>
          <w:b/>
          <w:bCs/>
          <w:lang w:val="en-GB"/>
        </w:rPr>
      </w:pPr>
      <w:r>
        <w:rPr>
          <w:b/>
          <w:bCs/>
          <w:lang w:val="en-GB"/>
        </w:rPr>
      </w:r>
    </w:p>
    <w:p>
      <w:pPr>
        <w:pStyle w:val="Normal"/>
        <w:rPr>
          <w:b/>
          <w:bCs/>
        </w:rPr>
      </w:pPr>
      <w:r>
        <w:rPr>
          <w:b/>
          <w:bCs/>
        </w:rPr>
      </w:r>
    </w:p>
    <w:p>
      <w:pPr>
        <w:pStyle w:val="Normal"/>
        <w:jc w:val="center"/>
        <w:rPr>
          <w:b/>
          <w:bCs/>
        </w:rPr>
      </w:pPr>
      <w:r>
        <w:rPr>
          <w:b/>
          <w:bCs/>
        </w:rPr>
      </w:r>
    </w:p>
    <w:p>
      <w:pPr>
        <w:pStyle w:val="Normal"/>
        <w:rPr>
          <w:b/>
          <w:bCs/>
        </w:rPr>
      </w:pPr>
      <w:r>
        <w:rPr>
          <w:b/>
          <w:bCs/>
        </w:rPr>
      </w:r>
      <w:bookmarkStart w:id="2" w:name="_DV_M1"/>
      <w:bookmarkStart w:id="3" w:name="_DV_M1"/>
      <w:bookmarkEnd w:id="3"/>
    </w:p>
    <w:p>
      <w:pPr>
        <w:pStyle w:val="FWBL1"/>
        <w:numPr>
          <w:ilvl w:val="0"/>
          <w:numId w:val="5"/>
        </w:numPr>
        <w:ind w:hanging="0" w:start="0"/>
        <w:rPr>
          <w:w w:val="100"/>
        </w:rPr>
      </w:pPr>
      <w:bookmarkStart w:id="4" w:name="_DV_M8"/>
      <w:bookmarkStart w:id="5" w:name="_DV_M5"/>
      <w:bookmarkStart w:id="6" w:name="_DV_M4"/>
      <w:bookmarkStart w:id="7" w:name="_DV_M3"/>
      <w:bookmarkStart w:id="8" w:name="_DV_M2"/>
      <w:bookmarkEnd w:id="4"/>
      <w:bookmarkEnd w:id="5"/>
      <w:bookmarkEnd w:id="6"/>
      <w:bookmarkEnd w:id="7"/>
      <w:bookmarkEnd w:id="8"/>
      <w:r>
        <w:rPr>
          <w:w w:val="100"/>
        </w:rPr>
        <w:t xml:space="preserve">MINCER PROCEDURE </w:t>
      </w:r>
    </w:p>
    <w:p>
      <w:pPr>
        <w:pStyle w:val="FWBL2"/>
        <w:numPr>
          <w:ilvl w:val="1"/>
          <w:numId w:val="5"/>
        </w:numPr>
        <w:ind w:hanging="0" w:start="0"/>
        <w:rPr>
          <w:w w:val="100"/>
        </w:rPr>
      </w:pPr>
      <w:bookmarkStart w:id="9" w:name="_DV_M9"/>
      <w:bookmarkEnd w:id="9"/>
      <w:r>
        <w:rPr>
          <w:w w:val="100"/>
        </w:rPr>
        <w:t>PURPOSE AND SCOPE OF MINCER PROCEDURE</w:t>
      </w:r>
    </w:p>
    <w:p>
      <w:pPr>
        <w:pStyle w:val="FWBL3"/>
        <w:numPr>
          <w:ilvl w:val="2"/>
          <w:numId w:val="5"/>
        </w:numPr>
        <w:ind w:hanging="0" w:start="0"/>
        <w:rPr>
          <w:color w:val="000000"/>
        </w:rPr>
      </w:pPr>
      <w:bookmarkStart w:id="10" w:name="_DV_M10"/>
      <w:bookmarkEnd w:id="10"/>
      <w:r>
        <w:rPr/>
        <w:t>The purpose of the Mincer Procedure is to assess whether each Commodity Element</w:t>
      </w:r>
      <w:r>
        <w:rPr>
          <w:color w:val="000000"/>
        </w:rPr>
        <w:t xml:space="preserve"> and each Bundle are being provided at the Mincer Standard.</w:t>
      </w:r>
    </w:p>
    <w:p>
      <w:pPr>
        <w:pStyle w:val="FWBL3"/>
        <w:numPr>
          <w:ilvl w:val="2"/>
          <w:numId w:val="5"/>
        </w:numPr>
        <w:ind w:hanging="0" w:start="0"/>
        <w:rPr/>
      </w:pPr>
      <w:bookmarkStart w:id="11" w:name="_DV_M11"/>
      <w:bookmarkEnd w:id="11"/>
      <w:r>
        <w:rPr/>
        <w:t>Section 2 of this Exhibit details the Mincer Procedure and the remedies available to EuroBank if any Bundle or any Commodity Element are not being provided at the Mincer Standard.</w:t>
      </w:r>
    </w:p>
    <w:p>
      <w:pPr>
        <w:pStyle w:val="FWBL2"/>
        <w:numPr>
          <w:ilvl w:val="1"/>
          <w:numId w:val="5"/>
        </w:numPr>
        <w:ind w:hanging="0" w:start="0"/>
        <w:rPr>
          <w:w w:val="100"/>
        </w:rPr>
      </w:pPr>
      <w:bookmarkStart w:id="12" w:name="_DV_M12"/>
      <w:bookmarkEnd w:id="12"/>
      <w:r>
        <w:rPr>
          <w:w w:val="100"/>
        </w:rPr>
        <w:t>MINCER PROCEDURE</w:t>
      </w:r>
    </w:p>
    <w:p>
      <w:pPr>
        <w:pStyle w:val="FWBL3"/>
        <w:numPr>
          <w:ilvl w:val="2"/>
          <w:numId w:val="5"/>
        </w:numPr>
        <w:ind w:hanging="0" w:start="0"/>
        <w:rPr>
          <w:w w:val="100"/>
        </w:rPr>
      </w:pPr>
      <w:bookmarkStart w:id="13" w:name="_DV_M13"/>
      <w:bookmarkEnd w:id="13"/>
      <w:r>
        <w:rPr>
          <w:w w:val="100"/>
        </w:rPr>
        <w:t>MINCER D</w:t>
      </w:r>
      <w:r>
        <w:rPr>
          <w:w w:val="100"/>
          <w:lang w:val="en-US"/>
        </w:rPr>
        <w:t>ATA</w:t>
      </w:r>
    </w:p>
    <w:p>
      <w:pPr>
        <w:pStyle w:val="FWBL4"/>
        <w:numPr>
          <w:ilvl w:val="3"/>
          <w:numId w:val="5"/>
        </w:numPr>
        <w:ind w:hanging="0" w:start="0"/>
        <w:rPr>
          <w:b/>
          <w:bCs/>
        </w:rPr>
      </w:pPr>
      <w:bookmarkStart w:id="14" w:name="_Ref131932099"/>
      <w:bookmarkStart w:id="15" w:name="_DV_M14"/>
      <w:bookmarkEnd w:id="15"/>
      <w:r>
        <w:rPr/>
        <w:t xml:space="preserve">The 2IM shall ensure that throughout the Term it has access to market data related to the Services and the Commodity Elements which is of sufficient quality and quantity to enable, in the 2IM’s professional judgement, the Mincer Procedure </w:t>
      </w:r>
      <w:bookmarkStart w:id="16" w:name="_DV_M15"/>
      <w:bookmarkEnd w:id="16"/>
      <w:r>
        <w:rPr/>
        <w:t xml:space="preserve">to fulfil the objectives set out in Section 1 of this Exhibit  (the </w:t>
      </w:r>
      <w:r>
        <w:rPr>
          <w:b/>
          <w:bCs/>
        </w:rPr>
        <w:t>Mincer Data</w:t>
      </w:r>
      <w:r>
        <w:rPr/>
        <w:t>).</w:t>
      </w:r>
      <w:bookmarkStart w:id="17" w:name="_DV_M17"/>
      <w:bookmarkEnd w:id="14"/>
      <w:bookmarkEnd w:id="17"/>
    </w:p>
    <w:p>
      <w:pPr>
        <w:pStyle w:val="FWBL4"/>
        <w:numPr>
          <w:ilvl w:val="3"/>
          <w:numId w:val="5"/>
        </w:numPr>
        <w:ind w:hanging="0" w:start="0"/>
        <w:rPr/>
      </w:pPr>
      <w:r>
        <w:rPr/>
        <w:t xml:space="preserve">The 2IM shall ensure that the Mincer Data includes all relevant information available in the procurement database of the 2IM’s and its Affiliates’ organisation and such other information available from appropriate third party sources from time to time, including current pricing and recently won bid information available to the 2IM for third party suppliers excluding the PST Suppliers as may be required to ensure that the Mincer Data meets the criterion set out in the previous sub-paragraph (which the PST Supplier undertakes to provide from time to time). </w:t>
      </w:r>
    </w:p>
    <w:p>
      <w:pPr>
        <w:pStyle w:val="FWBL3"/>
        <w:numPr>
          <w:ilvl w:val="2"/>
          <w:numId w:val="5"/>
        </w:numPr>
        <w:ind w:hanging="0" w:start="0"/>
        <w:rPr>
          <w:w w:val="100"/>
        </w:rPr>
      </w:pPr>
      <w:bookmarkStart w:id="18" w:name="_DV_M19"/>
      <w:bookmarkEnd w:id="18"/>
      <w:r>
        <w:rPr>
          <w:w w:val="100"/>
        </w:rPr>
        <w:t xml:space="preserve">MINCER REPORTS </w:t>
      </w:r>
    </w:p>
    <w:p>
      <w:pPr>
        <w:pStyle w:val="FWBL4"/>
        <w:numPr>
          <w:ilvl w:val="3"/>
          <w:numId w:val="5"/>
        </w:numPr>
        <w:ind w:hanging="0" w:start="0"/>
        <w:rPr/>
      </w:pPr>
      <w:bookmarkStart w:id="19" w:name="_Ref126684459"/>
      <w:bookmarkStart w:id="20" w:name="_Ref131925060"/>
      <w:bookmarkStart w:id="21" w:name="_DV_M20"/>
      <w:bookmarkEnd w:id="21"/>
      <w:r>
        <w:rPr/>
        <w:t xml:space="preserve">The 2IM shall, on a quarterly basis starting 9 months after the Commencement Date, provide a Mincer Report with respect to those Commodity Elements selected by EuroBank for the relevant quarter following consultation with the 2IM. </w:t>
      </w:r>
      <w:bookmarkStart w:id="22" w:name="_DV_M21"/>
      <w:bookmarkEnd w:id="20"/>
      <w:bookmarkEnd w:id="22"/>
      <w:r>
        <w:rPr/>
      </w:r>
    </w:p>
    <w:p>
      <w:pPr>
        <w:pStyle w:val="FWBL4"/>
        <w:numPr>
          <w:ilvl w:val="3"/>
          <w:numId w:val="5"/>
        </w:numPr>
        <w:ind w:hanging="0" w:start="0"/>
        <w:rPr/>
      </w:pPr>
      <w:bookmarkStart w:id="23" w:name="_Ref131925063"/>
      <w:bookmarkStart w:id="24" w:name="_DV_M22"/>
      <w:bookmarkEnd w:id="24"/>
      <w:r>
        <w:rPr/>
        <w:t xml:space="preserve">The 2IM shall, on a quarterly basis starting 12 months after the Commencement Date, provide a Mincer Report with respect to those Bundles selected by EuroBank for the relevant quarter following consultation with the 2IM.  EuroBank may not select the same Bundle to be subject to a Mincer Procedure more than once every 6 months. </w:t>
      </w:r>
      <w:bookmarkStart w:id="25" w:name="_DV_M23"/>
      <w:bookmarkEnd w:id="23"/>
      <w:bookmarkEnd w:id="25"/>
      <w:r>
        <w:rPr/>
      </w:r>
    </w:p>
    <w:p>
      <w:pPr>
        <w:pStyle w:val="FWBL4"/>
        <w:numPr>
          <w:ilvl w:val="3"/>
          <w:numId w:val="5"/>
        </w:numPr>
        <w:ind w:hanging="0" w:start="0"/>
        <w:rPr/>
      </w:pPr>
      <w:bookmarkStart w:id="26" w:name="_DV_M24"/>
      <w:bookmarkEnd w:id="26"/>
      <w:r>
        <w:rPr/>
        <w:t>The 2IM shall promptly notify EuroBank in writing if at any time it believes that, in its professional opinion, prices for any Bundle or Commodity Element has, in quarterly terms, decreased or will decrease by 10% or more.  In addition to the Mincer Reports referred to in sub-paragraphs (a) and (b) above, the 2IM shall, at EuroBank’s request in response to a notice delivered pursuant to the preceding sentence or otherwise as agreed by EuroBank and the 2IM, prepare a Mincer Report on the relevant Commodity Element or Bundle. The 2IM shall provide the Mincer Report for such Mincer Procedure within 20 Business Days after the request.</w:t>
      </w:r>
      <w:bookmarkStart w:id="27" w:name="_DV_M25"/>
      <w:bookmarkEnd w:id="27"/>
      <w:r>
        <w:rPr/>
      </w:r>
      <w:bookmarkStart w:id="28" w:name="_DV_M26"/>
      <w:bookmarkEnd w:id="28"/>
      <w:r>
        <w:rPr/>
      </w:r>
      <w:bookmarkStart w:id="29" w:name="_DV_M27"/>
      <w:bookmarkEnd w:id="29"/>
      <w:r>
        <w:rPr/>
      </w:r>
      <w:bookmarkStart w:id="30" w:name="_DV_M28"/>
      <w:bookmarkEnd w:id="30"/>
      <w:r>
        <w:rPr/>
      </w:r>
      <w:bookmarkStart w:id="31" w:name="_DV_M29"/>
      <w:bookmarkEnd w:id="31"/>
      <w:r>
        <w:rPr/>
      </w:r>
      <w:bookmarkStart w:id="32" w:name="_DV_M30"/>
      <w:bookmarkEnd w:id="32"/>
      <w:r>
        <w:rPr/>
      </w:r>
    </w:p>
    <w:p>
      <w:pPr>
        <w:pStyle w:val="FWBL4"/>
        <w:numPr>
          <w:ilvl w:val="3"/>
          <w:numId w:val="5"/>
        </w:numPr>
        <w:ind w:hanging="0" w:start="0"/>
        <w:rPr/>
      </w:pPr>
      <w:bookmarkStart w:id="33" w:name="_DV_M31"/>
      <w:bookmarkEnd w:id="33"/>
      <w:r>
        <w:rPr/>
        <w:t xml:space="preserve">Each written report detailing the results of a Mincer Procedure (the </w:t>
      </w:r>
      <w:r>
        <w:rPr>
          <w:b/>
        </w:rPr>
        <w:t>Mincer Report</w:t>
      </w:r>
      <w:r>
        <w:rPr/>
        <w:t>) shall:</w:t>
      </w:r>
      <w:bookmarkEnd w:id="19"/>
    </w:p>
    <w:p>
      <w:pPr>
        <w:pStyle w:val="FWBL5"/>
        <w:numPr>
          <w:ilvl w:val="4"/>
          <w:numId w:val="5"/>
        </w:numPr>
        <w:ind w:hanging="0" w:start="0"/>
        <w:rPr/>
      </w:pPr>
      <w:bookmarkStart w:id="34" w:name="_Ref127163164"/>
      <w:bookmarkStart w:id="35" w:name="_DV_M32"/>
      <w:bookmarkEnd w:id="35"/>
      <w:r>
        <w:rPr/>
        <w:t>identify the relevant Comparison Sample from the Mincer Data;</w:t>
      </w:r>
      <w:bookmarkEnd w:id="34"/>
    </w:p>
    <w:p>
      <w:pPr>
        <w:pStyle w:val="FWBL5"/>
        <w:numPr>
          <w:ilvl w:val="4"/>
          <w:numId w:val="5"/>
        </w:numPr>
        <w:ind w:hanging="0" w:start="0"/>
        <w:rPr/>
      </w:pPr>
      <w:bookmarkStart w:id="36" w:name="_DV_M33"/>
      <w:bookmarkEnd w:id="36"/>
      <w:r>
        <w:rPr/>
        <w:t>determine whether the terms for the Bundle or the Commodity Element are, in the professional judgement (and applying the applicable Like for Like Factors in accordance with Section 3 of this Exhibit) of the 2IM at the Mincer Standard; and</w:t>
      </w:r>
    </w:p>
    <w:p>
      <w:pPr>
        <w:pStyle w:val="FWBL5"/>
        <w:numPr>
          <w:ilvl w:val="4"/>
          <w:numId w:val="5"/>
        </w:numPr>
        <w:ind w:hanging="0" w:start="0"/>
        <w:rPr/>
      </w:pPr>
      <w:bookmarkStart w:id="37" w:name="_DV_M34"/>
      <w:bookmarkEnd w:id="37"/>
      <w:r>
        <w:rPr/>
        <w:t>if the 2IM determines that any Bundle or Commodity Element is not being provided at the Mincer Standard, recommend changes to the relevant PST Supplier MSA to make the relevant Bundle or Commodity Element meet the Mincer Standard, including specifying reductions in the Charges and/or improvements to the Services and/or Service Levels (as each is defined in the relevant PST Supplier MSA).</w:t>
      </w:r>
    </w:p>
    <w:p>
      <w:pPr>
        <w:pStyle w:val="FWBL3"/>
        <w:numPr>
          <w:ilvl w:val="2"/>
          <w:numId w:val="5"/>
        </w:numPr>
        <w:ind w:hanging="0" w:start="0"/>
        <w:rPr>
          <w:color w:val="000000"/>
        </w:rPr>
      </w:pPr>
      <w:bookmarkStart w:id="38" w:name="_DV_M35"/>
      <w:bookmarkEnd w:id="38"/>
      <w:r>
        <w:rPr>
          <w:color w:val="000000"/>
        </w:rPr>
        <w:t>In performing the Mincer Procedure in respect of Commodity Elements, the 2IM will apply the following principles:</w:t>
      </w:r>
    </w:p>
    <w:p>
      <w:pPr>
        <w:pStyle w:val="FWBL4"/>
        <w:numPr>
          <w:ilvl w:val="3"/>
          <w:numId w:val="5"/>
        </w:numPr>
        <w:ind w:hanging="0" w:start="0"/>
        <w:rPr>
          <w:color w:val="000000"/>
        </w:rPr>
      </w:pPr>
      <w:bookmarkStart w:id="39" w:name="_Ref126683879"/>
      <w:bookmarkStart w:id="40" w:name="_DV_M36"/>
      <w:bookmarkEnd w:id="40"/>
      <w:r>
        <w:rPr>
          <w:color w:val="000000"/>
        </w:rPr>
        <w:t>the Comparison Sample and the Mincer Standard shall be determined by reference to best available terms from third party suppliers of the Commodity Elements reflecting the combined purchasing power of EuroBank, the 2IM and the relevant PST Supplier (and each of the foregoing’s Affiliates), taking into account, where reasonable, any preferential terms, discounts or other special terms that are or would be available to them;</w:t>
      </w:r>
      <w:bookmarkStart w:id="41" w:name="_DV_M37"/>
      <w:bookmarkEnd w:id="41"/>
      <w:r>
        <w:rPr>
          <w:color w:val="000000"/>
        </w:rPr>
      </w:r>
      <w:bookmarkEnd w:id="39"/>
    </w:p>
    <w:p>
      <w:pPr>
        <w:pStyle w:val="FWBL4"/>
        <w:numPr>
          <w:ilvl w:val="3"/>
          <w:numId w:val="5"/>
        </w:numPr>
        <w:ind w:hanging="0" w:start="0"/>
        <w:rPr>
          <w:color w:val="000000"/>
        </w:rPr>
      </w:pPr>
      <w:bookmarkStart w:id="42" w:name="_DV_M38"/>
      <w:bookmarkEnd w:id="42"/>
      <w:r>
        <w:rPr>
          <w:color w:val="000000"/>
        </w:rPr>
        <w:t>the best available terms referred to in sub-paragraph (i) above shall be determined on a pass-through basis without any uplift, margin or premium added to the applicable charges by the 2IM or any PST Supplier;</w:t>
      </w:r>
      <w:bookmarkStart w:id="43" w:name="_DV_C14"/>
      <w:r>
        <w:rPr>
          <w:color w:val="000000"/>
        </w:rPr>
        <w:t xml:space="preserve"> and</w:t>
      </w:r>
    </w:p>
    <w:p>
      <w:pPr>
        <w:pStyle w:val="FWBL4"/>
        <w:numPr>
          <w:ilvl w:val="3"/>
          <w:numId w:val="5"/>
        </w:numPr>
        <w:ind w:hanging="0" w:start="0"/>
        <w:rPr>
          <w:color w:val="000000"/>
        </w:rPr>
      </w:pPr>
      <w:r>
        <w:rPr>
          <w:color w:val="000000"/>
        </w:rPr>
        <w:t>the procurement threshold volumes assumed for the relevant asset refresh cycles under each PST Supplier MSA</w:t>
      </w:r>
    </w:p>
    <w:p>
      <w:pPr>
        <w:pStyle w:val="FWBL3"/>
        <w:numPr>
          <w:ilvl w:val="2"/>
          <w:numId w:val="5"/>
        </w:numPr>
        <w:ind w:hanging="0" w:start="0"/>
        <w:rPr>
          <w:color w:val="000000"/>
          <w:w w:val="100"/>
        </w:rPr>
      </w:pPr>
      <w:bookmarkStart w:id="44" w:name="_DV_M40"/>
      <w:bookmarkStart w:id="45" w:name="_DV_M39"/>
      <w:bookmarkEnd w:id="43"/>
      <w:bookmarkEnd w:id="44"/>
      <w:bookmarkEnd w:id="45"/>
      <w:r>
        <w:rPr>
          <w:color w:val="000000"/>
          <w:w w:val="100"/>
        </w:rPr>
        <w:t>In preparing each Mincer Report, the 2IM shall take into account the results of any relevant Benchmarking Procedure conducted under Section 2 of this Exhibit, with the effect that where any Bundle or Commodity Element has failed to be Best in Class under the Benchmarking Procedure then that Bundle or Commodity Element shall also be deemed to have failed to meet the Mincer Standard.</w:t>
      </w:r>
    </w:p>
    <w:p>
      <w:pPr>
        <w:pStyle w:val="FWBL3"/>
        <w:numPr>
          <w:ilvl w:val="2"/>
          <w:numId w:val="5"/>
        </w:numPr>
        <w:ind w:hanging="0" w:start="0"/>
        <w:rPr>
          <w:color w:val="000000"/>
          <w:w w:val="100"/>
        </w:rPr>
      </w:pPr>
      <w:bookmarkStart w:id="46" w:name="_DV_M41"/>
      <w:bookmarkEnd w:id="46"/>
      <w:r>
        <w:rPr>
          <w:color w:val="000000"/>
          <w:w w:val="100"/>
        </w:rPr>
        <w:t>Following the delivery of each Mincer Report, the 2IM shall submit a copy to all parties concerned and discuss any comments any of the parties may have.  Where the Mincer Report fails to meet any of the requirements of Section 1 of this Exhibit, the 2IM shall as soon as practicable deliver a revised Mincer Report meeting the requirements.</w:t>
      </w:r>
    </w:p>
    <w:p>
      <w:pPr>
        <w:pStyle w:val="FWBL3"/>
        <w:numPr>
          <w:ilvl w:val="2"/>
          <w:numId w:val="5"/>
        </w:numPr>
        <w:ind w:hanging="0" w:start="0"/>
        <w:rPr>
          <w:color w:val="000000"/>
          <w:w w:val="100"/>
        </w:rPr>
      </w:pPr>
      <w:bookmarkStart w:id="47" w:name="_DV_M42"/>
      <w:bookmarkEnd w:id="47"/>
      <w:r>
        <w:rPr>
          <w:color w:val="000000"/>
          <w:w w:val="100"/>
        </w:rPr>
        <w:t xml:space="preserve">The 2IM shall compile the Mincer Data, conduct the Mincer Procedure and prepare each Mincer Report using its professional judgement but does not warrant or accept liability towards either EuroBank or the PST Supplier for the Mincer Report, except in case of fraudulent misrepresentation, intent or gross negligence of the 2IM. </w:t>
      </w:r>
      <w:bookmarkStart w:id="48" w:name="_DV_M43"/>
      <w:bookmarkEnd w:id="48"/>
      <w:r>
        <w:rPr>
          <w:color w:val="000000"/>
          <w:w w:val="100"/>
        </w:rPr>
      </w:r>
      <w:bookmarkStart w:id="49" w:name="_DV_C19"/>
      <w:r>
        <w:rPr>
          <w:color w:val="000000"/>
          <w:w w:val="100"/>
        </w:rPr>
      </w:r>
      <w:bookmarkStart w:id="50" w:name="_DV_M44"/>
      <w:bookmarkEnd w:id="49"/>
      <w:bookmarkEnd w:id="50"/>
      <w:r>
        <w:rPr>
          <w:color w:val="000000"/>
          <w:w w:val="100"/>
        </w:rPr>
      </w:r>
    </w:p>
    <w:p>
      <w:pPr>
        <w:pStyle w:val="FWBL3"/>
        <w:numPr>
          <w:ilvl w:val="2"/>
          <w:numId w:val="5"/>
        </w:numPr>
        <w:ind w:hanging="0" w:start="0"/>
        <w:rPr>
          <w:w w:val="100"/>
        </w:rPr>
      </w:pPr>
      <w:bookmarkStart w:id="51" w:name="_DV_M45"/>
      <w:bookmarkEnd w:id="51"/>
      <w:r>
        <w:rPr>
          <w:w w:val="100"/>
        </w:rPr>
        <w:t>If EuroBank produces a quotation which meets or exceeds the Mincer Standard specified in a Mincer Report for a Bundle or a Commodity Element, the EuroBank-produced quotation shall be used by the 2IM as input for the Comparison Sample. The PST Supplier shall be allowed to react on the submitted quotation prior to the 2IM starting the Mincing Procedure on the basis thereof.</w:t>
      </w:r>
      <w:bookmarkStart w:id="52" w:name="_DV_C21"/>
      <w:r>
        <w:rPr>
          <w:w w:val="100"/>
        </w:rPr>
      </w:r>
      <w:bookmarkStart w:id="53" w:name="_DV_M46"/>
      <w:bookmarkEnd w:id="52"/>
      <w:bookmarkEnd w:id="53"/>
      <w:r>
        <w:rPr>
          <w:w w:val="100"/>
        </w:rPr>
      </w:r>
      <w:bookmarkStart w:id="54" w:name="_DV_C24"/>
      <w:r>
        <w:rPr>
          <w:w w:val="100"/>
        </w:rPr>
      </w:r>
      <w:bookmarkStart w:id="55" w:name="_DV_M47"/>
      <w:bookmarkEnd w:id="54"/>
      <w:bookmarkEnd w:id="55"/>
      <w:r>
        <w:rPr>
          <w:w w:val="100"/>
        </w:rPr>
      </w:r>
      <w:bookmarkStart w:id="56" w:name="_DV_C26"/>
      <w:r>
        <w:rPr>
          <w:w w:val="100"/>
        </w:rPr>
      </w:r>
      <w:bookmarkStart w:id="57" w:name="_DV_M48"/>
      <w:bookmarkEnd w:id="56"/>
      <w:bookmarkEnd w:id="57"/>
      <w:r>
        <w:rPr>
          <w:w w:val="100"/>
        </w:rPr>
      </w:r>
    </w:p>
    <w:p>
      <w:pPr>
        <w:pStyle w:val="FWBL2"/>
        <w:numPr>
          <w:ilvl w:val="1"/>
          <w:numId w:val="5"/>
        </w:numPr>
        <w:ind w:hanging="0" w:start="0"/>
        <w:rPr>
          <w:b/>
          <w:bCs/>
          <w:color w:val="000000"/>
          <w:w w:val="100"/>
        </w:rPr>
      </w:pPr>
      <w:bookmarkStart w:id="58" w:name="_DV_M49"/>
      <w:bookmarkEnd w:id="58"/>
      <w:r>
        <w:rPr>
          <w:bCs/>
          <w:color w:val="000000"/>
          <w:w w:val="100"/>
        </w:rPr>
        <w:t>PST SUPPLIER CO-OPERATION</w:t>
      </w:r>
    </w:p>
    <w:p>
      <w:pPr>
        <w:pStyle w:val="BodyText"/>
        <w:rPr>
          <w:color w:val="000000"/>
          <w:w w:val="100"/>
        </w:rPr>
      </w:pPr>
      <w:bookmarkStart w:id="59" w:name="_DV_M50"/>
      <w:bookmarkEnd w:id="59"/>
      <w:r>
        <w:rPr>
          <w:color w:val="000000"/>
          <w:w w:val="100"/>
        </w:rPr>
        <w:t>The PST Supplier shall provide EuroBank and the 2IM with assistance and information as reasonably required for the Mincer Procedure.  EuroBank may disclose the terms of this MSA and any other Confidential Information to the 2IM for the purpose of the Mincer Procedure.</w:t>
      </w:r>
    </w:p>
    <w:p>
      <w:pPr>
        <w:pStyle w:val="FWBL2"/>
        <w:numPr>
          <w:ilvl w:val="1"/>
          <w:numId w:val="5"/>
        </w:numPr>
        <w:ind w:hanging="0" w:start="0"/>
        <w:rPr>
          <w:bCs/>
          <w:color w:val="000000"/>
          <w:w w:val="100"/>
        </w:rPr>
      </w:pPr>
      <w:bookmarkStart w:id="60" w:name="_DV_M51"/>
      <w:bookmarkEnd w:id="60"/>
      <w:r>
        <w:rPr>
          <w:bCs/>
          <w:color w:val="000000"/>
          <w:w w:val="100"/>
        </w:rPr>
        <w:t>REMEDIES</w:t>
      </w:r>
      <w:bookmarkStart w:id="61" w:name="_DV_M52"/>
      <w:bookmarkEnd w:id="61"/>
    </w:p>
    <w:p>
      <w:pPr>
        <w:pStyle w:val="FWBL3"/>
        <w:numPr>
          <w:ilvl w:val="2"/>
          <w:numId w:val="5"/>
        </w:numPr>
        <w:ind w:hanging="0" w:start="0"/>
        <w:rPr>
          <w:w w:val="100"/>
        </w:rPr>
      </w:pPr>
      <w:bookmarkStart w:id="62" w:name="_DV_M53"/>
      <w:bookmarkEnd w:id="62"/>
      <w:r>
        <w:rPr>
          <w:w w:val="100"/>
        </w:rPr>
        <w:t xml:space="preserve">Bundles </w:t>
      </w:r>
    </w:p>
    <w:p>
      <w:pPr>
        <w:pStyle w:val="FWBL4"/>
        <w:numPr>
          <w:ilvl w:val="3"/>
          <w:numId w:val="5"/>
        </w:numPr>
        <w:ind w:hanging="0" w:start="0"/>
        <w:rPr>
          <w:w w:val="100"/>
        </w:rPr>
      </w:pPr>
      <w:bookmarkStart w:id="63" w:name="_DV_M54"/>
      <w:bookmarkEnd w:id="63"/>
      <w:r>
        <w:rPr>
          <w:w w:val="100"/>
        </w:rPr>
        <w:t xml:space="preserve">Where the 2IM issues a Mincer Report regarding a Bundle indicating that the Bundle is not being provided at the Mincer Standard, the PST Supplier shall within 15 Business Days after the issuance thereof either submit a proposal on how it proposes to implement the changes recommended by the 2IM in the Mincer Report or provide a written response to EuroBank and the 2IM in which it sets out why it is unwilling or believes itself unable to comply. </w:t>
      </w:r>
    </w:p>
    <w:p>
      <w:pPr>
        <w:pStyle w:val="FWBL4"/>
        <w:numPr>
          <w:ilvl w:val="3"/>
          <w:numId w:val="5"/>
        </w:numPr>
        <w:ind w:hanging="0" w:start="0"/>
        <w:rPr>
          <w:w w:val="100"/>
        </w:rPr>
      </w:pPr>
      <w:bookmarkStart w:id="64" w:name="_Ref131928401"/>
      <w:bookmarkStart w:id="65" w:name="_DV_M55"/>
      <w:bookmarkEnd w:id="65"/>
      <w:r>
        <w:rPr>
          <w:w w:val="100"/>
        </w:rPr>
        <w:t>In the case of any refusal by the PST Supplier to comply in part or in whole with the recommended changes, the 2IM will do an analysis of the argumentation given by the PST Supplier for such refusal and, at EuroBank’s request, make further recommendations as to how the Bundle may be provided at the Mincer Standard, including a reasonable time period in which the 2IM expects the PST Supplier to be able to implement any recommended changes.</w:t>
      </w:r>
      <w:bookmarkStart w:id="66" w:name="_DV_M56"/>
      <w:bookmarkEnd w:id="64"/>
      <w:bookmarkEnd w:id="66"/>
      <w:r>
        <w:rPr>
          <w:w w:val="100"/>
        </w:rPr>
      </w:r>
    </w:p>
    <w:p>
      <w:pPr>
        <w:pStyle w:val="FWBL4"/>
        <w:numPr>
          <w:ilvl w:val="3"/>
          <w:numId w:val="5"/>
        </w:numPr>
        <w:ind w:hanging="0" w:start="0"/>
        <w:rPr>
          <w:w w:val="100"/>
        </w:rPr>
      </w:pPr>
      <w:bookmarkStart w:id="67" w:name="_DV_M57"/>
      <w:bookmarkEnd w:id="67"/>
      <w:r>
        <w:rPr>
          <w:w w:val="100"/>
        </w:rPr>
        <w:t>The PST Supplier shall provide such information and assistance as the 2IM may reasonably request having regard to the purpose of the Mincer Procedure and the intent that the 2IM have visibility of the reasons why the PST Supplier claims it cannot achieve the Mincer Standard.</w:t>
      </w:r>
    </w:p>
    <w:p>
      <w:pPr>
        <w:pStyle w:val="FWBL4"/>
        <w:numPr>
          <w:ilvl w:val="3"/>
          <w:numId w:val="5"/>
        </w:numPr>
        <w:ind w:hanging="0" w:start="0"/>
        <w:rPr>
          <w:w w:val="100"/>
        </w:rPr>
      </w:pPr>
      <w:bookmarkStart w:id="68" w:name="_DV_M58"/>
      <w:bookmarkEnd w:id="68"/>
      <w:r>
        <w:rPr>
          <w:w w:val="100"/>
        </w:rPr>
        <w:t>The 2IM will submit its analysis of a refusal by the PST Supplier to comply with recommended changes to EuroBank within 15 Business Days of the date of the receipt of the refusal.</w:t>
      </w:r>
      <w:bookmarkStart w:id="69" w:name="_DV_C28"/>
      <w:r>
        <w:rPr>
          <w:w w:val="100"/>
        </w:rPr>
      </w:r>
      <w:bookmarkEnd w:id="69"/>
    </w:p>
    <w:p>
      <w:pPr>
        <w:pStyle w:val="FWBL3"/>
        <w:numPr>
          <w:ilvl w:val="2"/>
          <w:numId w:val="5"/>
        </w:numPr>
        <w:ind w:hanging="0" w:start="0"/>
        <w:rPr>
          <w:w w:val="100"/>
        </w:rPr>
      </w:pPr>
      <w:bookmarkStart w:id="70" w:name="_DV_M59"/>
      <w:bookmarkEnd w:id="70"/>
      <w:r>
        <w:rPr>
          <w:w w:val="100"/>
        </w:rPr>
        <w:t xml:space="preserve">Following the receipt of the analysis as referred to in </w:t>
      </w:r>
      <w:bookmarkStart w:id="71" w:name="_DV_C29"/>
      <w:r>
        <w:rPr>
          <w:w w:val="100"/>
        </w:rPr>
        <w:t xml:space="preserve">the </w:t>
      </w:r>
      <w:r>
        <w:rPr>
          <w:rStyle w:val="DeltaViewInsertion"/>
          <w:color w:val="000000"/>
          <w:u w:val="none"/>
        </w:rPr>
        <w:t>previous</w:t>
      </w:r>
      <w:bookmarkStart w:id="72" w:name="_DV_M60"/>
      <w:bookmarkEnd w:id="71"/>
      <w:bookmarkEnd w:id="72"/>
      <w:r>
        <w:rPr>
          <w:rStyle w:val="DeltaViewInsertion"/>
          <w:color w:val="000000"/>
          <w:u w:val="none"/>
        </w:rPr>
        <w:t xml:space="preserve"> </w:t>
      </w:r>
      <w:r>
        <w:rPr>
          <w:w w:val="100"/>
        </w:rPr>
        <w:t xml:space="preserve">sub-paragraph, </w:t>
      </w:r>
      <w:bookmarkStart w:id="73" w:name="_DV_M61"/>
      <w:bookmarkEnd w:id="73"/>
      <w:r>
        <w:rPr>
          <w:w w:val="100"/>
        </w:rPr>
        <w:t xml:space="preserve">the PST Supplier shall within 15 Business Days either: </w:t>
      </w:r>
    </w:p>
    <w:p>
      <w:pPr>
        <w:pStyle w:val="FWBL4"/>
        <w:numPr>
          <w:ilvl w:val="3"/>
          <w:numId w:val="5"/>
        </w:numPr>
        <w:ind w:hanging="0" w:start="0"/>
        <w:rPr>
          <w:color w:val="000000"/>
          <w:w w:val="100"/>
        </w:rPr>
      </w:pPr>
      <w:bookmarkStart w:id="74" w:name="_Ref131928846"/>
      <w:bookmarkStart w:id="75" w:name="_DV_M62"/>
      <w:bookmarkEnd w:id="75"/>
      <w:r>
        <w:rPr>
          <w:color w:val="000000"/>
          <w:w w:val="100"/>
        </w:rPr>
        <w:t>make a written proposal how it proposes to implement the changes recommended by the 2IM; or</w:t>
      </w:r>
      <w:bookmarkStart w:id="76" w:name="_DV_M63"/>
      <w:bookmarkEnd w:id="74"/>
      <w:bookmarkEnd w:id="76"/>
      <w:r>
        <w:rPr>
          <w:color w:val="000000"/>
          <w:w w:val="100"/>
        </w:rPr>
        <w:t xml:space="preserve"> </w:t>
      </w:r>
    </w:p>
    <w:p>
      <w:pPr>
        <w:pStyle w:val="FWBL4"/>
        <w:numPr>
          <w:ilvl w:val="3"/>
          <w:numId w:val="5"/>
        </w:numPr>
        <w:ind w:hanging="0" w:start="0"/>
        <w:rPr>
          <w:color w:val="000000"/>
          <w:w w:val="100"/>
        </w:rPr>
      </w:pPr>
      <w:bookmarkStart w:id="77" w:name="_DV_M64"/>
      <w:bookmarkEnd w:id="77"/>
      <w:r>
        <w:rPr>
          <w:color w:val="000000"/>
          <w:w w:val="100"/>
        </w:rPr>
        <w:t>provide a detailed written report explaining why it cannot make the recommended changes.</w:t>
      </w:r>
    </w:p>
    <w:p>
      <w:pPr>
        <w:pStyle w:val="FWBL3"/>
        <w:numPr>
          <w:ilvl w:val="2"/>
          <w:numId w:val="5"/>
        </w:numPr>
        <w:ind w:hanging="0" w:start="0"/>
        <w:rPr>
          <w:w w:val="100"/>
        </w:rPr>
      </w:pPr>
      <w:bookmarkStart w:id="78" w:name="_DV_M65"/>
      <w:bookmarkEnd w:id="78"/>
      <w:r>
        <w:rPr>
          <w:w w:val="100"/>
        </w:rPr>
        <w:t xml:space="preserve">If EuroBank accepts the PST Supplier’s proposals delivered pursuant to paragraph (b)(i), then the PST Supplier shall implement these (including any changes to the Charges) in accordance with the plans agreed with EuroBank for this purpose. Any delay in the implementation of the agreed changes attributable to the PST Supplier shall not delay the implementation of the related agreed reduction of the Charges. The PST Supplier shall be allowed to charge EuroBank for the implementation costs of the agreed changes where agreed. Any delay in the implementation of the agreed changes not attributable to the PST Supplier shall delay the implementation of the agreed reduction of the Charges. </w:t>
      </w:r>
      <w:r>
        <w:rPr/>
      </w:r>
      <w:bookmarkStart w:id="79" w:name="_DV_C31"/>
      <w:r>
        <w:rPr/>
      </w:r>
      <w:bookmarkStart w:id="80" w:name="_DV_M66"/>
      <w:bookmarkEnd w:id="79"/>
      <w:bookmarkEnd w:id="80"/>
      <w:r>
        <w:rPr/>
      </w:r>
      <w:r>
        <w:rPr>
          <w:w w:val="100"/>
        </w:rPr>
      </w:r>
      <w:bookmarkStart w:id="81" w:name="_DV_C32"/>
    </w:p>
    <w:p>
      <w:pPr>
        <w:pStyle w:val="FWBL3"/>
        <w:numPr>
          <w:ilvl w:val="2"/>
          <w:numId w:val="5"/>
        </w:numPr>
        <w:ind w:hanging="0" w:start="0"/>
        <w:rPr/>
      </w:pPr>
      <w:bookmarkStart w:id="82" w:name="_DV_C45"/>
      <w:bookmarkEnd w:id="81"/>
      <w:r>
        <w:rPr>
          <w:rFonts w:eastAsia="Times New Roman"/>
        </w:rPr>
        <w:t xml:space="preserve"> If EuroBank: </w:t>
      </w:r>
      <w:bookmarkStart w:id="83" w:name="_DV_M67"/>
      <w:bookmarkEnd w:id="82"/>
      <w:bookmarkEnd w:id="83"/>
      <w:r>
        <w:rPr/>
      </w:r>
      <w:bookmarkStart w:id="84" w:name="_DV_C47"/>
    </w:p>
    <w:p>
      <w:pPr>
        <w:pStyle w:val="FWBL4"/>
        <w:numPr>
          <w:ilvl w:val="3"/>
          <w:numId w:val="5"/>
        </w:numPr>
        <w:ind w:hanging="0" w:start="0"/>
        <w:rPr>
          <w:rStyle w:val="DeltaViewInsertion"/>
          <w:color w:val="000000"/>
          <w:u w:val="none"/>
        </w:rPr>
      </w:pPr>
      <w:bookmarkEnd w:id="84"/>
      <w:r>
        <w:rPr/>
        <w:t xml:space="preserve">does not accept the PST Supplier’s proposals for change </w:t>
      </w:r>
      <w:bookmarkStart w:id="85" w:name="_DV_C49"/>
      <w:r>
        <w:rPr>
          <w:rStyle w:val="DeltaViewInsertion"/>
          <w:color w:val="000000"/>
          <w:u w:val="none"/>
        </w:rPr>
        <w:t xml:space="preserve">because it does not bring the PST Supplier in the Best in Class category, or </w:t>
      </w:r>
    </w:p>
    <w:p>
      <w:pPr>
        <w:pStyle w:val="FWBL4"/>
        <w:numPr>
          <w:ilvl w:val="3"/>
          <w:numId w:val="5"/>
        </w:numPr>
        <w:ind w:hanging="0" w:start="0"/>
        <w:rPr/>
      </w:pPr>
      <w:r>
        <w:rPr>
          <w:rStyle w:val="DeltaViewInsertion"/>
          <w:color w:val="000000"/>
          <w:u w:val="none"/>
        </w:rPr>
        <w:t>EuroBank does not accept the reasons given for failing to make any change or the time required to make the change,</w:t>
      </w:r>
      <w:bookmarkStart w:id="86" w:name="_DV_M69"/>
      <w:bookmarkEnd w:id="85"/>
      <w:bookmarkEnd w:id="86"/>
      <w:r>
        <w:rPr/>
      </w:r>
      <w:bookmarkStart w:id="87" w:name="_DV_M70"/>
      <w:bookmarkEnd w:id="87"/>
      <w:r>
        <w:rPr/>
      </w:r>
    </w:p>
    <w:p>
      <w:pPr>
        <w:pStyle w:val="FWBL4"/>
        <w:numPr>
          <w:ilvl w:val="0"/>
          <w:numId w:val="0"/>
        </w:numPr>
        <w:ind w:hanging="0" w:start="1440" w:end="0"/>
        <w:rPr/>
      </w:pPr>
      <w:r>
        <w:rPr/>
        <w:t>then at EuroBank’s request the PST Supplier shall procure (within a reasonable time period specified by EuroBank) that the relevant board level representative of the PST Supplier attends a meeting at an equivalent EuroBank representative designated by EuroBank for this purpose to explain in person the reasoning of the PST Supplier not to implement the recommendations of the 2IM. Following this meeting, EuroBank may, in its discretion, terminate the affected Services in accordance with clause 16.8.</w:t>
      </w:r>
      <w:r>
        <w:rPr>
          <w:i/>
          <w:iCs/>
        </w:rPr>
      </w:r>
      <w:r>
        <w:rPr>
          <w:iCs/>
        </w:rPr>
      </w:r>
      <w:r>
        <w:rPr/>
      </w:r>
      <w:bookmarkStart w:id="88" w:name="_DV_C51"/>
      <w:r>
        <w:rPr>
          <w:rStyle w:val="DeltaViewDeletion"/>
          <w:strike w:val="false"/>
          <w:dstrike w:val="false"/>
          <w:color w:val="000000"/>
        </w:rPr>
      </w:r>
      <w:bookmarkStart w:id="89" w:name="_DV_C52"/>
      <w:bookmarkEnd w:id="88"/>
      <w:r>
        <w:rPr>
          <w:rStyle w:val="DeltaViewDeletion"/>
          <w:strike w:val="false"/>
          <w:dstrike w:val="false"/>
          <w:color w:val="000000"/>
        </w:rPr>
      </w:r>
      <w:r>
        <w:rPr>
          <w:rStyle w:val="DeltaViewInsertion"/>
          <w:color w:val="000000"/>
          <w:u w:val="none"/>
        </w:rPr>
      </w:r>
      <w:bookmarkStart w:id="90" w:name="_DV_M71"/>
      <w:bookmarkEnd w:id="89"/>
      <w:bookmarkEnd w:id="90"/>
      <w:r>
        <w:rPr>
          <w:i/>
          <w:iCs/>
        </w:rPr>
      </w:r>
      <w:r>
        <w:rPr>
          <w:iCs/>
        </w:rPr>
      </w:r>
      <w:bookmarkStart w:id="91" w:name="_DV_C53"/>
      <w:r>
        <w:rPr>
          <w:rStyle w:val="DeltaViewDeletion"/>
          <w:strike w:val="false"/>
          <w:dstrike w:val="false"/>
          <w:color w:val="000000"/>
        </w:rPr>
      </w:r>
      <w:bookmarkStart w:id="92" w:name="_DV_C54"/>
      <w:bookmarkEnd w:id="91"/>
      <w:r>
        <w:rPr>
          <w:rStyle w:val="DeltaViewDeletion"/>
          <w:strike w:val="false"/>
          <w:dstrike w:val="false"/>
          <w:color w:val="000000"/>
        </w:rPr>
      </w:r>
      <w:bookmarkStart w:id="93" w:name="_DV_M72"/>
      <w:bookmarkEnd w:id="92"/>
      <w:bookmarkEnd w:id="93"/>
      <w:r>
        <w:rPr/>
      </w:r>
      <w:bookmarkStart w:id="94" w:name="_DV_M73"/>
      <w:bookmarkEnd w:id="94"/>
      <w:r>
        <w:rPr/>
      </w:r>
    </w:p>
    <w:p>
      <w:pPr>
        <w:pStyle w:val="FWBL2"/>
        <w:numPr>
          <w:ilvl w:val="1"/>
          <w:numId w:val="5"/>
        </w:numPr>
        <w:ind w:hanging="0" w:start="0"/>
        <w:rPr>
          <w:b/>
          <w:bCs/>
          <w:color w:val="000000"/>
          <w:w w:val="100"/>
        </w:rPr>
      </w:pPr>
      <w:bookmarkStart w:id="95" w:name="_DV_M76"/>
      <w:bookmarkEnd w:id="95"/>
      <w:r>
        <w:rPr>
          <w:bCs/>
          <w:color w:val="000000"/>
          <w:w w:val="100"/>
        </w:rPr>
        <w:t>COMMODITY ELEMENTS</w:t>
      </w:r>
    </w:p>
    <w:p>
      <w:pPr>
        <w:pStyle w:val="FWBL3"/>
        <w:numPr>
          <w:ilvl w:val="2"/>
          <w:numId w:val="5"/>
        </w:numPr>
        <w:ind w:hanging="0" w:start="0"/>
        <w:rPr>
          <w:w w:val="100"/>
        </w:rPr>
      </w:pPr>
      <w:bookmarkStart w:id="96" w:name="_DV_M77"/>
      <w:bookmarkEnd w:id="96"/>
      <w:r>
        <w:rPr>
          <w:w w:val="100"/>
        </w:rPr>
        <w:t>Where the 2IM issues a Mincer Report regarding a Commodity Element indicating that the Commodity Element is not being provided at the Mincer Standard, the PST Supplier shall:</w:t>
      </w:r>
    </w:p>
    <w:p>
      <w:pPr>
        <w:pStyle w:val="FWBL4"/>
        <w:numPr>
          <w:ilvl w:val="3"/>
          <w:numId w:val="5"/>
        </w:numPr>
        <w:ind w:hanging="0" w:start="0"/>
        <w:rPr>
          <w:w w:val="100"/>
        </w:rPr>
      </w:pPr>
      <w:r>
        <w:rPr>
          <w:w w:val="100"/>
        </w:rPr>
        <w:t>promptly refund to EuroBank the previous 3 months’ of over-payment for the Commodity Element (i.e., the Charges paid in excess of the Mincer Standard);</w:t>
      </w:r>
    </w:p>
    <w:p>
      <w:pPr>
        <w:pStyle w:val="FWBL4"/>
        <w:numPr>
          <w:ilvl w:val="3"/>
          <w:numId w:val="5"/>
        </w:numPr>
        <w:ind w:hanging="0" w:start="0"/>
        <w:rPr>
          <w:w w:val="100"/>
        </w:rPr>
      </w:pPr>
      <w:r>
        <w:rPr>
          <w:w w:val="100"/>
        </w:rPr>
        <w:t>in respect of managed change Commodity Elements, at EuroBank’s request, change the supplier of the Commodity Element to a supplier of EuroBank’s choosing within 3 months after delivery of the final Mincer Report; unless good reasons are given by the PST Supplier why implementing the change will need a longer implementation time which longer period is approved by the 2IM exercising its professional judgement, provided that the management and implementation of the change, including any change costs, will be subject to the Change Control Procedure. Any existing stocks and existing contractual commitments of the PST Supplier with the relevant third party vendor will be taken into consideration when agreeing the timing for implementing the required change.</w:t>
      </w:r>
      <w:r>
        <w:rPr>
          <w:color w:val="000000"/>
          <w:w w:val="100"/>
        </w:rPr>
      </w:r>
      <w:r>
        <w:rPr>
          <w:rStyle w:val="DeltaViewDeletion"/>
          <w:strike w:val="false"/>
          <w:dstrike w:val="false"/>
          <w:color w:val="000000"/>
        </w:rPr>
      </w:r>
      <w:r>
        <w:rPr>
          <w:rStyle w:val="DeltaViewInsertion"/>
          <w:color w:val="000000"/>
          <w:u w:val="none"/>
        </w:rPr>
      </w:r>
      <w:r>
        <w:rPr>
          <w:w w:val="100"/>
        </w:rPr>
      </w:r>
      <w:bookmarkStart w:id="97" w:name="_DV_C59"/>
      <w:r>
        <w:rPr>
          <w:rStyle w:val="DeltaViewInsertion"/>
          <w:color w:val="000000"/>
          <w:u w:val="none"/>
        </w:rPr>
      </w:r>
      <w:bookmarkStart w:id="98" w:name="_DV_M78"/>
      <w:bookmarkEnd w:id="97"/>
      <w:bookmarkEnd w:id="98"/>
      <w:r>
        <w:rPr>
          <w:w w:val="100"/>
        </w:rPr>
      </w:r>
      <w:r>
        <w:rPr/>
      </w:r>
      <w:bookmarkStart w:id="99" w:name="_DV_M79"/>
      <w:bookmarkEnd w:id="99"/>
      <w:r>
        <w:rPr>
          <w:w w:val="100"/>
        </w:rPr>
      </w:r>
    </w:p>
    <w:p>
      <w:pPr>
        <w:pStyle w:val="FWBL3"/>
        <w:numPr>
          <w:ilvl w:val="2"/>
          <w:numId w:val="5"/>
        </w:numPr>
        <w:ind w:hanging="0" w:start="0"/>
        <w:rPr>
          <w:w w:val="100"/>
        </w:rPr>
      </w:pPr>
      <w:r>
        <w:rPr>
          <w:w w:val="100"/>
        </w:rPr>
        <w:t xml:space="preserve">At EuroBank’s request, the 2IM shall prepare an impact assessment report (a Vendor Change Impact Report) assessing the likely impact of changing the third party supplier of a Commodity Element on the Charges, Services, Service Levels and other relevant considerations such as implementation costs and operational risks relating to a possible change.  The PST Supplier shall provide such information and assistance to the 2IM in connection with the Vendor Change Impact Report as EuroBank or the 2IM may reasonably require. </w:t>
      </w:r>
      <w:r>
        <w:rPr>
          <w:bCs/>
          <w:i/>
          <w:iCs/>
          <w:w w:val="100"/>
        </w:rPr>
      </w:r>
      <w:r>
        <w:rPr>
          <w:w w:val="100"/>
        </w:rPr>
      </w:r>
    </w:p>
    <w:p>
      <w:pPr>
        <w:pStyle w:val="FWBL4"/>
        <w:numPr>
          <w:ilvl w:val="0"/>
          <w:numId w:val="0"/>
        </w:numPr>
        <w:ind w:hanging="0" w:start="720" w:end="0"/>
        <w:rPr/>
      </w:pPr>
      <w:r>
        <w:rPr>
          <w:w w:val="100"/>
        </w:rPr>
        <w:t>In respect of Automatic Change Commodity Elements, at EuroBank’s request, The PST Supplier shall change the supplier of the Commodity Element to a supplier of EuroBank’s choosing at no cost within 3 months after delivery of the final Mincer Report; unless good reasons are given by the PST Supplier why implementing the change will need a longer implementation time which longer period is approved by the 2IM exercising its professional judgement:</w:t>
      </w:r>
      <w:r>
        <w:rPr>
          <w:color w:val="000000"/>
          <w:w w:val="100"/>
        </w:rPr>
      </w:r>
      <w:r>
        <w:rPr>
          <w:rStyle w:val="DeltaViewDeletion"/>
          <w:strike w:val="false"/>
          <w:dstrike w:val="false"/>
          <w:color w:val="000000"/>
        </w:rPr>
      </w:r>
      <w:r>
        <w:rPr>
          <w:rStyle w:val="DeltaViewInsertion"/>
          <w:color w:val="000000"/>
          <w:u w:val="none"/>
        </w:rPr>
      </w:r>
      <w:r>
        <w:rPr>
          <w:w w:val="100"/>
        </w:rPr>
      </w:r>
    </w:p>
    <w:p>
      <w:pPr>
        <w:pStyle w:val="FWBL2"/>
        <w:numPr>
          <w:ilvl w:val="1"/>
          <w:numId w:val="5"/>
        </w:numPr>
        <w:ind w:hanging="0" w:start="0"/>
        <w:rPr>
          <w:bCs/>
          <w:color w:val="000000"/>
          <w:w w:val="100"/>
        </w:rPr>
      </w:pPr>
      <w:bookmarkStart w:id="100" w:name="_DV_M80"/>
      <w:bookmarkEnd w:id="100"/>
      <w:r>
        <w:rPr>
          <w:bCs/>
          <w:color w:val="000000"/>
          <w:w w:val="100"/>
        </w:rPr>
        <w:t>GENERAL</w:t>
      </w:r>
    </w:p>
    <w:p>
      <w:pPr>
        <w:pStyle w:val="FWBL3"/>
        <w:numPr>
          <w:ilvl w:val="2"/>
          <w:numId w:val="5"/>
        </w:numPr>
        <w:ind w:hanging="0" w:start="0"/>
        <w:rPr>
          <w:w w:val="100"/>
        </w:rPr>
      </w:pPr>
      <w:bookmarkStart w:id="101" w:name="_DV_M81"/>
      <w:bookmarkEnd w:id="101"/>
      <w:r>
        <w:rPr>
          <w:w w:val="100"/>
        </w:rPr>
        <w:t>In no circumstances shall the Mincer Procedure result in any increase of any Charges or a decrease in the quality of any Services, Bundle, Commodity Element or any Service Level.</w:t>
      </w:r>
    </w:p>
    <w:p>
      <w:pPr>
        <w:pStyle w:val="FWBL3"/>
        <w:numPr>
          <w:ilvl w:val="2"/>
          <w:numId w:val="5"/>
        </w:numPr>
        <w:ind w:hanging="0" w:start="0"/>
        <w:rPr>
          <w:w w:val="100"/>
        </w:rPr>
      </w:pPr>
      <w:bookmarkStart w:id="102" w:name="_DV_M82"/>
      <w:bookmarkEnd w:id="102"/>
      <w:r>
        <w:rPr>
          <w:w w:val="100"/>
        </w:rPr>
        <w:t xml:space="preserve">If for any element of the Mincing Procedure the related Charges are subject to pricing controls under Applicable Law, then the extent of any legal requirement on the PST Supplier to maintain current pricing will be taken into account in the results of the Mincing Report and the PST Supplier shall not be obliged to reduce Charges to the extent that such a reduction would be contrary to Applicable Law. </w:t>
      </w:r>
    </w:p>
    <w:p>
      <w:pPr>
        <w:pStyle w:val="FWBL1"/>
        <w:numPr>
          <w:ilvl w:val="0"/>
          <w:numId w:val="5"/>
        </w:numPr>
        <w:ind w:hanging="0" w:start="0"/>
        <w:rPr>
          <w:w w:val="100"/>
        </w:rPr>
      </w:pPr>
      <w:bookmarkStart w:id="103" w:name="_DV_M83"/>
      <w:bookmarkEnd w:id="103"/>
      <w:r>
        <w:rPr>
          <w:w w:val="100"/>
        </w:rPr>
        <w:t>BENCHMARKING</w:t>
      </w:r>
      <w:r>
        <w:rPr>
          <w:rStyle w:val="DeltaViewInsertion"/>
          <w:b/>
          <w:bCs/>
          <w:w w:val="100"/>
        </w:rPr>
        <w:t xml:space="preserve"> </w:t>
      </w:r>
    </w:p>
    <w:p>
      <w:pPr>
        <w:pStyle w:val="Normal"/>
        <w:rPr>
          <w:b/>
          <w:bCs/>
          <w:color w:val="000000"/>
          <w:w w:val="100"/>
        </w:rPr>
      </w:pPr>
      <w:r>
        <w:rPr>
          <w:b/>
          <w:bCs/>
          <w:color w:val="000000"/>
          <w:w w:val="100"/>
        </w:rPr>
      </w:r>
    </w:p>
    <w:p>
      <w:pPr>
        <w:pStyle w:val="FWBL2"/>
        <w:numPr>
          <w:ilvl w:val="1"/>
          <w:numId w:val="5"/>
        </w:numPr>
        <w:ind w:hanging="0" w:start="0"/>
        <w:rPr>
          <w:w w:val="100"/>
        </w:rPr>
      </w:pPr>
      <w:bookmarkStart w:id="104" w:name="_DV_M84"/>
      <w:bookmarkEnd w:id="104"/>
      <w:r>
        <w:rPr>
          <w:w w:val="100"/>
        </w:rPr>
        <w:t>PURPOSE AND SCOPE OF BENCHMARKING PROCEDURE</w:t>
      </w:r>
    </w:p>
    <w:p>
      <w:pPr>
        <w:pStyle w:val="FWBL3"/>
        <w:numPr>
          <w:ilvl w:val="2"/>
          <w:numId w:val="5"/>
        </w:numPr>
        <w:ind w:hanging="0" w:start="0"/>
        <w:rPr>
          <w:w w:val="100"/>
        </w:rPr>
      </w:pPr>
      <w:bookmarkStart w:id="105" w:name="_DV_M85"/>
      <w:bookmarkEnd w:id="105"/>
      <w:r>
        <w:rPr>
          <w:w w:val="100"/>
        </w:rPr>
        <w:t xml:space="preserve">The purpose of the Benchmarking Procedure is to establish whether the Benchmarked Services or Benchmarked Commodity Elements are Best in Class. </w:t>
      </w:r>
    </w:p>
    <w:p>
      <w:pPr>
        <w:pStyle w:val="FWBL3"/>
        <w:numPr>
          <w:ilvl w:val="2"/>
          <w:numId w:val="5"/>
        </w:numPr>
        <w:ind w:hanging="0" w:start="0"/>
        <w:rPr>
          <w:w w:val="100"/>
        </w:rPr>
      </w:pPr>
      <w:bookmarkStart w:id="106" w:name="_DV_M86"/>
      <w:bookmarkEnd w:id="106"/>
      <w:r>
        <w:rPr>
          <w:w w:val="100"/>
        </w:rPr>
        <w:t>Section 2 of this Exhibit details the Benchmarking Procedure and the remedies available to EuroBank if the Benchmarker concludes that the Benchmarked Services or Benchmarked Commodity Elements are not Best in Class.</w:t>
      </w:r>
    </w:p>
    <w:p>
      <w:pPr>
        <w:pStyle w:val="FWBL3"/>
        <w:numPr>
          <w:ilvl w:val="2"/>
          <w:numId w:val="5"/>
        </w:numPr>
        <w:ind w:hanging="0" w:start="0"/>
        <w:rPr>
          <w:w w:val="100"/>
        </w:rPr>
      </w:pPr>
      <w:bookmarkStart w:id="107" w:name="_DV_M87"/>
      <w:bookmarkEnd w:id="107"/>
      <w:r>
        <w:rPr>
          <w:w w:val="100"/>
        </w:rPr>
        <w:t>EuroBank may appoint the 2IM to act as its representative for all or any part of the Benchmarking Procedure.</w:t>
      </w:r>
    </w:p>
    <w:p>
      <w:pPr>
        <w:pStyle w:val="FWBL2"/>
        <w:numPr>
          <w:ilvl w:val="1"/>
          <w:numId w:val="5"/>
        </w:numPr>
        <w:ind w:hanging="0" w:start="0"/>
        <w:rPr>
          <w:w w:val="100"/>
        </w:rPr>
      </w:pPr>
      <w:bookmarkStart w:id="108" w:name="_DV_M88"/>
      <w:bookmarkEnd w:id="108"/>
      <w:r>
        <w:rPr>
          <w:w w:val="100"/>
        </w:rPr>
        <w:t>BENCHMARKING PROCEDURE</w:t>
      </w:r>
    </w:p>
    <w:p>
      <w:pPr>
        <w:pStyle w:val="FWBL3"/>
        <w:numPr>
          <w:ilvl w:val="2"/>
          <w:numId w:val="5"/>
        </w:numPr>
        <w:ind w:hanging="0" w:start="0"/>
        <w:rPr>
          <w:w w:val="100"/>
        </w:rPr>
      </w:pPr>
      <w:bookmarkStart w:id="109" w:name="_Ref114570934"/>
      <w:bookmarkStart w:id="110" w:name="_DV_M89"/>
      <w:bookmarkEnd w:id="110"/>
      <w:r>
        <w:rPr>
          <w:w w:val="100"/>
        </w:rPr>
        <w:t>Benchmarking Notice</w:t>
      </w:r>
      <w:bookmarkEnd w:id="109"/>
    </w:p>
    <w:p>
      <w:pPr>
        <w:pStyle w:val="FWBL4"/>
        <w:numPr>
          <w:ilvl w:val="3"/>
          <w:numId w:val="5"/>
        </w:numPr>
        <w:ind w:hanging="0" w:start="0"/>
        <w:rPr>
          <w:w w:val="100"/>
        </w:rPr>
      </w:pPr>
      <w:bookmarkStart w:id="111" w:name="_DV_M90"/>
      <w:bookmarkEnd w:id="111"/>
      <w:r>
        <w:rPr>
          <w:w w:val="100"/>
        </w:rPr>
        <w:t xml:space="preserve">EuroBank may invoke the Benchmarking Procedure by issuing a Benchmarking Notice to the PST Supplier.  While EuroBank (or the 2IM on its behalf) may issue a Benchmarking Notice at a prior date, the earliest Benchmarking Procedure(s) shall commence no earlier than the first anniversary of the Service Commencement Date in respect of Services and no earlier than 9 months after the Service Commencement Date in respect of Commodity Elements. </w:t>
      </w:r>
      <w:r>
        <w:rPr>
          <w:b/>
          <w:bCs/>
          <w:i/>
          <w:iCs/>
          <w:w w:val="100"/>
        </w:rPr>
      </w:r>
      <w:r>
        <w:rPr>
          <w:w w:val="100"/>
        </w:rPr>
      </w:r>
      <w:r>
        <w:rPr>
          <w:w w:val="100"/>
          <w:u w:val="single"/>
        </w:rPr>
      </w:r>
    </w:p>
    <w:p>
      <w:pPr>
        <w:pStyle w:val="FWBL4"/>
        <w:numPr>
          <w:ilvl w:val="3"/>
          <w:numId w:val="5"/>
        </w:numPr>
        <w:ind w:hanging="0" w:start="0"/>
        <w:rPr>
          <w:w w:val="100"/>
        </w:rPr>
      </w:pPr>
      <w:bookmarkStart w:id="112" w:name="_Ref130801461"/>
      <w:bookmarkStart w:id="113" w:name="_DV_M91"/>
      <w:bookmarkEnd w:id="113"/>
      <w:r>
        <w:rPr>
          <w:w w:val="100"/>
        </w:rPr>
        <w:t>EuroBank may not issue a Benchmarking Notice in relation to the same Benchmarked Service more than once every 12 months or in relation to the same Benchmarked Commodity Element more than once every 6 months.</w:t>
      </w:r>
      <w:bookmarkStart w:id="114" w:name="_DV_M92"/>
      <w:bookmarkEnd w:id="114"/>
      <w:r>
        <w:rPr>
          <w:w w:val="100"/>
        </w:rPr>
      </w:r>
      <w:bookmarkStart w:id="115" w:name="_DV_M93"/>
      <w:bookmarkEnd w:id="115"/>
      <w:r>
        <w:rPr>
          <w:w w:val="100"/>
        </w:rPr>
      </w:r>
    </w:p>
    <w:p>
      <w:pPr>
        <w:pStyle w:val="FWBL4"/>
        <w:numPr>
          <w:ilvl w:val="3"/>
          <w:numId w:val="5"/>
        </w:numPr>
        <w:ind w:hanging="0" w:start="0"/>
        <w:rPr>
          <w:w w:val="100"/>
        </w:rPr>
      </w:pPr>
      <w:bookmarkStart w:id="116" w:name="_Ref130801461"/>
      <w:bookmarkStart w:id="117" w:name="_DV_M95"/>
      <w:bookmarkEnd w:id="117"/>
      <w:r>
        <w:rPr>
          <w:w w:val="100"/>
        </w:rPr>
        <w:t xml:space="preserve">EuroBank’s conduct of any Benchmarking Procedure shall not restrict its ability to conduct a Mincer Procedure in accordance with Section 2 of this Exhibit or to conduct any informal value for money comparisons of any of the Services or any Commodity Element, including through market testing or technology price indexing.  </w:t>
      </w:r>
      <w:bookmarkStart w:id="118" w:name="_DV_M96"/>
      <w:bookmarkEnd w:id="116"/>
      <w:bookmarkEnd w:id="118"/>
      <w:r>
        <w:rPr>
          <w:w w:val="100"/>
        </w:rPr>
      </w:r>
    </w:p>
    <w:p>
      <w:pPr>
        <w:pStyle w:val="FWBL3"/>
        <w:numPr>
          <w:ilvl w:val="2"/>
          <w:numId w:val="5"/>
        </w:numPr>
        <w:ind w:hanging="0" w:start="0"/>
        <w:rPr>
          <w:w w:val="100"/>
        </w:rPr>
      </w:pPr>
      <w:bookmarkStart w:id="119" w:name="_Ref115685673"/>
      <w:bookmarkStart w:id="120" w:name="_DV_M97"/>
      <w:bookmarkEnd w:id="120"/>
      <w:r>
        <w:rPr>
          <w:w w:val="100"/>
        </w:rPr>
        <w:t>Appointment of Benchmarker and Terms of Reference</w:t>
      </w:r>
      <w:bookmarkEnd w:id="119"/>
    </w:p>
    <w:p>
      <w:pPr>
        <w:pStyle w:val="FWBL4"/>
        <w:numPr>
          <w:ilvl w:val="3"/>
          <w:numId w:val="5"/>
        </w:numPr>
        <w:ind w:hanging="0" w:start="0"/>
        <w:rPr>
          <w:w w:val="100"/>
        </w:rPr>
      </w:pPr>
      <w:bookmarkStart w:id="121" w:name="_DV_M98"/>
      <w:bookmarkEnd w:id="121"/>
      <w:r>
        <w:rPr>
          <w:w w:val="100"/>
        </w:rPr>
        <w:t>The Benchmarking Notice shall indicate EuroBank’s preferred choice for a Benchmarker.  The Benchmarker shall be an independent entity recognised as having suitable benchmarking experience.  The identity of the Benchmarker shall be subject to the PST Supplier’s approval, which approval shall not be unreasonably withheld or delayed.</w:t>
      </w:r>
    </w:p>
    <w:p>
      <w:pPr>
        <w:pStyle w:val="FWBL4"/>
        <w:numPr>
          <w:ilvl w:val="3"/>
          <w:numId w:val="5"/>
        </w:numPr>
        <w:ind w:hanging="0" w:start="0"/>
        <w:rPr>
          <w:w w:val="100"/>
        </w:rPr>
      </w:pPr>
      <w:bookmarkStart w:id="122" w:name="_DV_M99"/>
      <w:bookmarkEnd w:id="122"/>
      <w:r>
        <w:rPr>
          <w:w w:val="100"/>
        </w:rPr>
        <w:t>When issuing the Benchmarking Notice, EuroBank and the PST Supplier shall agree on the draft Terms of Reference to be sent to the Benchmarker. The Terms of Reference shall be negotiated and agreed by the parties and the Benchmarker within 10 Business Days or such longer period as the parties may agree. The PST Supplier shall not unreasonably withhold or delay its agreement to the Terms of Reference.</w:t>
      </w:r>
      <w:bookmarkStart w:id="123" w:name="_Ref114571000"/>
      <w:bookmarkStart w:id="124" w:name="_DV_M100"/>
      <w:bookmarkEnd w:id="124"/>
      <w:r>
        <w:rPr>
          <w:w w:val="100"/>
        </w:rPr>
      </w:r>
    </w:p>
    <w:p>
      <w:pPr>
        <w:pStyle w:val="FWBL4"/>
        <w:numPr>
          <w:ilvl w:val="3"/>
          <w:numId w:val="5"/>
        </w:numPr>
        <w:ind w:hanging="0" w:start="0"/>
        <w:rPr>
          <w:w w:val="100"/>
        </w:rPr>
      </w:pPr>
      <w:bookmarkStart w:id="125" w:name="_DV_M101"/>
      <w:bookmarkEnd w:id="125"/>
      <w:r>
        <w:rPr>
          <w:w w:val="100"/>
        </w:rPr>
        <w:t>The Terms of Reference shall include:</w:t>
      </w:r>
      <w:bookmarkEnd w:id="123"/>
    </w:p>
    <w:p>
      <w:pPr>
        <w:pStyle w:val="FWBL5"/>
        <w:numPr>
          <w:ilvl w:val="4"/>
          <w:numId w:val="5"/>
        </w:numPr>
        <w:ind w:hanging="0" w:start="0"/>
        <w:rPr>
          <w:w w:val="100"/>
        </w:rPr>
      </w:pPr>
      <w:bookmarkStart w:id="126" w:name="_DV_M102"/>
      <w:bookmarkEnd w:id="126"/>
      <w:r>
        <w:rPr>
          <w:w w:val="100"/>
        </w:rPr>
        <w:t xml:space="preserve">the selection of the Benchmarked Services (for TelCo: LAN and/or voice Services) and/or Benchmarked Commodity Elements that will be subject of the Benchmarking Procedure. </w:t>
      </w:r>
      <w:bookmarkStart w:id="127" w:name="_DV_C63"/>
      <w:r>
        <w:rPr>
          <w:w w:val="100"/>
        </w:rPr>
      </w:r>
    </w:p>
    <w:p>
      <w:pPr>
        <w:pStyle w:val="FWBL5"/>
        <w:numPr>
          <w:ilvl w:val="4"/>
          <w:numId w:val="5"/>
        </w:numPr>
        <w:ind w:hanging="0" w:start="0"/>
        <w:rPr>
          <w:w w:val="100"/>
        </w:rPr>
      </w:pPr>
      <w:bookmarkStart w:id="128" w:name="_DV_M105"/>
      <w:bookmarkEnd w:id="127"/>
      <w:bookmarkEnd w:id="128"/>
      <w:r>
        <w:rPr>
          <w:w w:val="100"/>
        </w:rPr>
        <w:t>a timetable for the Benchmarking Procedure, requiring the Benchmarker to deliver a final Benchmarking Report to the parties no later than 40 Business Days after the date of signature of the contract with the Benchmarker;</w:t>
      </w:r>
    </w:p>
    <w:p>
      <w:pPr>
        <w:pStyle w:val="FWBL5"/>
        <w:numPr>
          <w:ilvl w:val="4"/>
          <w:numId w:val="5"/>
        </w:numPr>
        <w:ind w:hanging="0" w:start="0"/>
        <w:rPr>
          <w:w w:val="100"/>
        </w:rPr>
      </w:pPr>
      <w:bookmarkStart w:id="129" w:name="_DV_M106"/>
      <w:bookmarkEnd w:id="129"/>
      <w:r>
        <w:rPr>
          <w:w w:val="100"/>
        </w:rPr>
        <w:t>a description of the materials and information that the Benchmarker requires each party to supply for the purposes of the Benchmarking Procedure; and</w:t>
      </w:r>
    </w:p>
    <w:p>
      <w:pPr>
        <w:pStyle w:val="FWBL5"/>
        <w:numPr>
          <w:ilvl w:val="4"/>
          <w:numId w:val="5"/>
        </w:numPr>
        <w:ind w:hanging="0" w:start="0"/>
        <w:rPr>
          <w:w w:val="100"/>
        </w:rPr>
      </w:pPr>
      <w:bookmarkStart w:id="130" w:name="_DV_M107"/>
      <w:bookmarkEnd w:id="130"/>
      <w:r>
        <w:rPr>
          <w:w w:val="100"/>
        </w:rPr>
        <w:t>the Benchmarker’s terms of engagement, including its fees and working arrangements.</w:t>
      </w:r>
      <w:bookmarkStart w:id="131" w:name="_Ref114571019"/>
    </w:p>
    <w:p>
      <w:pPr>
        <w:pStyle w:val="FWBL4"/>
        <w:numPr>
          <w:ilvl w:val="3"/>
          <w:numId w:val="5"/>
        </w:numPr>
        <w:ind w:hanging="0" w:start="0"/>
        <w:rPr>
          <w:w w:val="100"/>
        </w:rPr>
      </w:pPr>
      <w:bookmarkStart w:id="132" w:name="_DV_M108"/>
      <w:bookmarkEnd w:id="132"/>
      <w:r>
        <w:rPr>
          <w:w w:val="100"/>
        </w:rPr>
        <w:t>The parties shall enter into a tri-partite agreement with the Benchmarker on terms consistent with this Exhibit and the Terms of Reference.  The agreement shall contain terms regarding the use and disclosure of the parties’ Confidential Information at least as protective as those found in this MSA. EuroBank may disclose the terms of this MSA and any other Confidential Information to the Benchmarker and to the 2IM for the purpose of the Benchmarking Procedure.</w:t>
      </w:r>
    </w:p>
    <w:p>
      <w:pPr>
        <w:pStyle w:val="FWBL4"/>
        <w:numPr>
          <w:ilvl w:val="3"/>
          <w:numId w:val="5"/>
        </w:numPr>
        <w:ind w:hanging="0" w:start="0"/>
        <w:rPr>
          <w:w w:val="100"/>
        </w:rPr>
      </w:pPr>
      <w:bookmarkStart w:id="133" w:name="_DV_M109"/>
      <w:bookmarkEnd w:id="133"/>
      <w:r>
        <w:rPr>
          <w:w w:val="100"/>
        </w:rPr>
        <w:t>The costs and expenses of the Benchmarker shall be negotiated by EuroBank, and borne by EuroBank unless the Benchmarking Procedure shows that the then current terms of this MSA are not Best in Class, in which case the costs and expenses of the Benchmarker will be borne by the PST Supplier. Except as provided in the preceding sentence, each party shall bear its own costs and expenses in relation to the Benchmarking Procedure.</w:t>
      </w:r>
      <w:bookmarkStart w:id="134" w:name="_DV_C65"/>
      <w:r>
        <w:rPr>
          <w:w w:val="100"/>
        </w:rPr>
      </w:r>
      <w:bookmarkStart w:id="135" w:name="_DV_M110"/>
      <w:bookmarkEnd w:id="134"/>
      <w:bookmarkEnd w:id="135"/>
      <w:r>
        <w:rPr>
          <w:w w:val="100"/>
        </w:rPr>
      </w:r>
      <w:bookmarkStart w:id="136" w:name="_DV_M111"/>
      <w:bookmarkEnd w:id="136"/>
      <w:r>
        <w:rPr>
          <w:w w:val="100"/>
        </w:rPr>
      </w:r>
      <w:bookmarkEnd w:id="131"/>
    </w:p>
    <w:p>
      <w:pPr>
        <w:pStyle w:val="FWBL4"/>
        <w:numPr>
          <w:ilvl w:val="3"/>
          <w:numId w:val="5"/>
        </w:numPr>
        <w:ind w:hanging="0" w:start="0"/>
        <w:rPr>
          <w:w w:val="100"/>
        </w:rPr>
      </w:pPr>
      <w:bookmarkStart w:id="137" w:name="_DV_M112"/>
      <w:bookmarkEnd w:id="137"/>
      <w:r>
        <w:rPr>
          <w:w w:val="100"/>
        </w:rPr>
        <w:t>Each party shall provide the Benchmarker with assistance and supporting information as reasonably required by the Benchmarker for the Benchmarking Procedure.  The PST Supplier shall co-operate with the 2IM and provide such assistance and information to the 2IM as the 2IM may request from time to time.</w:t>
      </w:r>
    </w:p>
    <w:p>
      <w:pPr>
        <w:pStyle w:val="FWBL3"/>
        <w:numPr>
          <w:ilvl w:val="2"/>
          <w:numId w:val="5"/>
        </w:numPr>
        <w:ind w:hanging="0" w:start="0"/>
        <w:rPr>
          <w:color w:val="000000"/>
        </w:rPr>
      </w:pPr>
      <w:bookmarkStart w:id="138" w:name="_DV_M113"/>
      <w:bookmarkEnd w:id="138"/>
      <w:r>
        <w:rPr>
          <w:color w:val="000000"/>
        </w:rPr>
        <w:t>Assessment of the Benchmarked Services</w:t>
      </w:r>
      <w:bookmarkStart w:id="139" w:name="_Ref115069847"/>
    </w:p>
    <w:p>
      <w:pPr>
        <w:pStyle w:val="FWBL4"/>
        <w:numPr>
          <w:ilvl w:val="3"/>
          <w:numId w:val="5"/>
        </w:numPr>
        <w:ind w:hanging="0" w:start="0"/>
        <w:rPr>
          <w:w w:val="100"/>
        </w:rPr>
      </w:pPr>
      <w:bookmarkStart w:id="140" w:name="_DV_M114"/>
      <w:bookmarkEnd w:id="140"/>
      <w:r>
        <w:rPr>
          <w:w w:val="100"/>
        </w:rPr>
        <w:t>The Benchmarker shall:</w:t>
      </w:r>
      <w:bookmarkEnd w:id="139"/>
    </w:p>
    <w:p>
      <w:pPr>
        <w:pStyle w:val="FWBL5"/>
        <w:numPr>
          <w:ilvl w:val="4"/>
          <w:numId w:val="5"/>
        </w:numPr>
        <w:ind w:hanging="0" w:start="0"/>
        <w:rPr>
          <w:w w:val="100"/>
        </w:rPr>
      </w:pPr>
      <w:bookmarkStart w:id="141" w:name="_DV_M115"/>
      <w:bookmarkEnd w:id="141"/>
      <w:r>
        <w:rPr>
          <w:w w:val="100"/>
        </w:rPr>
        <w:t>identify the Comparison Sample using its professional judgement, including in relation to the age and source of data in the Comparison Sample;</w:t>
      </w:r>
    </w:p>
    <w:p>
      <w:pPr>
        <w:pStyle w:val="FWBL5"/>
        <w:numPr>
          <w:ilvl w:val="4"/>
          <w:numId w:val="5"/>
        </w:numPr>
        <w:ind w:hanging="0" w:start="0"/>
        <w:rPr>
          <w:w w:val="100"/>
        </w:rPr>
      </w:pPr>
      <w:bookmarkStart w:id="142" w:name="_Ref115678289"/>
      <w:bookmarkStart w:id="143" w:name="_DV_M116"/>
      <w:bookmarkEnd w:id="143"/>
      <w:r>
        <w:rPr>
          <w:w w:val="100"/>
        </w:rPr>
        <w:t>using professional benchmarking procedures, normalise the data in the Comparison Sample to accommodate differences in volume, scope and quality of service, performance standards, payment streams, geographical locations, contract terms, and any other reasonable factors identified by the Benchmarker, which if not taken into consideration, could result in an unfair or not “like for like” comparison;</w:t>
      </w:r>
      <w:bookmarkEnd w:id="142"/>
      <w:r>
        <w:rPr>
          <w:w w:val="100"/>
          <w:highlight w:val="green"/>
        </w:rPr>
        <w:t xml:space="preserve"> </w:t>
      </w:r>
    </w:p>
    <w:p>
      <w:pPr>
        <w:pStyle w:val="FWBL5"/>
        <w:numPr>
          <w:ilvl w:val="4"/>
          <w:numId w:val="5"/>
        </w:numPr>
        <w:ind w:hanging="0" w:start="0"/>
        <w:rPr>
          <w:w w:val="100"/>
        </w:rPr>
      </w:pPr>
      <w:bookmarkStart w:id="144" w:name="_DV_M119"/>
      <w:bookmarkEnd w:id="144"/>
      <w:r>
        <w:rPr>
          <w:w w:val="100"/>
        </w:rPr>
        <w:t xml:space="preserve">compare the terms of service for each Benchmarked Service and Benchmarked Commodity Element, including the Charges and Service Levels, with the terms normalised under (B) above, and determine whether each Benchmarked Service or Benchmarked Commodity Element is Best in Class; </w:t>
      </w:r>
    </w:p>
    <w:p>
      <w:pPr>
        <w:pStyle w:val="FWBL5"/>
        <w:numPr>
          <w:ilvl w:val="4"/>
          <w:numId w:val="5"/>
        </w:numPr>
        <w:ind w:hanging="0" w:start="0"/>
        <w:rPr>
          <w:w w:val="100"/>
        </w:rPr>
      </w:pPr>
      <w:bookmarkStart w:id="145" w:name="_DV_M120"/>
      <w:bookmarkEnd w:id="145"/>
      <w:r>
        <w:rPr>
          <w:w w:val="100"/>
        </w:rPr>
        <w:t>perform the Benchmarking in an overall symmetrical way, meaning for example that a higher service level can compensate higher prices and lower service levels can lead to lower prices; and</w:t>
      </w:r>
    </w:p>
    <w:p>
      <w:pPr>
        <w:pStyle w:val="FWBL5"/>
        <w:numPr>
          <w:ilvl w:val="4"/>
          <w:numId w:val="5"/>
        </w:numPr>
        <w:ind w:hanging="0" w:start="0"/>
        <w:rPr>
          <w:w w:val="100"/>
        </w:rPr>
      </w:pPr>
      <w:bookmarkStart w:id="146" w:name="_DV_M121"/>
      <w:bookmarkEnd w:id="146"/>
      <w:r>
        <w:rPr>
          <w:w w:val="100"/>
        </w:rPr>
        <w:t>if it determines that the Benchmarked Services or Benchmarked Commodity Elements (measured across the entire sample which was subject of the Benchmarking Procedure) are not Best in Class, recommend changes to this MSA to make the relevant Benchmarked Services and/or Benchmarked Commodity Elements Best in Class, including by specifying reductions in the Charges and/or improvements to the quality and/or Service Levels relating to the Benchmarked Services or Benchmarked Commodity Elements.</w:t>
      </w:r>
    </w:p>
    <w:p>
      <w:pPr>
        <w:pStyle w:val="FWBL4"/>
        <w:numPr>
          <w:ilvl w:val="3"/>
          <w:numId w:val="5"/>
        </w:numPr>
        <w:ind w:hanging="0" w:start="0"/>
        <w:rPr>
          <w:w w:val="100"/>
        </w:rPr>
      </w:pPr>
      <w:bookmarkStart w:id="147" w:name="_DV_M122"/>
      <w:bookmarkEnd w:id="147"/>
      <w:r>
        <w:rPr>
          <w:w w:val="100"/>
        </w:rPr>
        <w:t xml:space="preserve">The assessment of whether a Benchmarked Service or Benchmarked Commodity Element is Best in Class shall be a matter for the Benchmarker’s professional judgement, taking into account each party’s reasonable submissions and the applicable Like for Like Factors in accordance with Section 3 of this Exhibit. </w:t>
      </w:r>
    </w:p>
    <w:p>
      <w:pPr>
        <w:pStyle w:val="FWBL3"/>
        <w:numPr>
          <w:ilvl w:val="2"/>
          <w:numId w:val="5"/>
        </w:numPr>
        <w:ind w:hanging="0" w:start="0"/>
        <w:rPr>
          <w:w w:val="100"/>
        </w:rPr>
      </w:pPr>
      <w:bookmarkStart w:id="148" w:name="_DV_M123"/>
      <w:bookmarkEnd w:id="148"/>
      <w:r>
        <w:rPr>
          <w:w w:val="100"/>
        </w:rPr>
        <w:t>Benchmarking Report</w:t>
      </w:r>
    </w:p>
    <w:p>
      <w:pPr>
        <w:pStyle w:val="FWBL4"/>
        <w:numPr>
          <w:ilvl w:val="3"/>
          <w:numId w:val="5"/>
        </w:numPr>
        <w:ind w:hanging="0" w:start="0"/>
        <w:rPr>
          <w:w w:val="100"/>
        </w:rPr>
      </w:pPr>
      <w:bookmarkStart w:id="149" w:name="_DV_M124"/>
      <w:bookmarkEnd w:id="149"/>
      <w:r>
        <w:rPr>
          <w:w w:val="100"/>
        </w:rPr>
        <w:t>The Benchmarker shall prepare and deliver to each party and the 2IM a draft Benchmarking Report in accordance with the timetable and other requirements in the Terms of Reference.</w:t>
      </w:r>
    </w:p>
    <w:p>
      <w:pPr>
        <w:pStyle w:val="FWBL4"/>
        <w:numPr>
          <w:ilvl w:val="3"/>
          <w:numId w:val="5"/>
        </w:numPr>
        <w:ind w:hanging="0" w:start="0"/>
        <w:rPr>
          <w:w w:val="100"/>
        </w:rPr>
      </w:pPr>
      <w:bookmarkStart w:id="150" w:name="_DV_M125"/>
      <w:bookmarkEnd w:id="150"/>
      <w:r>
        <w:rPr>
          <w:w w:val="100"/>
        </w:rPr>
        <w:t>Each party shall have 10 Business Days to comment on and request changes to the draft Benchmarking Report.  The 2IM will coordinate comments and request changes on behalf of EuroBank. The Benchmarker shall in its professional discretion decide about how it addresses any comments or requests, except in the case of manifest error or conclusions that are clearly unsubstantiated.</w:t>
      </w:r>
    </w:p>
    <w:p>
      <w:pPr>
        <w:pStyle w:val="FWBL4"/>
        <w:numPr>
          <w:ilvl w:val="3"/>
          <w:numId w:val="5"/>
        </w:numPr>
        <w:ind w:hanging="0" w:start="0"/>
        <w:rPr>
          <w:w w:val="100"/>
        </w:rPr>
      </w:pPr>
      <w:bookmarkStart w:id="151" w:name="_DV_M126"/>
      <w:bookmarkEnd w:id="151"/>
      <w:r>
        <w:rPr>
          <w:w w:val="100"/>
        </w:rPr>
        <w:t>The Benchmarker shall deliver a final Benchmarking Report to the parties and the 2IM no later than 40 Business Days after the date of signature of the contract with the Benchmarker.</w:t>
      </w:r>
      <w:bookmarkStart w:id="152" w:name="_Ref115684964"/>
    </w:p>
    <w:p>
      <w:pPr>
        <w:pStyle w:val="FWBL2"/>
        <w:numPr>
          <w:ilvl w:val="1"/>
          <w:numId w:val="5"/>
        </w:numPr>
        <w:ind w:hanging="0" w:start="0"/>
        <w:rPr>
          <w:w w:val="100"/>
        </w:rPr>
      </w:pPr>
      <w:bookmarkStart w:id="153" w:name="_DV_M128"/>
      <w:bookmarkStart w:id="154" w:name="_DV_M127"/>
      <w:bookmarkEnd w:id="152"/>
      <w:bookmarkEnd w:id="153"/>
      <w:bookmarkEnd w:id="154"/>
      <w:r>
        <w:rPr>
          <w:w w:val="100"/>
        </w:rPr>
        <w:t>REMEDIES</w:t>
      </w:r>
    </w:p>
    <w:p>
      <w:pPr>
        <w:pStyle w:val="FWBL3"/>
        <w:numPr>
          <w:ilvl w:val="2"/>
          <w:numId w:val="5"/>
        </w:numPr>
        <w:ind w:hanging="0" w:start="0"/>
        <w:rPr>
          <w:w w:val="100"/>
        </w:rPr>
      </w:pPr>
      <w:r>
        <w:rPr>
          <w:w w:val="100"/>
        </w:rPr>
        <w:t>Benchmarked Services</w:t>
      </w:r>
    </w:p>
    <w:p>
      <w:pPr>
        <w:pStyle w:val="FWBL4"/>
        <w:numPr>
          <w:ilvl w:val="3"/>
          <w:numId w:val="5"/>
        </w:numPr>
        <w:ind w:hanging="0" w:start="0"/>
        <w:rPr>
          <w:w w:val="100"/>
        </w:rPr>
      </w:pPr>
      <w:bookmarkStart w:id="155" w:name="_Ref130801066"/>
      <w:bookmarkStart w:id="156" w:name="_DV_M129"/>
      <w:bookmarkEnd w:id="156"/>
      <w:r>
        <w:rPr>
          <w:w w:val="100"/>
        </w:rPr>
        <w:t xml:space="preserve">If the Benchmarking Report issued under paragraph 2.2(d) concludes that a Benchmarked Service </w:t>
      </w:r>
      <w:bookmarkStart w:id="157" w:name="_DV_M130"/>
      <w:bookmarkEnd w:id="157"/>
      <w:r>
        <w:rPr>
          <w:w w:val="100"/>
        </w:rPr>
        <w:t xml:space="preserve"> is not Best in Class, then:</w:t>
      </w:r>
      <w:bookmarkStart w:id="158" w:name="_Ref115676007"/>
      <w:bookmarkEnd w:id="155"/>
    </w:p>
    <w:p>
      <w:pPr>
        <w:pStyle w:val="FWBL4"/>
        <w:numPr>
          <w:ilvl w:val="3"/>
          <w:numId w:val="5"/>
        </w:numPr>
        <w:ind w:hanging="0" w:start="0"/>
        <w:rPr>
          <w:color w:val="000000"/>
          <w:w w:val="100"/>
        </w:rPr>
      </w:pPr>
      <w:bookmarkStart w:id="159" w:name="_DV_M132"/>
      <w:bookmarkEnd w:id="159"/>
      <w:r>
        <w:rPr>
          <w:color w:val="000000"/>
          <w:w w:val="100"/>
        </w:rPr>
        <w:t>the PST Supplier shall amend its prices and/or terms in accordance with the adjustments recommended by the Benchmarker within three months after delivery of the final Benchmarking Report</w:t>
      </w:r>
      <w:bookmarkStart w:id="160" w:name="_DV_C70"/>
      <w:r>
        <w:rPr>
          <w:rStyle w:val="DeltaViewDeletion"/>
          <w:strike w:val="false"/>
          <w:dstrike w:val="false"/>
          <w:color w:val="000000"/>
        </w:rPr>
        <w:t>;</w:t>
      </w:r>
      <w:bookmarkStart w:id="161" w:name="_DV_C71"/>
      <w:bookmarkEnd w:id="160"/>
      <w:r>
        <w:rPr>
          <w:rStyle w:val="DeltaViewInsertion"/>
          <w:color w:val="000000"/>
          <w:u w:val="none"/>
        </w:rPr>
        <w:t xml:space="preserve"> unless good reasons are given by the PST Supplier why implementing the change will need a longer implementation time which longer period is approved by the 2IM exercising its professional judgement;</w:t>
      </w:r>
      <w:bookmarkEnd w:id="161"/>
    </w:p>
    <w:p>
      <w:pPr>
        <w:pStyle w:val="FWBL4"/>
        <w:numPr>
          <w:ilvl w:val="3"/>
          <w:numId w:val="5"/>
        </w:numPr>
        <w:ind w:hanging="0" w:start="0"/>
        <w:rPr>
          <w:color w:val="000000"/>
          <w:w w:val="100"/>
        </w:rPr>
      </w:pPr>
      <w:bookmarkStart w:id="162" w:name="_DV_M134"/>
      <w:bookmarkEnd w:id="162"/>
      <w:r>
        <w:rPr>
          <w:color w:val="000000"/>
          <w:w w:val="100"/>
        </w:rPr>
        <w:t>if the PST Supplier claims it is not able to make the adjustment recommended by the Benchmarker in whole or in part the PST Supplier must give its reasoning to EuroBank and the 2IM documented with facts, why it finds it impossible to amend the prices as recommended by the Benchmarker.  If EuroBank does not accept the PST Supplier’s reasons given for failing to make any change, then at EuroBank’s request the PST Supplier shall procure (within a reasonable time period specified by EuroBank) that the relevant board level representative of the PST Supplier attends a meeting at an equivalent EuroBank representative designated by EuroBank for this purpose to explain in person the reasoning of the PST Supplier not to implement the recommendations of the Benchmarker. Following this meeting, EuroBank may, in its discretion, terminate the affected Services, provided that it does so within 3 months of the issuance of the final Benchmarking Report, in which case no Termination Fees will be due by EuroBank and the PST Supplier shall bear EuroBank’s switching costs (excluding external legal and other advisory fees) up to a total maximum amount for the Term of 200,000 EUR, provided EuroBank provides a prior estimate of such costs to the PST Supplier prior to terminating the Services and provided EuroBank uses its reasonable efforts to minimise such costs where possible.</w:t>
      </w:r>
      <w:r>
        <w:rPr/>
      </w:r>
      <w:r>
        <w:rPr>
          <w:iCs/>
        </w:rPr>
      </w:r>
      <w:r>
        <w:rPr/>
      </w:r>
      <w:r>
        <w:rPr>
          <w:rStyle w:val="DeltaViewDeletion"/>
          <w:strike w:val="false"/>
          <w:dstrike w:val="false"/>
          <w:color w:val="000000"/>
        </w:rPr>
      </w:r>
      <w:r>
        <w:rPr>
          <w:rStyle w:val="DeltaViewInsertion"/>
          <w:color w:val="000000"/>
          <w:u w:val="none"/>
        </w:rPr>
      </w:r>
      <w:r>
        <w:rPr>
          <w:iCs/>
        </w:rPr>
      </w:r>
      <w:r>
        <w:rPr>
          <w:rStyle w:val="DeltaViewDeletion"/>
          <w:strike w:val="false"/>
          <w:dstrike w:val="false"/>
          <w:color w:val="000000"/>
        </w:rPr>
      </w:r>
      <w:r>
        <w:rPr/>
      </w:r>
      <w:r>
        <w:rPr>
          <w:rStyle w:val="DeltaViewInsertion"/>
          <w:color w:val="000000"/>
          <w:u w:val="none"/>
        </w:rPr>
      </w:r>
      <w:bookmarkStart w:id="163" w:name="_DV_M135"/>
      <w:bookmarkEnd w:id="163"/>
    </w:p>
    <w:p>
      <w:pPr>
        <w:pStyle w:val="FWBL3"/>
        <w:numPr>
          <w:ilvl w:val="2"/>
          <w:numId w:val="5"/>
        </w:numPr>
        <w:ind w:hanging="0" w:start="0"/>
        <w:rPr>
          <w:w w:val="100"/>
        </w:rPr>
      </w:pPr>
      <w:bookmarkStart w:id="164" w:name="_DV_M137"/>
      <w:bookmarkStart w:id="165" w:name="_DV_M136"/>
      <w:bookmarkEnd w:id="164"/>
      <w:bookmarkEnd w:id="165"/>
      <w:r>
        <w:rPr>
          <w:w w:val="100"/>
        </w:rPr>
        <w:t>Commodity Elements</w:t>
      </w:r>
    </w:p>
    <w:p>
      <w:pPr>
        <w:pStyle w:val="FWBL4"/>
        <w:numPr>
          <w:ilvl w:val="3"/>
          <w:numId w:val="5"/>
        </w:numPr>
        <w:ind w:hanging="0" w:start="0"/>
        <w:rPr>
          <w:w w:val="100"/>
        </w:rPr>
      </w:pPr>
      <w:r>
        <w:rPr>
          <w:color w:val="000000"/>
          <w:w w:val="100"/>
        </w:rPr>
        <w:t>If the Benchmarking Report issued under paragraph 2.2(d) concludes that a</w:t>
      </w:r>
      <w:r>
        <w:rPr>
          <w:w w:val="100"/>
        </w:rPr>
        <w:t xml:space="preserve"> Benchmarked Commodity Element is not Best in Class, the PST Supplier shall:</w:t>
      </w:r>
    </w:p>
    <w:p>
      <w:pPr>
        <w:pStyle w:val="FWBL5"/>
        <w:numPr>
          <w:ilvl w:val="4"/>
          <w:numId w:val="5"/>
        </w:numPr>
        <w:ind w:hanging="0" w:start="0"/>
        <w:rPr>
          <w:w w:val="100"/>
        </w:rPr>
      </w:pPr>
      <w:r>
        <w:rPr>
          <w:w w:val="100"/>
        </w:rPr>
        <w:t>promptly refund to EuroBank the previous 3 months’ of over-payment for the Commodity Element;</w:t>
      </w:r>
    </w:p>
    <w:p>
      <w:pPr>
        <w:pStyle w:val="FWBL5"/>
        <w:numPr>
          <w:ilvl w:val="4"/>
          <w:numId w:val="5"/>
        </w:numPr>
        <w:ind w:hanging="0" w:start="0"/>
        <w:rPr>
          <w:w w:val="100"/>
        </w:rPr>
      </w:pPr>
      <w:r>
        <w:rPr>
          <w:w w:val="100"/>
        </w:rPr>
        <w:t>in respect of Automatic Change Commodity Elements, at EuroBank’s request, change the supplier of the Commodity Element to a supplier of  EuroBank’s choosing at no cost within 3 months after delivery of the final Benchmarking Report; unless good reasons are given by the PST Supplier why implementing the change will need a longer implementation time which longer period is approved by the 2IM exercising its professional judgement; and</w:t>
      </w:r>
      <w:r>
        <w:rPr>
          <w:color w:val="000000"/>
          <w:w w:val="100"/>
        </w:rPr>
      </w:r>
      <w:r>
        <w:rPr>
          <w:rStyle w:val="DeltaViewDeletion"/>
          <w:strike w:val="false"/>
          <w:dstrike w:val="false"/>
          <w:color w:val="000000"/>
        </w:rPr>
      </w:r>
      <w:r>
        <w:rPr>
          <w:rStyle w:val="DeltaViewInsertion"/>
          <w:color w:val="000000"/>
          <w:u w:val="none"/>
        </w:rPr>
      </w:r>
      <w:r>
        <w:rPr>
          <w:w w:val="100"/>
        </w:rPr>
      </w:r>
    </w:p>
    <w:p>
      <w:pPr>
        <w:pStyle w:val="FWBL5"/>
        <w:numPr>
          <w:ilvl w:val="4"/>
          <w:numId w:val="5"/>
        </w:numPr>
        <w:ind w:hanging="0" w:start="0"/>
        <w:rPr>
          <w:w w:val="100"/>
        </w:rPr>
      </w:pPr>
      <w:r>
        <w:rPr>
          <w:w w:val="100"/>
        </w:rPr>
        <w:t>in respect of Managed Change Commodity Elements, at EuroBank’s request, change the supplier of the Commodity Element to a supplier of EuroBank’s choosing, within 3 months after the delivery of the final Benchmarking Report, unless good reasons are given by the PST Supplier why implementing the change will need a longer implementation time and which longer period is approved by the 2IM exercising its professional judgement, provided that the management and implementation of the change, including any change costs, will be subject to the Change Control Procedure. Any existing stocks and existing contractual commitments of the PST Supplier with the relevant third party vendor will be taken into consideration when agreeing the timing for implementing the required change.</w:t>
      </w:r>
      <w:r>
        <w:rPr>
          <w:rStyle w:val="DeltaViewInsertion"/>
          <w:color w:val="000000"/>
          <w:u w:val="none"/>
        </w:rPr>
      </w:r>
      <w:r>
        <w:rPr>
          <w:w w:val="100"/>
        </w:rPr>
      </w:r>
      <w:r>
        <w:rPr/>
      </w:r>
      <w:r>
        <w:rPr>
          <w:w w:val="100"/>
        </w:rPr>
      </w:r>
    </w:p>
    <w:p>
      <w:pPr>
        <w:pStyle w:val="FWBL4"/>
        <w:numPr>
          <w:ilvl w:val="3"/>
          <w:numId w:val="5"/>
        </w:numPr>
        <w:ind w:hanging="0" w:start="0"/>
        <w:rPr>
          <w:w w:val="100"/>
        </w:rPr>
      </w:pPr>
      <w:r>
        <w:rPr>
          <w:w w:val="100"/>
        </w:rPr>
        <w:t>At EuroBank’s request, the 2IM shall prepare an impact assessment report (a Vendor Change Impact Report) assessing the likely impact of changing the third party supplier of a Benchmarked Commodity Element on the Charges, Services, Service Levels and other relevant considerations such as implementation costs and operational risks relating to a possible change.  The PST Supplier shall provide such information and assistance to the 2IM in connection with the Vendor Change Impact Report as EuroBank or the 2IM may reasonably require.</w:t>
      </w:r>
      <w:r>
        <w:rPr>
          <w:b/>
          <w:bCs/>
          <w:i/>
          <w:iCs/>
          <w:w w:val="100"/>
        </w:rPr>
      </w:r>
      <w:r>
        <w:rPr>
          <w:w w:val="100"/>
        </w:rPr>
      </w:r>
    </w:p>
    <w:p>
      <w:pPr>
        <w:pStyle w:val="FWBL2"/>
        <w:numPr>
          <w:ilvl w:val="1"/>
          <w:numId w:val="5"/>
        </w:numPr>
        <w:ind w:hanging="0" w:start="0"/>
        <w:rPr>
          <w:w w:val="100"/>
        </w:rPr>
      </w:pPr>
      <w:bookmarkStart w:id="166" w:name="_DV_M139"/>
      <w:bookmarkEnd w:id="158"/>
      <w:bookmarkEnd w:id="166"/>
      <w:r>
        <w:rPr>
          <w:w w:val="100"/>
        </w:rPr>
        <w:t>GENERAL</w:t>
      </w:r>
    </w:p>
    <w:p>
      <w:pPr>
        <w:pStyle w:val="FWBL3"/>
        <w:numPr>
          <w:ilvl w:val="2"/>
          <w:numId w:val="5"/>
        </w:numPr>
        <w:ind w:hanging="0" w:start="0"/>
        <w:rPr>
          <w:w w:val="100"/>
        </w:rPr>
      </w:pPr>
      <w:bookmarkStart w:id="167" w:name="_DV_M140"/>
      <w:bookmarkEnd w:id="167"/>
      <w:r>
        <w:rPr>
          <w:w w:val="100"/>
        </w:rPr>
        <w:t>In no circumstances shall a Benchmarking Procedure result in any increase of the Charges, or a decrease in the quality of any Services or Commodity Element or a reduction in any Service Level.</w:t>
      </w:r>
    </w:p>
    <w:p>
      <w:pPr>
        <w:pStyle w:val="FWBL3"/>
        <w:numPr>
          <w:ilvl w:val="2"/>
          <w:numId w:val="5"/>
        </w:numPr>
        <w:ind w:hanging="0" w:start="0"/>
        <w:rPr>
          <w:w w:val="100"/>
        </w:rPr>
      </w:pPr>
      <w:bookmarkStart w:id="168" w:name="_DV_M141"/>
      <w:bookmarkEnd w:id="168"/>
      <w:r>
        <w:rPr>
          <w:w w:val="100"/>
        </w:rPr>
        <w:t>If for any element of the Benchmarking Procedure the related Charges are subject to pricing controls under Applicable Law, then the extent of any legal requirement on the PST Supplier to maintain current pricing will be taken into account in the results of the Benchmarking Report and the PST Supplier shall not be obliged to reduce Charges to the extent that such a reduction would be contrary to Applicable Law.</w:t>
      </w:r>
    </w:p>
    <w:p>
      <w:pPr>
        <w:pStyle w:val="FWBL1"/>
        <w:numPr>
          <w:ilvl w:val="0"/>
          <w:numId w:val="5"/>
        </w:numPr>
        <w:ind w:hanging="0" w:start="0"/>
        <w:rPr>
          <w:rStyle w:val="DeltaViewInsertion"/>
          <w:b/>
          <w:bCs/>
          <w:w w:val="100"/>
        </w:rPr>
      </w:pPr>
      <w:bookmarkStart w:id="169" w:name="_DV_M142"/>
      <w:bookmarkEnd w:id="169"/>
      <w:r>
        <w:rPr>
          <w:w w:val="100"/>
        </w:rPr>
        <w:t>LIKE FOR LIKE FACTORS</w:t>
      </w:r>
      <w:bookmarkStart w:id="170" w:name="_DV_C77"/>
      <w:r>
        <w:rPr>
          <w:rStyle w:val="DeltaViewInsertion"/>
          <w:b/>
          <w:bCs/>
          <w:w w:val="100"/>
        </w:rPr>
        <w:t xml:space="preserve"> </w:t>
      </w:r>
      <w:bookmarkEnd w:id="170"/>
    </w:p>
    <w:p>
      <w:pPr>
        <w:pStyle w:val="FWBL3"/>
        <w:numPr>
          <w:ilvl w:val="2"/>
          <w:numId w:val="5"/>
        </w:numPr>
        <w:ind w:hanging="0" w:start="0"/>
        <w:rPr/>
      </w:pPr>
      <w:bookmarkStart w:id="171" w:name="_DV_M144"/>
      <w:bookmarkEnd w:id="171"/>
      <w:r>
        <w:rPr/>
        <w:t>In conducting the Mincer Procedure pursuant to Section 1 of this Exhibit 34 (</w:t>
      </w:r>
      <w:r>
        <w:rPr>
          <w:i/>
        </w:rPr>
        <w:t>Price Adjustment and Benchmarking</w:t>
      </w:r>
      <w:r>
        <w:rPr/>
        <w:t>), the 2IM shall apply its professional judgement to the determination of whether or not the relevant Bundle or Commodity Element meets the Mincer Standard, including the appropriate Like for Like Factors referred to below.</w:t>
      </w:r>
    </w:p>
    <w:p>
      <w:pPr>
        <w:pStyle w:val="FWBL3"/>
        <w:numPr>
          <w:ilvl w:val="2"/>
          <w:numId w:val="5"/>
        </w:numPr>
        <w:ind w:hanging="0" w:start="0"/>
        <w:rPr/>
      </w:pPr>
      <w:bookmarkStart w:id="172" w:name="_DV_M145"/>
      <w:bookmarkEnd w:id="172"/>
      <w:r>
        <w:rPr/>
        <w:t>In conducting the Benchmarking Procedure pursuant to Section 2 of this Exhibit 34 (</w:t>
      </w:r>
      <w:r>
        <w:rPr>
          <w:i/>
        </w:rPr>
        <w:t>Price Adjustment and Benchmarking</w:t>
      </w:r>
      <w:r>
        <w:rPr/>
        <w:t>), the Benchmarker shall apply its professional judgement to the determination of whether or not the relevant Benchmarked Services or Benchmarked Commodity Elements are Best in Class, including the appropriate Like for Like Factors referred to below.</w:t>
      </w:r>
    </w:p>
    <w:p>
      <w:pPr>
        <w:pStyle w:val="FWBL3"/>
        <w:numPr>
          <w:ilvl w:val="2"/>
          <w:numId w:val="5"/>
        </w:numPr>
        <w:ind w:hanging="0" w:start="0"/>
        <w:rPr/>
      </w:pPr>
      <w:bookmarkStart w:id="173" w:name="_DV_M146"/>
      <w:bookmarkEnd w:id="173"/>
      <w:r>
        <w:rPr/>
        <w:t>The following considerations shall be Like for Like Factors in comparing the provision of the relevant Service or Commodity Element under this MSA to other service arrangements in the relevant Comparison Sample:</w:t>
      </w:r>
    </w:p>
    <w:p>
      <w:pPr>
        <w:pStyle w:val="FWBL4"/>
        <w:numPr>
          <w:ilvl w:val="3"/>
          <w:numId w:val="5"/>
        </w:numPr>
        <w:ind w:hanging="0" w:start="0"/>
        <w:rPr>
          <w:w w:val="100"/>
        </w:rPr>
      </w:pPr>
      <w:bookmarkStart w:id="174" w:name="_DV_M147"/>
      <w:bookmarkEnd w:id="174"/>
      <w:r>
        <w:rPr>
          <w:w w:val="100"/>
        </w:rPr>
        <w:t xml:space="preserve">stipulations made by EuroBank under or pursuant to this MSA as to the nature or quality of the relevant Services or Commodity Elements or the manner of their supply, including: </w:t>
      </w:r>
    </w:p>
    <w:p>
      <w:pPr>
        <w:pStyle w:val="AMBodyCont5"/>
        <w:numPr>
          <w:ilvl w:val="0"/>
          <w:numId w:val="7"/>
        </w:numPr>
        <w:spacing w:before="0" w:after="0"/>
        <w:rPr>
          <w:color w:val="000000"/>
          <w:w w:val="100"/>
          <w:sz w:val="22"/>
          <w:szCs w:val="22"/>
          <w:lang w:val="en-GB"/>
        </w:rPr>
      </w:pPr>
      <w:bookmarkStart w:id="175" w:name="_DV_M148"/>
      <w:bookmarkEnd w:id="175"/>
      <w:r>
        <w:rPr>
          <w:color w:val="000000"/>
          <w:w w:val="100"/>
          <w:sz w:val="22"/>
          <w:szCs w:val="22"/>
          <w:lang w:val="en-GB"/>
        </w:rPr>
        <w:t xml:space="preserve">costs relating to the assumption of employees from EuroBank borne by the PST Supplier (also considering the extent to which these are compensated by EuroBank) </w:t>
      </w:r>
      <w:bookmarkStart w:id="176" w:name="_DV_C78"/>
      <w:r>
        <w:rPr>
          <w:rStyle w:val="DeltaViewInsertion"/>
          <w:w w:val="100"/>
          <w:sz w:val="22"/>
          <w:szCs w:val="22"/>
          <w:lang w:val="en-GB"/>
        </w:rPr>
      </w:r>
      <w:bookmarkEnd w:id="176"/>
    </w:p>
    <w:p>
      <w:pPr>
        <w:pStyle w:val="AMBodyCont5"/>
        <w:numPr>
          <w:ilvl w:val="0"/>
          <w:numId w:val="7"/>
        </w:numPr>
        <w:spacing w:before="0" w:after="0"/>
        <w:rPr>
          <w:color w:val="000000"/>
          <w:w w:val="100"/>
          <w:sz w:val="22"/>
          <w:szCs w:val="22"/>
          <w:lang w:val="en-GB"/>
        </w:rPr>
      </w:pPr>
      <w:bookmarkStart w:id="177" w:name="_DV_M149"/>
      <w:bookmarkEnd w:id="177"/>
      <w:r>
        <w:rPr>
          <w:color w:val="000000"/>
          <w:w w:val="100"/>
          <w:sz w:val="22"/>
          <w:szCs w:val="22"/>
          <w:lang w:val="en-GB"/>
        </w:rPr>
        <w:t xml:space="preserve">Policies imposed on the provision of the Services, including those relating to security and safety </w:t>
      </w:r>
    </w:p>
    <w:p>
      <w:pPr>
        <w:pStyle w:val="AMBodyCont5"/>
        <w:numPr>
          <w:ilvl w:val="0"/>
          <w:numId w:val="7"/>
        </w:numPr>
        <w:spacing w:before="0" w:after="0"/>
        <w:rPr>
          <w:color w:val="000000"/>
          <w:w w:val="100"/>
          <w:sz w:val="22"/>
          <w:szCs w:val="22"/>
          <w:lang w:val="en-GB"/>
        </w:rPr>
      </w:pPr>
      <w:bookmarkStart w:id="178" w:name="_DV_M150"/>
      <w:bookmarkEnd w:id="178"/>
      <w:r>
        <w:rPr>
          <w:color w:val="000000"/>
          <w:w w:val="100"/>
          <w:sz w:val="22"/>
          <w:szCs w:val="22"/>
          <w:lang w:val="en-GB"/>
        </w:rPr>
        <w:t>Sub-Contractors, vendors and other third parties which EuroBank has required the PST Supplier to use</w:t>
      </w:r>
    </w:p>
    <w:p>
      <w:pPr>
        <w:pStyle w:val="AMBodyCont5"/>
        <w:numPr>
          <w:ilvl w:val="0"/>
          <w:numId w:val="7"/>
        </w:numPr>
        <w:spacing w:before="0" w:after="0"/>
        <w:rPr>
          <w:color w:val="000000"/>
          <w:w w:val="100"/>
          <w:sz w:val="22"/>
          <w:szCs w:val="22"/>
          <w:lang w:val="en-GB"/>
        </w:rPr>
      </w:pPr>
      <w:bookmarkStart w:id="179" w:name="_DV_M151"/>
      <w:bookmarkEnd w:id="179"/>
      <w:r>
        <w:rPr>
          <w:color w:val="000000"/>
          <w:w w:val="100"/>
          <w:sz w:val="22"/>
          <w:szCs w:val="22"/>
          <w:lang w:val="en-GB"/>
        </w:rPr>
        <w:t>Service Levels</w:t>
      </w:r>
    </w:p>
    <w:p>
      <w:pPr>
        <w:pStyle w:val="AMBodyCont5"/>
        <w:numPr>
          <w:ilvl w:val="0"/>
          <w:numId w:val="7"/>
        </w:numPr>
        <w:spacing w:before="0" w:after="0"/>
        <w:rPr>
          <w:color w:val="000000"/>
          <w:w w:val="100"/>
          <w:sz w:val="22"/>
          <w:szCs w:val="22"/>
          <w:lang w:val="en-GB"/>
        </w:rPr>
      </w:pPr>
      <w:bookmarkStart w:id="180" w:name="_DV_M152"/>
      <w:bookmarkEnd w:id="180"/>
      <w:r>
        <w:rPr>
          <w:color w:val="000000"/>
          <w:w w:val="100"/>
          <w:sz w:val="22"/>
          <w:szCs w:val="22"/>
          <w:lang w:val="en-GB"/>
        </w:rPr>
        <w:t>warranties and other service quality provisions</w:t>
      </w:r>
    </w:p>
    <w:p>
      <w:pPr>
        <w:pStyle w:val="AMBodyCont5"/>
        <w:numPr>
          <w:ilvl w:val="0"/>
          <w:numId w:val="7"/>
        </w:numPr>
        <w:spacing w:before="0" w:after="0"/>
        <w:rPr>
          <w:color w:val="000000"/>
          <w:w w:val="100"/>
          <w:sz w:val="22"/>
          <w:szCs w:val="22"/>
          <w:lang w:val="en-GB"/>
        </w:rPr>
      </w:pPr>
      <w:bookmarkStart w:id="181" w:name="_DV_M153"/>
      <w:bookmarkEnd w:id="181"/>
      <w:r>
        <w:rPr>
          <w:color w:val="000000"/>
          <w:w w:val="100"/>
          <w:sz w:val="22"/>
          <w:szCs w:val="22"/>
          <w:lang w:val="en-GB"/>
        </w:rPr>
        <w:t>specific technologies mandated by EuroBank</w:t>
      </w:r>
    </w:p>
    <w:p>
      <w:pPr>
        <w:pStyle w:val="AMBodyCont5"/>
        <w:numPr>
          <w:ilvl w:val="0"/>
          <w:numId w:val="7"/>
        </w:numPr>
        <w:spacing w:before="0" w:after="0"/>
        <w:rPr>
          <w:color w:val="000000"/>
          <w:w w:val="100"/>
          <w:sz w:val="22"/>
          <w:szCs w:val="22"/>
          <w:lang w:val="en-GB"/>
        </w:rPr>
      </w:pPr>
      <w:bookmarkStart w:id="182" w:name="_DV_M154"/>
      <w:bookmarkEnd w:id="182"/>
      <w:r>
        <w:rPr>
          <w:color w:val="000000"/>
          <w:w w:val="100"/>
          <w:sz w:val="22"/>
          <w:szCs w:val="22"/>
          <w:lang w:val="en-GB"/>
        </w:rPr>
        <w:t>the requirements of Applicable Law</w:t>
      </w:r>
    </w:p>
    <w:p>
      <w:pPr>
        <w:pStyle w:val="AMBodyCont5"/>
        <w:numPr>
          <w:ilvl w:val="0"/>
          <w:numId w:val="7"/>
        </w:numPr>
        <w:spacing w:before="0" w:after="0"/>
        <w:rPr>
          <w:color w:val="000000"/>
          <w:w w:val="100"/>
          <w:sz w:val="22"/>
          <w:szCs w:val="22"/>
          <w:lang w:val="en-GB"/>
        </w:rPr>
      </w:pPr>
      <w:bookmarkStart w:id="183" w:name="_DV_M155"/>
      <w:bookmarkEnd w:id="183"/>
      <w:r>
        <w:rPr>
          <w:color w:val="000000"/>
          <w:w w:val="100"/>
          <w:sz w:val="22"/>
          <w:szCs w:val="22"/>
          <w:lang w:val="en-GB"/>
        </w:rPr>
        <w:t xml:space="preserve">audit requirements (excluding those caused by any breach of this MSA by the PST Supplier) </w:t>
      </w:r>
    </w:p>
    <w:p>
      <w:pPr>
        <w:pStyle w:val="AMBodyCont5"/>
        <w:numPr>
          <w:ilvl w:val="0"/>
          <w:numId w:val="7"/>
        </w:numPr>
        <w:spacing w:before="0" w:after="0"/>
        <w:rPr>
          <w:color w:val="000000"/>
          <w:w w:val="100"/>
          <w:sz w:val="22"/>
          <w:szCs w:val="22"/>
          <w:lang w:val="en-GB"/>
        </w:rPr>
      </w:pPr>
      <w:bookmarkStart w:id="184" w:name="_DV_M156"/>
      <w:bookmarkEnd w:id="184"/>
      <w:r>
        <w:rPr>
          <w:color w:val="000000"/>
          <w:w w:val="100"/>
          <w:sz w:val="22"/>
          <w:szCs w:val="22"/>
          <w:lang w:val="en-GB"/>
        </w:rPr>
        <w:t>inventories of spare parts and break-fix provisions mandated by EuroBank</w:t>
      </w:r>
    </w:p>
    <w:p>
      <w:pPr>
        <w:pStyle w:val="AMBodyCont5"/>
        <w:numPr>
          <w:ilvl w:val="0"/>
          <w:numId w:val="7"/>
        </w:numPr>
        <w:spacing w:before="0" w:after="0"/>
        <w:rPr>
          <w:color w:val="000000"/>
          <w:w w:val="100"/>
          <w:sz w:val="22"/>
          <w:szCs w:val="22"/>
          <w:lang w:val="en-GB"/>
        </w:rPr>
      </w:pPr>
      <w:bookmarkStart w:id="185" w:name="_DV_M157"/>
      <w:bookmarkEnd w:id="185"/>
      <w:r>
        <w:rPr>
          <w:color w:val="000000"/>
          <w:w w:val="100"/>
          <w:sz w:val="22"/>
          <w:szCs w:val="22"/>
          <w:lang w:val="en-GB"/>
        </w:rPr>
        <w:t>refresh cycles mandated by EuroBank</w:t>
      </w:r>
    </w:p>
    <w:p>
      <w:pPr>
        <w:pStyle w:val="AMBodyCont5"/>
        <w:numPr>
          <w:ilvl w:val="0"/>
          <w:numId w:val="7"/>
        </w:numPr>
        <w:spacing w:before="0" w:after="0"/>
        <w:rPr>
          <w:color w:val="000000"/>
          <w:w w:val="100"/>
          <w:sz w:val="22"/>
          <w:szCs w:val="22"/>
          <w:lang w:val="en-GB"/>
        </w:rPr>
      </w:pPr>
      <w:bookmarkStart w:id="186" w:name="_DV_M158"/>
      <w:bookmarkEnd w:id="186"/>
      <w:r>
        <w:rPr>
          <w:color w:val="000000"/>
          <w:w w:val="100"/>
          <w:sz w:val="22"/>
          <w:szCs w:val="22"/>
          <w:lang w:val="en-GB"/>
        </w:rPr>
        <w:t>IT Security and DRP provisions and constraints mandated by EuroBank</w:t>
      </w:r>
    </w:p>
    <w:p>
      <w:pPr>
        <w:pStyle w:val="AMBodyCont5"/>
        <w:numPr>
          <w:ilvl w:val="0"/>
          <w:numId w:val="7"/>
        </w:numPr>
        <w:spacing w:before="0" w:after="0"/>
        <w:rPr>
          <w:color w:val="000000"/>
          <w:w w:val="100"/>
          <w:sz w:val="22"/>
          <w:szCs w:val="22"/>
          <w:lang w:val="en-GB"/>
        </w:rPr>
      </w:pPr>
      <w:bookmarkStart w:id="187" w:name="_DV_M159"/>
      <w:bookmarkEnd w:id="187"/>
      <w:r>
        <w:rPr>
          <w:color w:val="000000"/>
          <w:w w:val="100"/>
          <w:sz w:val="22"/>
          <w:szCs w:val="22"/>
          <w:lang w:val="en-GB"/>
        </w:rPr>
        <w:t xml:space="preserve">Transition costs and termination charges </w:t>
      </w:r>
    </w:p>
    <w:p>
      <w:pPr>
        <w:pStyle w:val="AMBodyCont5"/>
        <w:numPr>
          <w:ilvl w:val="0"/>
          <w:numId w:val="7"/>
        </w:numPr>
        <w:spacing w:before="0" w:after="0"/>
        <w:rPr>
          <w:color w:val="000000"/>
          <w:w w:val="100"/>
          <w:sz w:val="22"/>
          <w:szCs w:val="22"/>
          <w:lang w:val="en-GB"/>
        </w:rPr>
      </w:pPr>
      <w:bookmarkStart w:id="188" w:name="_DV_M160"/>
      <w:bookmarkEnd w:id="188"/>
      <w:r>
        <w:rPr>
          <w:color w:val="000000"/>
          <w:w w:val="100"/>
          <w:sz w:val="22"/>
          <w:szCs w:val="22"/>
          <w:lang w:val="en-GB"/>
        </w:rPr>
        <w:t xml:space="preserve">flexibility as to volume of service (whether by geography, scope, scaling up and down or service levels) </w:t>
      </w:r>
    </w:p>
    <w:p>
      <w:pPr>
        <w:pStyle w:val="AMBodyCont5"/>
        <w:spacing w:before="0" w:after="0"/>
        <w:ind w:start="357" w:end="0"/>
        <w:rPr>
          <w:color w:val="000000"/>
          <w:w w:val="100"/>
          <w:sz w:val="22"/>
          <w:szCs w:val="22"/>
          <w:lang w:val="en-GB"/>
        </w:rPr>
      </w:pPr>
      <w:r>
        <w:rPr>
          <w:color w:val="000000"/>
          <w:w w:val="100"/>
          <w:sz w:val="22"/>
          <w:szCs w:val="22"/>
          <w:lang w:val="en-GB"/>
        </w:rPr>
      </w:r>
    </w:p>
    <w:p>
      <w:pPr>
        <w:pStyle w:val="FWBL4"/>
        <w:numPr>
          <w:ilvl w:val="3"/>
          <w:numId w:val="5"/>
        </w:numPr>
        <w:ind w:hanging="0" w:start="0"/>
        <w:rPr>
          <w:w w:val="100"/>
        </w:rPr>
      </w:pPr>
      <w:bookmarkStart w:id="189" w:name="_DV_M161"/>
      <w:bookmarkEnd w:id="189"/>
      <w:r>
        <w:rPr>
          <w:w w:val="100"/>
        </w:rPr>
        <w:t>payment streams for the Charges;</w:t>
      </w:r>
    </w:p>
    <w:p>
      <w:pPr>
        <w:pStyle w:val="FWBL4"/>
        <w:numPr>
          <w:ilvl w:val="3"/>
          <w:numId w:val="5"/>
        </w:numPr>
        <w:ind w:hanging="0" w:start="0"/>
        <w:rPr>
          <w:w w:val="100"/>
        </w:rPr>
      </w:pPr>
      <w:r>
        <w:rPr>
          <w:w w:val="100"/>
        </w:rPr>
        <w:t>total cost of ownership of the Services or Commodity Element to EuroBank considering the following elements:</w:t>
      </w:r>
    </w:p>
    <w:p>
      <w:pPr>
        <w:pStyle w:val="AMBodyCont5"/>
        <w:numPr>
          <w:ilvl w:val="0"/>
          <w:numId w:val="8"/>
        </w:numPr>
        <w:spacing w:before="0" w:after="0"/>
        <w:rPr>
          <w:color w:val="000000"/>
          <w:w w:val="100"/>
          <w:sz w:val="22"/>
          <w:szCs w:val="22"/>
          <w:lang w:val="en-GB"/>
        </w:rPr>
      </w:pPr>
      <w:r>
        <w:rPr>
          <w:color w:val="000000"/>
          <w:w w:val="100"/>
          <w:sz w:val="22"/>
          <w:szCs w:val="22"/>
          <w:lang w:val="en-GB"/>
        </w:rPr>
        <w:t xml:space="preserve">Purchase (one year depreciation), depreciations, leasing, renting of hardware, software, IP, patents and immaterials </w:t>
      </w:r>
    </w:p>
    <w:p>
      <w:pPr>
        <w:pStyle w:val="AMBodyCont5"/>
        <w:numPr>
          <w:ilvl w:val="0"/>
          <w:numId w:val="8"/>
        </w:numPr>
        <w:spacing w:before="0" w:after="0"/>
        <w:rPr>
          <w:color w:val="000000"/>
          <w:w w:val="100"/>
          <w:sz w:val="22"/>
          <w:szCs w:val="22"/>
          <w:lang w:val="en-GB"/>
        </w:rPr>
      </w:pPr>
      <w:r>
        <w:rPr>
          <w:color w:val="000000"/>
          <w:w w:val="100"/>
          <w:sz w:val="22"/>
          <w:szCs w:val="22"/>
          <w:lang w:val="en-GB"/>
        </w:rPr>
        <w:t xml:space="preserve">Financing costs, cash flow items </w:t>
      </w:r>
    </w:p>
    <w:p>
      <w:pPr>
        <w:pStyle w:val="AMBodyCont5"/>
        <w:numPr>
          <w:ilvl w:val="0"/>
          <w:numId w:val="8"/>
        </w:numPr>
        <w:spacing w:before="0" w:after="0"/>
        <w:rPr>
          <w:color w:val="000000"/>
          <w:w w:val="100"/>
          <w:sz w:val="22"/>
          <w:szCs w:val="22"/>
          <w:lang w:val="en-GB"/>
        </w:rPr>
      </w:pPr>
      <w:r>
        <w:rPr>
          <w:color w:val="000000"/>
          <w:w w:val="100"/>
          <w:sz w:val="22"/>
          <w:szCs w:val="22"/>
          <w:lang w:val="en-GB"/>
        </w:rPr>
        <w:t xml:space="preserve">Internal services (which equals to FTE cost, fully loaded salaries) </w:t>
      </w:r>
    </w:p>
    <w:p>
      <w:pPr>
        <w:pStyle w:val="AMBodyCont5"/>
        <w:numPr>
          <w:ilvl w:val="0"/>
          <w:numId w:val="8"/>
        </w:numPr>
        <w:spacing w:before="0" w:after="0"/>
        <w:rPr>
          <w:color w:val="000000"/>
          <w:w w:val="100"/>
          <w:sz w:val="22"/>
          <w:szCs w:val="22"/>
          <w:lang w:val="en-GB"/>
        </w:rPr>
      </w:pPr>
      <w:r>
        <w:rPr>
          <w:color w:val="000000"/>
          <w:w w:val="100"/>
          <w:sz w:val="22"/>
          <w:szCs w:val="22"/>
          <w:lang w:val="en-GB"/>
        </w:rPr>
        <w:t xml:space="preserve">Facilities, energy, security, safety </w:t>
      </w:r>
    </w:p>
    <w:p>
      <w:pPr>
        <w:pStyle w:val="AMBodyCont5"/>
        <w:numPr>
          <w:ilvl w:val="0"/>
          <w:numId w:val="8"/>
        </w:numPr>
        <w:spacing w:before="0" w:after="0"/>
        <w:rPr>
          <w:color w:val="000000"/>
          <w:w w:val="100"/>
          <w:sz w:val="22"/>
          <w:szCs w:val="22"/>
          <w:lang w:val="en-GB"/>
        </w:rPr>
      </w:pPr>
      <w:r>
        <w:rPr>
          <w:color w:val="000000"/>
          <w:w w:val="100"/>
          <w:sz w:val="22"/>
          <w:szCs w:val="22"/>
          <w:lang w:val="en-GB"/>
        </w:rPr>
        <w:t xml:space="preserve">Externally bought services </w:t>
      </w:r>
    </w:p>
    <w:p>
      <w:pPr>
        <w:pStyle w:val="AMBodyCont5"/>
        <w:numPr>
          <w:ilvl w:val="0"/>
          <w:numId w:val="8"/>
        </w:numPr>
        <w:spacing w:before="0" w:after="0"/>
        <w:rPr>
          <w:color w:val="000000"/>
          <w:w w:val="100"/>
          <w:sz w:val="22"/>
          <w:szCs w:val="22"/>
          <w:lang w:val="en-GB"/>
        </w:rPr>
      </w:pPr>
      <w:r>
        <w:rPr>
          <w:color w:val="000000"/>
          <w:w w:val="100"/>
          <w:sz w:val="22"/>
          <w:szCs w:val="22"/>
          <w:lang w:val="en-GB"/>
        </w:rPr>
        <w:t xml:space="preserve">Specific vendor agreements, maintenance and update/upgrade obligations, training, certification, license rights, drawing rights, forfeits, etc. </w:t>
      </w:r>
    </w:p>
    <w:p>
      <w:pPr>
        <w:pStyle w:val="AMBodyCont5"/>
        <w:numPr>
          <w:ilvl w:val="0"/>
          <w:numId w:val="8"/>
        </w:numPr>
        <w:spacing w:before="0" w:after="0"/>
        <w:rPr>
          <w:color w:val="000000"/>
          <w:w w:val="100"/>
          <w:sz w:val="22"/>
          <w:szCs w:val="22"/>
          <w:lang w:val="en-GB"/>
        </w:rPr>
      </w:pPr>
      <w:r>
        <w:rPr>
          <w:color w:val="000000"/>
          <w:w w:val="100"/>
          <w:sz w:val="22"/>
          <w:szCs w:val="22"/>
          <w:lang w:val="en-GB"/>
        </w:rPr>
        <w:t>Normal wear and tear of materials (hard and soft), salvage, 2nd hand prices</w:t>
      </w:r>
    </w:p>
    <w:p>
      <w:pPr>
        <w:pStyle w:val="AMBodyCont5"/>
        <w:numPr>
          <w:ilvl w:val="0"/>
          <w:numId w:val="8"/>
        </w:numPr>
        <w:spacing w:before="0" w:after="0"/>
        <w:rPr>
          <w:color w:val="000000"/>
          <w:w w:val="100"/>
          <w:sz w:val="22"/>
          <w:szCs w:val="22"/>
          <w:lang w:val="en-GB"/>
        </w:rPr>
      </w:pPr>
      <w:r>
        <w:rPr>
          <w:color w:val="000000"/>
          <w:w w:val="100"/>
          <w:sz w:val="22"/>
          <w:szCs w:val="22"/>
          <w:lang w:val="en-GB"/>
        </w:rPr>
        <w:t xml:space="preserve">Spare parts and break-fix provisions </w:t>
      </w:r>
    </w:p>
    <w:p>
      <w:pPr>
        <w:pStyle w:val="AMBodyCont5"/>
        <w:numPr>
          <w:ilvl w:val="0"/>
          <w:numId w:val="8"/>
        </w:numPr>
        <w:spacing w:before="0" w:after="0"/>
        <w:rPr>
          <w:color w:val="000000"/>
          <w:w w:val="100"/>
          <w:sz w:val="22"/>
          <w:szCs w:val="22"/>
          <w:lang w:val="en-GB"/>
        </w:rPr>
      </w:pPr>
      <w:r>
        <w:rPr>
          <w:color w:val="000000"/>
          <w:w w:val="100"/>
          <w:sz w:val="22"/>
          <w:szCs w:val="22"/>
          <w:lang w:val="en-GB"/>
        </w:rPr>
        <w:t xml:space="preserve">Flexibility options (geography, scope, scaling up and down, service levels) </w:t>
      </w:r>
    </w:p>
    <w:p>
      <w:pPr>
        <w:pStyle w:val="AMBodyCont5"/>
        <w:numPr>
          <w:ilvl w:val="0"/>
          <w:numId w:val="8"/>
        </w:numPr>
        <w:spacing w:before="0" w:after="0"/>
        <w:rPr>
          <w:color w:val="000000"/>
          <w:w w:val="100"/>
          <w:sz w:val="22"/>
          <w:szCs w:val="22"/>
          <w:lang w:val="en-GB"/>
        </w:rPr>
      </w:pPr>
      <w:r>
        <w:rPr>
          <w:color w:val="000000"/>
          <w:w w:val="100"/>
          <w:sz w:val="22"/>
          <w:szCs w:val="22"/>
          <w:lang w:val="en-GB"/>
        </w:rPr>
        <w:t>Administrative burden</w:t>
      </w:r>
    </w:p>
    <w:p>
      <w:pPr>
        <w:pStyle w:val="AMBodyCont5"/>
        <w:numPr>
          <w:ilvl w:val="0"/>
          <w:numId w:val="8"/>
        </w:numPr>
        <w:spacing w:before="0" w:after="0"/>
        <w:rPr>
          <w:color w:val="000000"/>
          <w:w w:val="100"/>
          <w:sz w:val="22"/>
          <w:szCs w:val="22"/>
          <w:lang w:val="en-GB"/>
        </w:rPr>
      </w:pPr>
      <w:r>
        <w:rPr>
          <w:color w:val="000000"/>
          <w:w w:val="100"/>
          <w:sz w:val="22"/>
          <w:szCs w:val="22"/>
          <w:lang w:val="en-GB"/>
        </w:rPr>
        <w:t xml:space="preserve">General and travel expenses </w:t>
      </w:r>
    </w:p>
    <w:p>
      <w:pPr>
        <w:pStyle w:val="AMBodyCont5"/>
        <w:numPr>
          <w:ilvl w:val="0"/>
          <w:numId w:val="8"/>
        </w:numPr>
        <w:spacing w:before="0" w:after="0"/>
        <w:rPr>
          <w:color w:val="000000"/>
          <w:w w:val="100"/>
          <w:sz w:val="22"/>
          <w:szCs w:val="22"/>
          <w:lang w:val="en-GB"/>
        </w:rPr>
      </w:pPr>
      <w:r>
        <w:rPr>
          <w:color w:val="000000"/>
          <w:w w:val="100"/>
          <w:sz w:val="22"/>
          <w:szCs w:val="22"/>
          <w:lang w:val="en-GB"/>
        </w:rPr>
        <w:t>Inflation and currency</w:t>
      </w:r>
    </w:p>
    <w:p>
      <w:pPr>
        <w:pStyle w:val="AMBodyCont5"/>
        <w:numPr>
          <w:ilvl w:val="0"/>
          <w:numId w:val="8"/>
        </w:numPr>
        <w:spacing w:before="0" w:after="0"/>
        <w:rPr>
          <w:color w:val="000000"/>
          <w:w w:val="100"/>
          <w:sz w:val="22"/>
          <w:szCs w:val="22"/>
          <w:lang w:val="en-GB"/>
        </w:rPr>
      </w:pPr>
      <w:r>
        <w:rPr>
          <w:color w:val="000000"/>
          <w:w w:val="100"/>
          <w:sz w:val="22"/>
          <w:szCs w:val="22"/>
          <w:lang w:val="en-GB"/>
        </w:rPr>
        <w:t xml:space="preserve">Risk and capital charges </w:t>
      </w:r>
    </w:p>
    <w:p>
      <w:pPr>
        <w:pStyle w:val="FWBL4"/>
        <w:numPr>
          <w:ilvl w:val="3"/>
          <w:numId w:val="5"/>
        </w:numPr>
        <w:ind w:hanging="0" w:start="0"/>
        <w:rPr>
          <w:w w:val="100"/>
        </w:rPr>
      </w:pPr>
      <w:bookmarkStart w:id="190" w:name="_DV_M162"/>
      <w:bookmarkEnd w:id="190"/>
      <w:r>
        <w:rPr>
          <w:w w:val="100"/>
        </w:rPr>
        <w:t>geographical location of service delivery;</w:t>
      </w:r>
    </w:p>
    <w:p>
      <w:pPr>
        <w:pStyle w:val="FWBL4"/>
        <w:numPr>
          <w:ilvl w:val="3"/>
          <w:numId w:val="5"/>
        </w:numPr>
        <w:ind w:hanging="0" w:start="0"/>
        <w:rPr>
          <w:w w:val="100"/>
        </w:rPr>
      </w:pPr>
      <w:bookmarkStart w:id="191" w:name="_DV_M163"/>
      <w:bookmarkEnd w:id="191"/>
      <w:r>
        <w:rPr>
          <w:w w:val="100"/>
        </w:rPr>
        <w:t>such other items as may be considered by the 2IM or the Benchmarker (as the case may be) in its professional judgement; and</w:t>
      </w:r>
      <w:bookmarkStart w:id="192" w:name="_DV_C79"/>
    </w:p>
    <w:p>
      <w:pPr>
        <w:pStyle w:val="FWBL4"/>
        <w:numPr>
          <w:ilvl w:val="3"/>
          <w:numId w:val="5"/>
        </w:numPr>
        <w:ind w:hanging="0" w:start="0"/>
        <w:rPr>
          <w:w w:val="100"/>
        </w:rPr>
      </w:pPr>
      <w:bookmarkStart w:id="193" w:name="_DV_C80"/>
      <w:bookmarkEnd w:id="192"/>
      <w:r>
        <w:rPr>
          <w:w w:val="100"/>
        </w:rPr>
        <w:t>in any Comparison Sample the Benchmarker or the 2IM, as the case may be, shall remove data related to unsustainable prices offered by new entrants into the relevant market who are buying the market by offering the services at prices near to or below cost price</w:t>
      </w:r>
      <w:bookmarkEnd w:id="193"/>
      <w:r>
        <w:rPr>
          <w:w w:val="100"/>
        </w:rPr>
        <w:t>;</w:t>
      </w:r>
    </w:p>
    <w:p>
      <w:pPr>
        <w:pStyle w:val="FWBL4"/>
        <w:numPr>
          <w:ilvl w:val="3"/>
          <w:numId w:val="5"/>
        </w:numPr>
        <w:ind w:hanging="0" w:start="0"/>
        <w:rPr>
          <w:w w:val="100"/>
        </w:rPr>
      </w:pPr>
      <w:r>
        <w:rPr>
          <w:w w:val="100"/>
        </w:rPr>
        <w:t xml:space="preserve">2IM shall give due consideration to the views of the PST Supplier in making its determination of the Like for Like Factors comparison. The PST Supplier may provide relevant information to the 2IM including: </w:t>
      </w:r>
    </w:p>
    <w:p>
      <w:pPr>
        <w:pStyle w:val="FWBL3"/>
        <w:numPr>
          <w:ilvl w:val="0"/>
          <w:numId w:val="9"/>
        </w:numPr>
        <w:tabs>
          <w:tab w:val="clear" w:pos="720"/>
          <w:tab w:val="left" w:pos="2008" w:leader="none"/>
        </w:tabs>
        <w:ind w:hanging="284" w:start="2008" w:end="0"/>
        <w:rPr>
          <w:rStyle w:val="DeltaViewInsertion"/>
          <w:color w:val="000000"/>
          <w:u w:val="none"/>
        </w:rPr>
      </w:pPr>
      <w:r>
        <w:rPr>
          <w:rStyle w:val="DeltaViewInsertion"/>
          <w:color w:val="000000"/>
          <w:u w:val="none"/>
        </w:rPr>
        <w:t>Prior volume or term commitments to the relevant third party suppliers to realise cost savings which are currently enjoyed by the PST Supplier and EuroBank;</w:t>
      </w:r>
    </w:p>
    <w:p>
      <w:pPr>
        <w:pStyle w:val="FWBL3"/>
        <w:numPr>
          <w:ilvl w:val="0"/>
          <w:numId w:val="9"/>
        </w:numPr>
        <w:tabs>
          <w:tab w:val="clear" w:pos="720"/>
          <w:tab w:val="left" w:pos="2008" w:leader="none"/>
        </w:tabs>
        <w:ind w:hanging="284" w:start="2008" w:end="0"/>
        <w:rPr>
          <w:rStyle w:val="DeltaViewInsertion"/>
          <w:color w:val="000000"/>
          <w:u w:val="none"/>
        </w:rPr>
      </w:pPr>
      <w:r>
        <w:rPr>
          <w:rStyle w:val="DeltaViewInsertion"/>
          <w:color w:val="000000"/>
          <w:u w:val="none"/>
        </w:rPr>
        <w:t>incompatibility on a technical level; and</w:t>
      </w:r>
    </w:p>
    <w:p>
      <w:pPr>
        <w:pStyle w:val="FWBL3"/>
        <w:numPr>
          <w:ilvl w:val="0"/>
          <w:numId w:val="9"/>
        </w:numPr>
        <w:tabs>
          <w:tab w:val="clear" w:pos="720"/>
          <w:tab w:val="left" w:pos="2008" w:leader="none"/>
        </w:tabs>
        <w:ind w:hanging="284" w:start="2008" w:end="0"/>
        <w:rPr>
          <w:rStyle w:val="DeltaViewInsertion"/>
          <w:color w:val="000000"/>
          <w:u w:val="none"/>
        </w:rPr>
      </w:pPr>
      <w:r>
        <w:rPr>
          <w:rStyle w:val="DeltaViewInsertion"/>
          <w:color w:val="000000"/>
          <w:u w:val="none"/>
        </w:rPr>
        <w:t>loss of standardisation across the organisation of the PST Supplier.</w:t>
      </w:r>
    </w:p>
    <w:p>
      <w:pPr>
        <w:pStyle w:val="FWBL4"/>
        <w:numPr>
          <w:ilvl w:val="3"/>
          <w:numId w:val="5"/>
        </w:numPr>
        <w:ind w:hanging="0" w:start="0"/>
        <w:rPr>
          <w:w w:val="100"/>
        </w:rPr>
      </w:pPr>
      <w:r>
        <w:rPr>
          <w:w w:val="100"/>
        </w:rPr>
        <w:t>Unless the pre approval of EuroBank has been obtained in respect of the identity of a subcontractor and the terms upon which that subcontractor is delivering the services then the 2IM shall take not into consideration any such terms as a Like For Like Factor.</w:t>
      </w:r>
    </w:p>
    <w:p>
      <w:pPr>
        <w:pStyle w:val="FWBL1"/>
        <w:numPr>
          <w:ilvl w:val="0"/>
          <w:numId w:val="5"/>
        </w:numPr>
        <w:ind w:hanging="0" w:start="0"/>
        <w:rPr>
          <w:rStyle w:val="DeltaViewInsertion"/>
          <w:color w:val="000000"/>
          <w:u w:val="none"/>
        </w:rPr>
      </w:pPr>
      <w:r>
        <w:rPr>
          <w:rStyle w:val="DeltaViewInsertion"/>
          <w:color w:val="000000"/>
          <w:u w:val="none"/>
        </w:rPr>
        <w:t>THE 2IM ROLE</w:t>
      </w:r>
    </w:p>
    <w:p>
      <w:pPr>
        <w:pStyle w:val="BodyText"/>
        <w:rPr/>
      </w:pPr>
      <w:bookmarkStart w:id="194" w:name="_DV_M164"/>
      <w:bookmarkEnd w:id="194"/>
      <w:r>
        <w:rPr/>
        <w:t xml:space="preserve">The 2IM shall compile the Mincer Data, conduct the Mincer Procedure and prepare each Mincer Report using such reasonable skill and care as may be expected from an organisation such as the 2IM. </w:t>
      </w:r>
    </w:p>
    <w:p>
      <w:pPr>
        <w:pStyle w:val="BodyText"/>
        <w:rPr/>
      </w:pPr>
      <w:r>
        <w:rPr>
          <w:color w:val="000000"/>
        </w:rPr>
        <w:t>Without prejudice to the aforesaid the 2IM cannot warrant the completeness or accuracy of the Mincer Data as the 2IM does not control or have access to all possible sources of such information. With respect to the selection made from the Mincer Data, the normalisation of the Mincer Data in accordance with the Like for Like Factors and the drafting of the Mincing Report 2IM will apply its professional opinion. With respect to the final Mincer Report and the application of the 2IM’s professional opinion, the 2IM shall not be held liable by either EuroBank or the PST Supplier except in case of intent or gross negligence of the 2IM.</w:t>
      </w:r>
    </w:p>
    <w:p>
      <w:pPr>
        <w:pStyle w:val="FWBL1"/>
        <w:numPr>
          <w:ilvl w:val="0"/>
          <w:numId w:val="0"/>
        </w:numPr>
        <w:spacing w:before="0" w:after="240"/>
        <w:ind w:hanging="0" w:start="0"/>
        <w:rPr/>
      </w:pPr>
      <w:r>
        <w:rPr/>
      </w:r>
      <w:bookmarkStart w:id="195" w:name="Cell_Pad"/>
      <w:bookmarkStart w:id="196" w:name="Cell_Merge"/>
      <w:bookmarkStart w:id="197" w:name="Cell_Move"/>
      <w:bookmarkStart w:id="198" w:name="Cell_Del"/>
      <w:bookmarkStart w:id="199" w:name="Cell_Ins"/>
      <w:bookmarkStart w:id="200" w:name="Cell_Pad"/>
      <w:bookmarkStart w:id="201" w:name="Cell_Merge"/>
      <w:bookmarkStart w:id="202" w:name="Cell_Move"/>
      <w:bookmarkStart w:id="203" w:name="Cell_Del"/>
      <w:bookmarkStart w:id="204" w:name="Cell_Ins"/>
      <w:bookmarkEnd w:id="200"/>
      <w:bookmarkEnd w:id="201"/>
      <w:bookmarkEnd w:id="202"/>
      <w:bookmarkEnd w:id="203"/>
      <w:bookmarkEnd w:id="204"/>
    </w:p>
    <w:sectPr>
      <w:headerReference w:type="default" r:id="rId4"/>
      <w:headerReference w:type="first" r:id="rId5"/>
      <w:footerReference w:type="default" r:id="rId6"/>
      <w:footerReference w:type="first" r:id="rId7"/>
      <w:type w:val="nextPage"/>
      <w:pgSz w:w="11906" w:h="16838"/>
      <w:pgMar w:left="1797" w:right="1797" w:gutter="0" w:header="720" w:top="1440" w:footer="720" w:bottom="179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95" w:leader="none"/>
        <w:tab w:val="right" w:pos="8222" w:leader="none"/>
      </w:tabs>
      <w:rPr/>
    </w:pPr>
    <w:r>
      <w:rPr>
        <w:sz w:val="16"/>
        <w:szCs w:val="16"/>
      </w:rPr>
      <w:t>Ops &amp; IT Banking Confidential</w:t>
      <w:tab/>
      <w:tab/>
      <w:t>12/12/06</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95" w:leader="none"/>
        <w:tab w:val="right" w:pos="8222" w:leader="none"/>
      </w:tabs>
      <w:rPr/>
    </w:pPr>
    <w:r>
      <w:rPr>
        <w:sz w:val="16"/>
        <w:szCs w:val="16"/>
      </w:rPr>
      <w:t>Ops &amp; IT Banking Confidential</w:t>
      <w:tab/>
      <w:tab/>
      <w:t>12/12/06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3" w:leader="none"/>
        <w:tab w:val="right" w:pos="8222" w:leader="none"/>
      </w:tabs>
      <w:rPr/>
    </w:pPr>
    <w:r>
      <w:rPr>
        <w:sz w:val="24"/>
        <w:szCs w:val="24"/>
      </w:rPr>
      <w:drawing>
        <wp:inline distT="0" distB="0" distL="0" distR="0">
          <wp:extent cx="1149985" cy="344170"/>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31" t="-105" r="-31" b="-105"/>
                  <a:stretch>
                    <a:fillRect/>
                  </a:stretch>
                </pic:blipFill>
                <pic:spPr bwMode="auto">
                  <a:xfrm>
                    <a:off x="0" y="0"/>
                    <a:ext cx="1149985" cy="344170"/>
                  </a:xfrm>
                  <a:prstGeom prst="rect">
                    <a:avLst/>
                  </a:prstGeom>
                  <a:noFill/>
                </pic:spPr>
              </pic:pic>
            </a:graphicData>
          </a:graphic>
        </wp:inline>
      </w:drawing>
    </w:r>
    <w:r>
      <w:rPr>
        <w:sz w:val="16"/>
        <w:szCs w:val="16"/>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34 (Benchmarking) Final v1.91.doc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3" w:leader="none"/>
        <w:tab w:val="right" w:pos="8222" w:leader="none"/>
      </w:tabs>
      <w:rPr/>
    </w:pPr>
    <w:r>
      <w:rPr>
        <w:sz w:val="24"/>
        <w:szCs w:val="24"/>
      </w:rPr>
      <w:drawing>
        <wp:inline distT="0" distB="0" distL="0" distR="0">
          <wp:extent cx="1149985" cy="34417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31" t="-105" r="-31" b="-105"/>
                  <a:stretch>
                    <a:fillRect/>
                  </a:stretch>
                </pic:blipFill>
                <pic:spPr bwMode="auto">
                  <a:xfrm>
                    <a:off x="0" y="0"/>
                    <a:ext cx="1149985" cy="344170"/>
                  </a:xfrm>
                  <a:prstGeom prst="rect">
                    <a:avLst/>
                  </a:prstGeom>
                  <a:noFill/>
                </pic:spPr>
              </pic:pic>
            </a:graphicData>
          </a:graphic>
        </wp:inline>
      </w:drawing>
    </w:r>
    <w:r>
      <w:rPr>
        <w:sz w:val="16"/>
        <w:szCs w:val="16"/>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34 (Benchmarking) Final v1.91.doc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suff w:val="nothing"/>
      <w:lvlText w:val="Exhibit %1 "/>
      <w:lvlJc w:val="start"/>
      <w:pPr>
        <w:tabs>
          <w:tab w:val="num" w:pos="0"/>
        </w:tabs>
        <w:ind w:start="0" w:hanging="0"/>
      </w:pPr>
      <w:rPr>
        <w:caps/>
        <w:sz w:val="24"/>
        <w:spacing w:val="0"/>
        <w:i w:val="false"/>
        <w:u w:val="none"/>
        <w:b/>
        <w:szCs w:val="24"/>
        <w:iCs w:val="false"/>
        <w:bCs/>
        <w:rFonts w:ascii="Times New Roman" w:hAnsi="Times New Roman" w:cs="Times New Roman"/>
        <w:color w:val="000000"/>
      </w:rPr>
    </w:lvl>
    <w:lvl w:ilvl="1">
      <w:start w:val="1"/>
      <w:numFmt w:val="decimal"/>
      <w:lvlText w:val="%2."/>
      <w:lvlJc w:val="start"/>
      <w:pPr>
        <w:tabs>
          <w:tab w:val="num" w:pos="720"/>
        </w:tabs>
        <w:ind w:start="0" w:hanging="0"/>
      </w:pPr>
      <w:rPr>
        <w:smallCaps w:val="false"/>
        <w:caps w:val="false"/>
        <w:sz w:val="24"/>
        <w:spacing w:val="0"/>
        <w:i w:val="false"/>
        <w:u w:val="none"/>
        <w:b/>
        <w:szCs w:val="24"/>
        <w:iCs w:val="false"/>
        <w:bCs/>
        <w:rFonts w:ascii="Times New Roman" w:hAnsi="Times New Roman" w:cs="Times New Roman"/>
        <w:color w:val="000000"/>
      </w:rPr>
    </w:lvl>
    <w:lvl w:ilvl="2">
      <w:start w:val="1"/>
      <w:numFmt w:val="decimal"/>
      <w:lvlText w:val="%3."/>
      <w:lvlJc w:val="start"/>
      <w:pPr>
        <w:tabs>
          <w:tab w:val="num" w:pos="720"/>
        </w:tabs>
        <w:ind w:start="0" w:hanging="0"/>
      </w:pPr>
      <w:rPr>
        <w:smallCaps w:val="false"/>
        <w:caps w:val="false"/>
        <w:sz w:val="24"/>
        <w:spacing w:val="0"/>
        <w:i w:val="false"/>
        <w:u w:val="none"/>
        <w:b w:val="false"/>
        <w:szCs w:val="24"/>
        <w:iCs w:val="false"/>
        <w:bCs w:val="false"/>
        <w:rFonts w:ascii="Times New Roman" w:hAnsi="Times New Roman" w:cs="Times New Roman"/>
        <w:color w:val="000000"/>
      </w:rPr>
    </w:lvl>
    <w:lvl w:ilvl="3">
      <w:start w:val="1"/>
      <w:numFmt w:val="decimal"/>
      <w:lvlText w:val="%2.%4"/>
      <w:lvlJc w:val="start"/>
      <w:pPr>
        <w:tabs>
          <w:tab w:val="num" w:pos="720"/>
        </w:tabs>
        <w:ind w:start="0" w:hanging="0"/>
      </w:pPr>
      <w:rPr>
        <w:smallCaps w:val="false"/>
        <w:caps w:val="false"/>
        <w:sz w:val="24"/>
        <w:spacing w:val="0"/>
        <w:i w:val="false"/>
        <w:u w:val="none"/>
        <w:b w:val="false"/>
        <w:szCs w:val="24"/>
        <w:iCs w:val="false"/>
        <w:bCs w:val="false"/>
        <w:rFonts w:ascii="Times New Roman" w:hAnsi="Times New Roman" w:cs="Times New Roman"/>
        <w:color w:val="000000"/>
      </w:rPr>
    </w:lvl>
    <w:lvl w:ilvl="4">
      <w:start w:val="1"/>
      <w:numFmt w:val="lowerLetter"/>
      <w:lvlText w:val="(%5)"/>
      <w:lvlJc w:val="start"/>
      <w:pPr>
        <w:tabs>
          <w:tab w:val="num" w:pos="720"/>
        </w:tabs>
        <w:ind w:start="720" w:hanging="720"/>
      </w:pPr>
      <w:rPr>
        <w:smallCaps w:val="false"/>
        <w:caps w:val="false"/>
        <w:sz w:val="24"/>
        <w:spacing w:val="0"/>
        <w:i w:val="false"/>
        <w:u w:val="none"/>
        <w:b w:val="false"/>
        <w:szCs w:val="24"/>
        <w:iCs w:val="false"/>
        <w:bCs w:val="false"/>
        <w:rFonts w:ascii="Times New Roman" w:hAnsi="Times New Roman" w:cs="Times New Roman"/>
        <w:color w:val="000000"/>
      </w:rPr>
    </w:lvl>
    <w:lvl w:ilvl="5">
      <w:start w:val="1"/>
      <w:numFmt w:val="lowerRoman"/>
      <w:lvlText w:val="(%6)"/>
      <w:lvlJc w:val="end"/>
      <w:pPr>
        <w:tabs>
          <w:tab w:val="num" w:pos="1440"/>
        </w:tabs>
        <w:ind w:start="1440" w:hanging="216"/>
      </w:pPr>
      <w:rPr>
        <w:smallCaps w:val="false"/>
        <w:caps w:val="false"/>
        <w:sz w:val="24"/>
        <w:spacing w:val="0"/>
        <w:i w:val="false"/>
        <w:u w:val="none"/>
        <w:b w:val="false"/>
        <w:szCs w:val="24"/>
        <w:iCs w:val="false"/>
        <w:bCs w:val="false"/>
        <w:rFonts w:ascii="Times New Roman" w:hAnsi="Times New Roman" w:cs="Times New Roman"/>
        <w:color w:val="000000"/>
      </w:rPr>
    </w:lvl>
    <w:lvl w:ilvl="6">
      <w:start w:val="1"/>
      <w:numFmt w:val="upperLetter"/>
      <w:lvlText w:val="(%7)"/>
      <w:lvlJc w:val="start"/>
      <w:pPr>
        <w:tabs>
          <w:tab w:val="num" w:pos="2160"/>
        </w:tabs>
        <w:ind w:start="2160" w:hanging="720"/>
      </w:pPr>
      <w:rPr>
        <w:smallCaps w:val="false"/>
        <w:caps w:val="false"/>
        <w:sz w:val="24"/>
        <w:spacing w:val="0"/>
        <w:i w:val="false"/>
        <w:u w:val="none"/>
        <w:b w:val="false"/>
        <w:szCs w:val="24"/>
        <w:iCs w:val="false"/>
        <w:bCs w:val="false"/>
        <w:rFonts w:ascii="Times New Roman" w:hAnsi="Times New Roman" w:cs="Times New Roman"/>
        <w:color w:val="000000"/>
      </w:rPr>
    </w:lvl>
    <w:lvl w:ilvl="7">
      <w:start w:val="1"/>
      <w:numFmt w:val="upperRoman"/>
      <w:lvlText w:val="(%8)"/>
      <w:lvlJc w:val="end"/>
      <w:pPr>
        <w:tabs>
          <w:tab w:val="num" w:pos="2880"/>
        </w:tabs>
        <w:ind w:start="2880" w:hanging="216"/>
      </w:pPr>
      <w:rPr>
        <w:smallCaps w:val="false"/>
        <w:caps w:val="false"/>
        <w:sz w:val="24"/>
        <w:spacing w:val="0"/>
        <w:i w:val="false"/>
        <w:u w:val="none"/>
        <w:b w:val="false"/>
        <w:szCs w:val="24"/>
        <w:iCs w:val="false"/>
        <w:bCs w:val="false"/>
        <w:rFonts w:ascii="Times New Roman" w:hAnsi="Times New Roman" w:cs="Times New Roman"/>
        <w:color w:val="000000"/>
      </w:rPr>
    </w:lvl>
    <w:lvl w:ilvl="8">
      <w:start w:val="27"/>
      <w:numFmt w:val="lowerLetter"/>
      <w:lvlText w:val="(%9)"/>
      <w:lvlJc w:val="start"/>
      <w:pPr>
        <w:tabs>
          <w:tab w:val="num" w:pos="3600"/>
        </w:tabs>
        <w:ind w:start="3600" w:hanging="720"/>
      </w:pPr>
      <w:rPr>
        <w:smallCaps w:val="false"/>
        <w:caps w:val="false"/>
        <w:sz w:val="24"/>
        <w:spacing w:val="0"/>
        <w:i w:val="false"/>
        <w:u w:val="none"/>
        <w:b w:val="false"/>
        <w:szCs w:val="24"/>
        <w:iCs w:val="false"/>
        <w:bCs w:val="false"/>
        <w:rFonts w:ascii="Times New Roman" w:hAnsi="Times New Roman" w:cs="Times New Roman"/>
        <w:color w:val="000000"/>
      </w:rPr>
    </w:lvl>
  </w:abstractNum>
  <w:abstractNum w:abstractNumId="3">
    <w:lvl w:ilvl="0">
      <w:start w:val="1"/>
      <w:numFmt w:val="decimal"/>
      <w:lvlText w:val="(%1)"/>
      <w:lvlJc w:val="start"/>
      <w:pPr>
        <w:tabs>
          <w:tab w:val="num" w:pos="720"/>
        </w:tabs>
        <w:ind w:start="720" w:hanging="720"/>
      </w:pPr>
      <w:rPr/>
    </w:lvl>
  </w:abstractNum>
  <w:abstractNum w:abstractNumId="4">
    <w:lvl w:ilvl="0">
      <w:start w:val="1"/>
      <w:numFmt w:val="decimal"/>
      <w:lvlText w:val="%1."/>
      <w:lvlJc w:val="start"/>
      <w:pPr>
        <w:tabs>
          <w:tab w:val="num" w:pos="4200"/>
        </w:tabs>
        <w:ind w:start="3480" w:hanging="0"/>
      </w:pPr>
      <w:rPr>
        <w:smallCaps w:val="false"/>
        <w:caps w:val="false"/>
        <w:sz w:val="22"/>
        <w:spacing w:val="0"/>
        <w:i w:val="false"/>
        <w:u w:val="none"/>
        <w:b/>
        <w:szCs w:val="22"/>
        <w:iCs w:val="false"/>
        <w:bCs/>
        <w:rFonts w:ascii="Times New Roman" w:hAnsi="Times New Roman" w:cs="Times New Roman"/>
        <w:color w:val="000000"/>
      </w:rPr>
    </w:lvl>
    <w:lvl w:ilvl="1">
      <w:start w:val="1"/>
      <w:numFmt w:val="decimal"/>
      <w:lvlText w:val="%1.%2"/>
      <w:lvlJc w:val="start"/>
      <w:pPr>
        <w:tabs>
          <w:tab w:val="num" w:pos="720"/>
        </w:tabs>
        <w:ind w:start="0" w:hanging="0"/>
      </w:pPr>
      <w:rPr>
        <w:smallCaps w:val="false"/>
        <w:caps w:val="false"/>
        <w:sz w:val="22"/>
        <w:spacing w:val="0"/>
        <w:i w:val="false"/>
        <w:u w:val="none"/>
        <w:b/>
        <w:szCs w:val="22"/>
        <w:iCs w:val="false"/>
        <w:bCs/>
        <w:rFonts w:ascii="Times New Roman" w:hAnsi="Times New Roman" w:cs="Times New Roman"/>
        <w:color w:val="000000"/>
      </w:rPr>
    </w:lvl>
    <w:lvl w:ilvl="2">
      <w:start w:val="1"/>
      <w:numFmt w:val="decimal"/>
      <w:lvlText w:val="%1.%2.%3"/>
      <w:lvlJc w:val="start"/>
      <w:pPr>
        <w:tabs>
          <w:tab w:val="num" w:pos="720"/>
        </w:tabs>
        <w:ind w:start="0" w:hanging="0"/>
      </w:pPr>
      <w:rPr>
        <w:smallCaps w:val="false"/>
        <w:caps w:val="false"/>
        <w:sz w:val="22"/>
        <w:spacing w:val="0"/>
        <w:i w:val="false"/>
        <w:u w:val="none"/>
        <w:b w:val="false"/>
        <w:szCs w:val="22"/>
        <w:iCs w:val="false"/>
        <w:bCs w:val="false"/>
        <w:rFonts w:ascii="Times New Roman" w:hAnsi="Times New Roman" w:cs="Times New Roman"/>
        <w:color w:val="000000"/>
      </w:rPr>
    </w:lvl>
    <w:lvl w:ilvl="3">
      <w:start w:val="1"/>
      <w:numFmt w:val="lowerLetter"/>
      <w:lvlText w:val="(%4)"/>
      <w:lvlJc w:val="start"/>
      <w:pPr>
        <w:tabs>
          <w:tab w:val="num" w:pos="720"/>
        </w:tabs>
        <w:ind w:start="720" w:hanging="720"/>
      </w:pPr>
      <w:rPr>
        <w:smallCaps w:val="false"/>
        <w:caps w:val="false"/>
        <w:sz w:val="22"/>
        <w:spacing w:val="0"/>
        <w:i w:val="false"/>
        <w:u w:val="none"/>
        <w:b w:val="false"/>
        <w:szCs w:val="22"/>
        <w:iCs w:val="false"/>
        <w:bCs w:val="false"/>
        <w:rFonts w:ascii="Times New Roman" w:hAnsi="Times New Roman" w:cs="Times New Roman"/>
        <w:color w:val="000000"/>
      </w:rPr>
    </w:lvl>
    <w:lvl w:ilvl="4">
      <w:start w:val="1"/>
      <w:numFmt w:val="lowerRoman"/>
      <w:lvlText w:val="(%5)"/>
      <w:lvlJc w:val="end"/>
      <w:pPr>
        <w:tabs>
          <w:tab w:val="num" w:pos="1440"/>
        </w:tabs>
        <w:ind w:start="1440" w:hanging="216"/>
      </w:pPr>
      <w:rPr>
        <w:smallCaps w:val="false"/>
        <w:caps w:val="false"/>
        <w:sz w:val="22"/>
        <w:spacing w:val="0"/>
        <w:i w:val="false"/>
        <w:u w:val="none"/>
        <w:b w:val="false"/>
        <w:szCs w:val="22"/>
        <w:iCs w:val="false"/>
        <w:bCs w:val="false"/>
        <w:rFonts w:ascii="Times New Roman" w:hAnsi="Times New Roman" w:cs="Times New Roman"/>
        <w:color w:val="000000"/>
      </w:rPr>
    </w:lvl>
    <w:lvl w:ilvl="5">
      <w:start w:val="1"/>
      <w:numFmt w:val="upperLetter"/>
      <w:lvlText w:val="(%6)"/>
      <w:lvlJc w:val="start"/>
      <w:pPr>
        <w:tabs>
          <w:tab w:val="num" w:pos="2160"/>
        </w:tabs>
        <w:ind w:start="2160" w:hanging="720"/>
      </w:pPr>
      <w:rPr>
        <w:smallCaps w:val="false"/>
        <w:caps w:val="false"/>
        <w:sz w:val="22"/>
        <w:spacing w:val="0"/>
        <w:i w:val="false"/>
        <w:u w:val="none"/>
        <w:b w:val="false"/>
        <w:szCs w:val="22"/>
        <w:iCs w:val="false"/>
        <w:bCs w:val="false"/>
        <w:rFonts w:ascii="Times New Roman" w:hAnsi="Times New Roman" w:cs="Times New Roman"/>
        <w:color w:val="000000"/>
      </w:rPr>
    </w:lvl>
    <w:lvl w:ilvl="6">
      <w:start w:val="1"/>
      <w:numFmt w:val="upperRoman"/>
      <w:lvlText w:val="(%7)"/>
      <w:lvlJc w:val="end"/>
      <w:pPr>
        <w:tabs>
          <w:tab w:val="num" w:pos="2880"/>
        </w:tabs>
        <w:ind w:start="2880" w:hanging="216"/>
      </w:pPr>
      <w:rPr>
        <w:smallCaps w:val="false"/>
        <w:caps w:val="false"/>
        <w:sz w:val="22"/>
        <w:spacing w:val="0"/>
        <w:i w:val="false"/>
        <w:u w:val="none"/>
        <w:b w:val="false"/>
        <w:szCs w:val="22"/>
        <w:iCs w:val="false"/>
        <w:bCs w:val="false"/>
        <w:rFonts w:ascii="Times New Roman" w:hAnsi="Times New Roman" w:cs="Times New Roman"/>
        <w:color w:val="000000"/>
      </w:rPr>
    </w:lvl>
    <w:lvl w:ilvl="7">
      <w:start w:val="27"/>
      <w:numFmt w:val="lowerLetter"/>
      <w:lvlText w:val="(%8)"/>
      <w:lvlJc w:val="start"/>
      <w:pPr>
        <w:tabs>
          <w:tab w:val="num" w:pos="3600"/>
        </w:tabs>
        <w:ind w:start="3600" w:hanging="720"/>
      </w:pPr>
      <w:rPr>
        <w:smallCaps w:val="false"/>
        <w:caps w:val="false"/>
        <w:sz w:val="22"/>
        <w:spacing w:val="0"/>
        <w:i w:val="false"/>
        <w:u w:val="none"/>
        <w:b w:val="false"/>
        <w:szCs w:val="22"/>
        <w:iCs w:val="false"/>
        <w:bCs w:val="false"/>
        <w:rFonts w:ascii="Times New Roman" w:hAnsi="Times New Roman" w:cs="Times New Roman"/>
        <w:color w:val="000000"/>
      </w:rPr>
    </w:lvl>
    <w:lvl w:ilvl="8">
      <w:start w:val="1"/>
      <w:numFmt w:val="decimal"/>
      <w:lvlText w:val="(%9)"/>
      <w:lvlJc w:val="start"/>
      <w:pPr>
        <w:tabs>
          <w:tab w:val="num" w:pos="4320"/>
        </w:tabs>
        <w:ind w:start="4320" w:hanging="720"/>
      </w:pPr>
      <w:rPr>
        <w:smallCaps w:val="false"/>
        <w:caps w:val="false"/>
        <w:sz w:val="22"/>
        <w:spacing w:val="0"/>
        <w:i w:val="false"/>
        <w:u w:val="none"/>
        <w:b w:val="false"/>
        <w:szCs w:val="22"/>
        <w:iCs w:val="false"/>
        <w:bCs w:val="false"/>
        <w:rFonts w:ascii="Times New Roman" w:hAnsi="Times New Roman" w:cs="Times New Roman"/>
        <w:color w:val="000000"/>
      </w:rPr>
    </w:lvl>
  </w:abstractNum>
  <w:abstractNum w:abstractNumId="5">
    <w:lvl w:ilvl="0">
      <w:start w:val="1"/>
      <w:numFmt w:val="decimal"/>
      <w:lvlText w:val="%1."/>
      <w:lvlJc w:val="start"/>
      <w:pPr>
        <w:tabs>
          <w:tab w:val="num" w:pos="720"/>
        </w:tabs>
        <w:ind w:start="0" w:hanging="0"/>
      </w:pPr>
      <w:rPr>
        <w:smallCaps w:val="false"/>
        <w:caps w:val="false"/>
        <w:spacing w:val="0"/>
        <w:i w:val="false"/>
        <w:u w:val="none"/>
        <w:b/>
        <w:iCs w:val="false"/>
        <w:bCs/>
        <w:rFonts w:ascii="Times New Roman" w:hAnsi="Times New Roman" w:cs="Times New Roman"/>
        <w:color w:val="000000"/>
      </w:rPr>
    </w:lvl>
    <w:lvl w:ilvl="1">
      <w:start w:val="1"/>
      <w:numFmt w:val="decimal"/>
      <w:lvlText w:val="%1.%2"/>
      <w:lvlJc w:val="start"/>
      <w:pPr>
        <w:tabs>
          <w:tab w:val="num" w:pos="720"/>
        </w:tabs>
        <w:ind w:start="0" w:hanging="0"/>
      </w:pPr>
      <w:rPr>
        <w:smallCaps w:val="false"/>
        <w:caps w:val="false"/>
        <w:spacing w:val="0"/>
        <w:i w:val="false"/>
        <w:u w:val="none"/>
        <w:b w:val="false"/>
        <w:iCs w:val="false"/>
        <w:bCs w:val="false"/>
        <w:rFonts w:ascii="Times New Roman" w:hAnsi="Times New Roman" w:cs="Times New Roman"/>
        <w:color w:val="000000"/>
      </w:rPr>
    </w:lvl>
    <w:lvl w:ilvl="2">
      <w:start w:val="1"/>
      <w:numFmt w:val="lowerLetter"/>
      <w:lvlText w:val="(%3)"/>
      <w:lvlJc w:val="start"/>
      <w:pPr>
        <w:tabs>
          <w:tab w:val="num" w:pos="720"/>
        </w:tabs>
        <w:ind w:start="720" w:hanging="720"/>
      </w:pPr>
      <w:rPr>
        <w:smallCaps w:val="false"/>
        <w:caps w:val="false"/>
        <w:spacing w:val="0"/>
        <w:i w:val="false"/>
        <w:u w:val="none"/>
        <w:b w:val="false"/>
        <w:iCs w:val="false"/>
        <w:bCs w:val="false"/>
        <w:rFonts w:ascii="Times New Roman" w:hAnsi="Times New Roman" w:cs="Times New Roman"/>
        <w:color w:val="000000"/>
      </w:rPr>
    </w:lvl>
    <w:lvl w:ilvl="3">
      <w:start w:val="1"/>
      <w:numFmt w:val="lowerRoman"/>
      <w:lvlText w:val="(%4)"/>
      <w:lvlJc w:val="end"/>
      <w:pPr>
        <w:tabs>
          <w:tab w:val="num" w:pos="1440"/>
        </w:tabs>
        <w:ind w:start="1440" w:hanging="216"/>
      </w:pPr>
      <w:rPr>
        <w:smallCaps w:val="false"/>
        <w:caps w:val="false"/>
        <w:spacing w:val="0"/>
        <w:i w:val="false"/>
        <w:u w:val="none"/>
        <w:b w:val="false"/>
        <w:iCs w:val="false"/>
        <w:bCs w:val="false"/>
        <w:rFonts w:ascii="Times New Roman" w:hAnsi="Times New Roman" w:cs="Times New Roman"/>
        <w:color w:val="000000"/>
      </w:rPr>
    </w:lvl>
    <w:lvl w:ilvl="4">
      <w:start w:val="1"/>
      <w:numFmt w:val="upperLetter"/>
      <w:lvlText w:val="(%5)"/>
      <w:lvlJc w:val="start"/>
      <w:pPr>
        <w:tabs>
          <w:tab w:val="num" w:pos="2160"/>
        </w:tabs>
        <w:ind w:start="2160" w:hanging="720"/>
      </w:pPr>
      <w:rPr>
        <w:smallCaps w:val="false"/>
        <w:caps w:val="false"/>
        <w:spacing w:val="0"/>
        <w:i w:val="false"/>
        <w:u w:val="none"/>
        <w:b w:val="false"/>
        <w:iCs w:val="false"/>
        <w:bCs w:val="false"/>
        <w:rFonts w:ascii="Times New Roman" w:hAnsi="Times New Roman" w:cs="Times New Roman"/>
        <w:color w:val="000000"/>
      </w:rPr>
    </w:lvl>
    <w:lvl w:ilvl="5">
      <w:start w:val="1"/>
      <w:numFmt w:val="upperRoman"/>
      <w:lvlText w:val="(%6)"/>
      <w:lvlJc w:val="end"/>
      <w:pPr>
        <w:tabs>
          <w:tab w:val="num" w:pos="2880"/>
        </w:tabs>
        <w:ind w:start="2880" w:hanging="216"/>
      </w:pPr>
      <w:rPr>
        <w:smallCaps w:val="false"/>
        <w:caps w:val="false"/>
        <w:spacing w:val="0"/>
        <w:i w:val="false"/>
        <w:u w:val="none"/>
        <w:b w:val="false"/>
        <w:iCs w:val="false"/>
        <w:bCs w:val="false"/>
        <w:rFonts w:ascii="Times New Roman" w:hAnsi="Times New Roman" w:cs="Times New Roman"/>
        <w:color w:val="000000"/>
      </w:rPr>
    </w:lvl>
    <w:lvl w:ilvl="6">
      <w:start w:val="27"/>
      <w:numFmt w:val="lowerLetter"/>
      <w:lvlText w:val="(%7)"/>
      <w:lvlJc w:val="start"/>
      <w:pPr>
        <w:tabs>
          <w:tab w:val="num" w:pos="3600"/>
        </w:tabs>
        <w:ind w:start="3600" w:hanging="720"/>
      </w:pPr>
      <w:rPr>
        <w:smallCaps w:val="false"/>
        <w:caps w:val="false"/>
        <w:spacing w:val="0"/>
        <w:i w:val="false"/>
        <w:u w:val="none"/>
        <w:b w:val="false"/>
        <w:iCs w:val="false"/>
        <w:bCs w:val="false"/>
        <w:rFonts w:ascii="Times New Roman" w:hAnsi="Times New Roman" w:cs="Times New Roman"/>
        <w:color w:val="000000"/>
      </w:rPr>
    </w:lvl>
    <w:lvl w:ilvl="7">
      <w:start w:val="1"/>
      <w:numFmt w:val="decimal"/>
      <w:lvlText w:val="(%8)"/>
      <w:lvlJc w:val="start"/>
      <w:pPr>
        <w:tabs>
          <w:tab w:val="num" w:pos="4320"/>
        </w:tabs>
        <w:ind w:start="4320" w:hanging="720"/>
      </w:pPr>
      <w:rPr>
        <w:smallCaps w:val="false"/>
        <w:caps w:val="false"/>
        <w:spacing w:val="0"/>
        <w:i w:val="false"/>
        <w:u w:val="none"/>
        <w:b w:val="false"/>
        <w:iCs w:val="false"/>
        <w:bCs w:val="false"/>
        <w:rFonts w:ascii="Times New Roman" w:hAnsi="Times New Roman" w:cs="Times New Roman"/>
        <w:color w:val="000000"/>
      </w:rPr>
    </w:lvl>
    <w:lvl w:ilvl="8">
      <w:start w:val="1"/>
      <w:numFmt w:val="lowerRoman"/>
      <w:lvlText w:val="%9)"/>
      <w:lvlJc w:val="start"/>
      <w:pPr>
        <w:tabs>
          <w:tab w:val="num" w:pos="5760"/>
        </w:tabs>
        <w:ind w:start="5760" w:hanging="720"/>
      </w:pPr>
      <w:rPr>
        <w:smallCaps w:val="false"/>
        <w:caps w:val="false"/>
        <w:spacing w:val="0"/>
        <w:i w:val="false"/>
        <w:u w:val="none"/>
        <w:b w:val="false"/>
        <w:iCs w:val="false"/>
        <w:bCs w:val="false"/>
        <w:rFonts w:ascii="Times New Roman" w:hAnsi="Times New Roman" w:cs="Times New Roman"/>
        <w:color w:val="000000"/>
      </w:rPr>
    </w:lvl>
  </w:abstractNum>
  <w:abstractNum w:abstractNumId="6">
    <w:lvl w:ilvl="0">
      <w:start w:val="1"/>
      <w:numFmt w:val="upperLetter"/>
      <w:lvlText w:val="(%1)"/>
      <w:lvlJc w:val="start"/>
      <w:pPr>
        <w:tabs>
          <w:tab w:val="num" w:pos="360"/>
        </w:tabs>
        <w:ind w:start="0" w:hanging="0"/>
      </w:pPr>
      <w:rPr/>
    </w:lvl>
  </w:abstractNum>
  <w:abstractNum w:abstractNumId="7">
    <w:lvl w:ilvl="0">
      <w:start w:val="1"/>
      <w:numFmt w:val="bullet"/>
      <w:lvlText w:val=""/>
      <w:lvlJc w:val="start"/>
      <w:pPr>
        <w:tabs>
          <w:tab w:val="num" w:pos="1746"/>
        </w:tabs>
        <w:ind w:start="1746" w:hanging="153"/>
      </w:pPr>
      <w:rPr>
        <w:rFonts w:ascii="Symbol" w:hAnsi="Symbol" w:cs="Symbol" w:hint="default"/>
        <w:spacing w:val="0"/>
      </w:rPr>
    </w:lvl>
  </w:abstractNum>
  <w:abstractNum w:abstractNumId="8">
    <w:lvl w:ilvl="0">
      <w:start w:val="1"/>
      <w:numFmt w:val="bullet"/>
      <w:lvlText w:val=""/>
      <w:lvlJc w:val="start"/>
      <w:pPr>
        <w:tabs>
          <w:tab w:val="num" w:pos="2160"/>
        </w:tabs>
        <w:ind w:start="2160" w:hanging="360"/>
      </w:pPr>
      <w:rPr>
        <w:rFonts w:ascii="Symbol" w:hAnsi="Symbol" w:cs="Symbol" w:hint="default"/>
      </w:rPr>
    </w:lvl>
  </w:abstractNum>
  <w:abstractNum w:abstractNumId="9">
    <w:lvl w:ilvl="0">
      <w:start w:val="1"/>
      <w:numFmt w:val="bullet"/>
      <w:lvlText w:val=""/>
      <w:lvlJc w:val="start"/>
      <w:pPr>
        <w:tabs>
          <w:tab w:val="num" w:pos="1508"/>
        </w:tabs>
        <w:ind w:start="1508" w:hanging="284"/>
      </w:pPr>
      <w:rPr>
        <w:rFonts w:ascii="Symbol" w:hAnsi="Symbol" w:cs="Symbol" w:hint="default"/>
        <w:spacing w:val="0"/>
      </w:rPr>
    </w:lvl>
    <w:lvl w:ilvl="1">
      <w:start w:val="1"/>
      <w:numFmt w:val="decimal"/>
      <w:lvlText w:val="%1.%2"/>
      <w:lvlJc w:val="start"/>
      <w:pPr>
        <w:tabs>
          <w:tab w:val="num" w:pos="1943"/>
        </w:tabs>
        <w:ind w:start="0" w:hanging="0"/>
      </w:pPr>
      <w:rPr>
        <w:smallCaps w:val="false"/>
        <w:caps w:val="false"/>
        <w:spacing w:val="0"/>
        <w:i w:val="false"/>
        <w:u w:val="none"/>
        <w:b w:val="false"/>
        <w:iCs w:val="false"/>
        <w:bCs w:val="false"/>
        <w:rFonts w:ascii="Times New Roman" w:hAnsi="Times New Roman" w:cs="Times New Roman"/>
        <w:color w:val="000000"/>
      </w:rPr>
    </w:lvl>
    <w:lvl w:ilvl="2">
      <w:start w:val="1"/>
      <w:numFmt w:val="lowerLetter"/>
      <w:lvlText w:val="(%3)"/>
      <w:lvlJc w:val="start"/>
      <w:pPr>
        <w:tabs>
          <w:tab w:val="num" w:pos="1943"/>
        </w:tabs>
        <w:ind w:start="1943" w:hanging="720"/>
      </w:pPr>
      <w:rPr>
        <w:smallCaps w:val="false"/>
        <w:caps w:val="false"/>
        <w:spacing w:val="0"/>
        <w:i w:val="false"/>
        <w:u w:val="none"/>
        <w:b w:val="false"/>
        <w:iCs w:val="false"/>
        <w:bCs w:val="false"/>
        <w:rFonts w:ascii="Times New Roman" w:hAnsi="Times New Roman" w:cs="Times New Roman"/>
        <w:color w:val="000000"/>
      </w:rPr>
    </w:lvl>
    <w:lvl w:ilvl="3">
      <w:start w:val="1"/>
      <w:numFmt w:val="lowerRoman"/>
      <w:lvlText w:val="(%4)"/>
      <w:lvlJc w:val="end"/>
      <w:pPr>
        <w:tabs>
          <w:tab w:val="num" w:pos="2663"/>
        </w:tabs>
        <w:ind w:start="2663" w:hanging="216"/>
      </w:pPr>
      <w:rPr>
        <w:smallCaps w:val="false"/>
        <w:caps w:val="false"/>
        <w:spacing w:val="0"/>
        <w:i w:val="false"/>
        <w:u w:val="none"/>
        <w:b w:val="false"/>
        <w:iCs w:val="false"/>
        <w:bCs w:val="false"/>
        <w:rFonts w:ascii="Times New Roman" w:hAnsi="Times New Roman" w:cs="Times New Roman"/>
        <w:color w:val="000000"/>
      </w:rPr>
    </w:lvl>
    <w:lvl w:ilvl="4">
      <w:start w:val="1"/>
      <w:numFmt w:val="upperLetter"/>
      <w:lvlText w:val="(%5)"/>
      <w:lvlJc w:val="start"/>
      <w:pPr>
        <w:tabs>
          <w:tab w:val="num" w:pos="3383"/>
        </w:tabs>
        <w:ind w:start="3383" w:hanging="720"/>
      </w:pPr>
      <w:rPr>
        <w:smallCaps w:val="false"/>
        <w:caps w:val="false"/>
        <w:spacing w:val="0"/>
        <w:i w:val="false"/>
        <w:u w:val="none"/>
        <w:b w:val="false"/>
        <w:iCs w:val="false"/>
        <w:bCs w:val="false"/>
        <w:rFonts w:ascii="Times New Roman" w:hAnsi="Times New Roman" w:cs="Times New Roman"/>
        <w:color w:val="000000"/>
      </w:rPr>
    </w:lvl>
    <w:lvl w:ilvl="5">
      <w:start w:val="1"/>
      <w:numFmt w:val="upperRoman"/>
      <w:lvlText w:val="(%6)"/>
      <w:lvlJc w:val="end"/>
      <w:pPr>
        <w:tabs>
          <w:tab w:val="num" w:pos="4103"/>
        </w:tabs>
        <w:ind w:start="4103" w:hanging="216"/>
      </w:pPr>
      <w:rPr>
        <w:smallCaps w:val="false"/>
        <w:caps w:val="false"/>
        <w:spacing w:val="0"/>
        <w:i w:val="false"/>
        <w:u w:val="none"/>
        <w:b w:val="false"/>
        <w:iCs w:val="false"/>
        <w:bCs w:val="false"/>
        <w:rFonts w:ascii="Times New Roman" w:hAnsi="Times New Roman" w:cs="Times New Roman"/>
        <w:color w:val="000000"/>
      </w:rPr>
    </w:lvl>
    <w:lvl w:ilvl="6">
      <w:start w:val="27"/>
      <w:numFmt w:val="lowerLetter"/>
      <w:lvlText w:val="(%7)"/>
      <w:lvlJc w:val="start"/>
      <w:pPr>
        <w:tabs>
          <w:tab w:val="num" w:pos="4823"/>
        </w:tabs>
        <w:ind w:start="4823" w:hanging="720"/>
      </w:pPr>
      <w:rPr>
        <w:smallCaps w:val="false"/>
        <w:caps w:val="false"/>
        <w:spacing w:val="0"/>
        <w:i w:val="false"/>
        <w:u w:val="none"/>
        <w:b w:val="false"/>
        <w:iCs w:val="false"/>
        <w:bCs w:val="false"/>
        <w:rFonts w:ascii="Times New Roman" w:hAnsi="Times New Roman" w:cs="Times New Roman"/>
        <w:color w:val="000000"/>
      </w:rPr>
    </w:lvl>
    <w:lvl w:ilvl="7">
      <w:start w:val="1"/>
      <w:numFmt w:val="decimal"/>
      <w:lvlText w:val="(%8)"/>
      <w:lvlJc w:val="start"/>
      <w:pPr>
        <w:tabs>
          <w:tab w:val="num" w:pos="5543"/>
        </w:tabs>
        <w:ind w:start="5543" w:hanging="720"/>
      </w:pPr>
      <w:rPr>
        <w:smallCaps w:val="false"/>
        <w:caps w:val="false"/>
        <w:spacing w:val="0"/>
        <w:i w:val="false"/>
        <w:u w:val="none"/>
        <w:b w:val="false"/>
        <w:iCs w:val="false"/>
        <w:bCs w:val="false"/>
        <w:rFonts w:ascii="Times New Roman" w:hAnsi="Times New Roman" w:cs="Times New Roman"/>
        <w:color w:val="000000"/>
      </w:rPr>
    </w:lvl>
    <w:lvl w:ilvl="8">
      <w:start w:val="1"/>
      <w:numFmt w:val="lowerRoman"/>
      <w:lvlText w:val="%9)"/>
      <w:lvlJc w:val="start"/>
      <w:pPr>
        <w:tabs>
          <w:tab w:val="num" w:pos="6983"/>
        </w:tabs>
        <w:ind w:start="6983" w:hanging="720"/>
      </w:pPr>
      <w:rPr>
        <w:smallCaps w:val="false"/>
        <w:caps w:val="false"/>
        <w:spacing w:val="0"/>
        <w:i w:val="false"/>
        <w:u w:val="none"/>
        <w:b w:val="false"/>
        <w:iCs w:val="false"/>
        <w:bCs w:val="false"/>
        <w:rFonts w:ascii="Times New Roman" w:hAnsi="Times New Roman" w:cs="Times New Roman"/>
        <w:color w:val="000000"/>
      </w:rPr>
    </w:lvl>
  </w:abstractNum>
  <w:abstractNum w:abstractNumId="10">
    <w:lvl w:ilvl="0">
      <w:numFmt w:val="decimal"/>
      <w:suff w:val="nothing"/>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numFmt w:val="decimal"/>
      <w:suff w:val="nothing"/>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numFmt w:val="decimal"/>
      <w:suff w:val="nothing"/>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numFmt w:val="decimal"/>
      <w:suff w:val="nothing"/>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numFmt w:val="decimal"/>
      <w:suff w:val="nothing"/>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docVars>
    <w:docVar w:name="authClass" w:val="Fee Earner"/>
    <w:docVar w:name="authCorresp" w:val="Mark Parsons"/>
    <w:docVar w:name="authEmail" w:val="mark.parsons@freshfields.com"/>
    <w:docVar w:name="authExtension" w:val="4651"/>
    <w:docVar w:name="authFax" w:val="44 20 7108 4651"/>
    <w:docVar w:name="authId" w:val="MXPARSONS"/>
    <w:docVar w:name="authInitials" w:val="MP"/>
    <w:docVar w:name="authLocation" w:val="London"/>
    <w:docVar w:name="authName" w:val="Parsons, Mark"/>
    <w:docVar w:name="authPhone" w:val="44 20 7716 4651"/>
    <w:docVar w:name="ClientNum" w:val="PERSONAL"/>
    <w:docVar w:name="docClass" w:val="-NONE-"/>
    <w:docVar w:name="docClient" w:val="104955"/>
    <w:docVar w:name="docCliMat" w:val="104955-0076"/>
    <w:docVar w:name="docDesc" w:val="ING/SWS - Benchmarking (Exhibit 34)"/>
    <w:docVar w:name="docGroup" w:val="document"/>
    <w:docVar w:name="docId" w:val="LC1475667"/>
    <w:docVar w:name="docIdVer" w:val="LC1475667/3"/>
    <w:docVar w:name="docLangId" w:val="2057"/>
    <w:docVar w:name="docLanguage" w:val="EN(UK)"/>
    <w:docVar w:name="docMatter" w:val="0076"/>
    <w:docVar w:name="DocName" w:val="benchmarking exhibit markup"/>
    <w:docVar w:name="DocRef" w:val="AMIP:48293.1"/>
    <w:docVar w:name="docTemplate" w:val="document_english_portrait_a4.xml"/>
    <w:docVar w:name="docType" w:val="New Document"/>
    <w:docVar w:name="docVersion" w:val="3"/>
    <w:docVar w:name="MatterNum" w:val="SEELTM"/>
    <w:docVar w:name="operClass" w:val="Fee Earner"/>
    <w:docVar w:name="operCorresp" w:val="Mark Parsons"/>
    <w:docVar w:name="operEmail" w:val="mark.parsons@freshfields.com"/>
    <w:docVar w:name="operExtension" w:val="4651"/>
    <w:docVar w:name="operFax" w:val="44 20 7108 4651"/>
    <w:docVar w:name="operId" w:val="MXPARSONS"/>
    <w:docVar w:name="operInitials" w:val="MP"/>
    <w:docVar w:name="operLocation" w:val="London"/>
    <w:docVar w:name="operName" w:val="Parsons, Mark"/>
    <w:docVar w:name="operPhone" w:val="44 20 7716 4651"/>
    <w:docVar w:name="zzmpFixedCurScheme" w:val="FWB"/>
    <w:docVar w:name="zzmpFixedCurScheme_9.0" w:val="1zzmpFWB"/>
    <w:docVar w:name="zzmpFWB" w:val="||FW Body Text|2|3|0|1|0|49||1|0|32||1|0|32||1|0|32||1|0|32||1|0|32||1|0|32||1|0|32||mpNA||"/>
    <w:docVar w:name="zzmpFWExhibit" w:val="||FW Exhibit|2|3|1|4|0|41||1|0|49||1|0|32||1|0|32||1|0|32||1|0|32||1|0|32||1|0|32||1|0|32||"/>
    <w:docVar w:name="zzmpFWOut" w:val="||FW Outsourcing|2|3|0|1|2|41||1|2|33||1|0|32||1|0|32||1|0|32||1|0|32||1|0|32||1|0|32||1|0|32||"/>
    <w:docVar w:name="zzmpLTFontsClean" w:val="True"/>
    <w:docVar w:name="zzmpnSession" w:val="0,542415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autoSpaceDE w:val="false"/>
      <w:bidi w:val="0"/>
    </w:pPr>
    <w:rPr>
      <w:rFonts w:ascii="Times New Roman" w:hAnsi="Times New Roman" w:eastAsia="MS Mincho;Arial Unicode MS" w:cs="Times New Roman"/>
      <w:color w:val="auto"/>
      <w:sz w:val="22"/>
      <w:szCs w:val="22"/>
      <w:lang w:val="en-GB" w:eastAsia="zh-CN" w:bidi="ar-SA"/>
    </w:rPr>
  </w:style>
  <w:style w:type="paragraph" w:styleId="Heading1">
    <w:name w:val="heading 1"/>
    <w:basedOn w:val="BodyText"/>
    <w:next w:val="BodyText"/>
    <w:qFormat/>
    <w:pPr>
      <w:keepNext w:val="true"/>
      <w:keepLines/>
      <w:numPr>
        <w:ilvl w:val="0"/>
        <w:numId w:val="1"/>
      </w:numPr>
      <w:jc w:val="start"/>
      <w:outlineLvl w:val="0"/>
    </w:pPr>
    <w:rPr>
      <w:b/>
      <w:bCs/>
      <w:caps/>
    </w:rPr>
  </w:style>
  <w:style w:type="paragraph" w:styleId="Heading2">
    <w:name w:val="heading 2"/>
    <w:basedOn w:val="BodyText"/>
    <w:next w:val="BodyText"/>
    <w:qFormat/>
    <w:pPr>
      <w:keepNext w:val="true"/>
      <w:keepLines/>
      <w:numPr>
        <w:ilvl w:val="1"/>
        <w:numId w:val="1"/>
      </w:numPr>
      <w:jc w:val="start"/>
      <w:outlineLvl w:val="1"/>
    </w:pPr>
    <w:rPr>
      <w:b/>
      <w:bCs/>
      <w:smallCaps/>
    </w:rPr>
  </w:style>
  <w:style w:type="paragraph" w:styleId="Heading3">
    <w:name w:val="heading 3"/>
    <w:basedOn w:val="BodyText"/>
    <w:next w:val="BodyText"/>
    <w:qFormat/>
    <w:pPr>
      <w:keepNext w:val="true"/>
      <w:keepLines/>
      <w:numPr>
        <w:ilvl w:val="2"/>
        <w:numId w:val="1"/>
      </w:numPr>
      <w:jc w:val="start"/>
      <w:outlineLvl w:val="2"/>
    </w:pPr>
    <w:rPr>
      <w:b/>
      <w:bCs/>
    </w:rPr>
  </w:style>
  <w:style w:type="paragraph" w:styleId="Heading4">
    <w:name w:val="heading 4"/>
    <w:basedOn w:val="Heading3"/>
    <w:next w:val="BodyText"/>
    <w:qFormat/>
    <w:pPr>
      <w:numPr>
        <w:ilvl w:val="3"/>
        <w:numId w:val="1"/>
      </w:numPr>
      <w:outlineLvl w:val="3"/>
    </w:pPr>
    <w:rPr/>
  </w:style>
  <w:style w:type="paragraph" w:styleId="Heading5">
    <w:name w:val="heading 5"/>
    <w:basedOn w:val="BodyText"/>
    <w:next w:val="BodyText"/>
    <w:qFormat/>
    <w:pPr>
      <w:keepNext w:val="true"/>
      <w:keepLines/>
      <w:numPr>
        <w:ilvl w:val="4"/>
        <w:numId w:val="1"/>
      </w:numPr>
      <w:jc w:val="center"/>
      <w:outlineLvl w:val="4"/>
    </w:pPr>
    <w:rPr>
      <w:b/>
      <w:bCs/>
      <w:caps/>
    </w:rPr>
  </w:style>
  <w:style w:type="paragraph" w:styleId="Heading6">
    <w:name w:val="heading 6"/>
    <w:basedOn w:val="BodyText"/>
    <w:next w:val="BodyText"/>
    <w:qFormat/>
    <w:pPr>
      <w:keepNext w:val="true"/>
      <w:numPr>
        <w:ilvl w:val="5"/>
        <w:numId w:val="1"/>
      </w:numPr>
      <w:jc w:val="center"/>
      <w:outlineLvl w:val="5"/>
    </w:pPr>
    <w:rPr>
      <w:b/>
      <w:bCs/>
    </w:rPr>
  </w:style>
  <w:style w:type="paragraph" w:styleId="Heading7">
    <w:name w:val="heading 7"/>
    <w:basedOn w:val="BodyText"/>
    <w:next w:val="BodyText"/>
    <w:qFormat/>
    <w:pPr>
      <w:keepNext w:val="true"/>
      <w:keepLines/>
      <w:numPr>
        <w:ilvl w:val="6"/>
        <w:numId w:val="1"/>
      </w:numPr>
      <w:outlineLvl w:val="6"/>
    </w:pPr>
    <w:rPr/>
  </w:style>
  <w:style w:type="paragraph" w:styleId="Heading8">
    <w:name w:val="heading 8"/>
    <w:basedOn w:val="BodyText"/>
    <w:next w:val="BodyText"/>
    <w:qFormat/>
    <w:pPr>
      <w:numPr>
        <w:ilvl w:val="7"/>
        <w:numId w:val="1"/>
      </w:numPr>
      <w:jc w:val="start"/>
      <w:outlineLvl w:val="7"/>
    </w:pPr>
    <w:rPr/>
  </w:style>
  <w:style w:type="paragraph" w:styleId="Heading9">
    <w:name w:val="heading 9"/>
    <w:basedOn w:val="BodyText"/>
    <w:next w:val="Normal"/>
    <w:qFormat/>
    <w:pPr>
      <w:numPr>
        <w:ilvl w:val="8"/>
        <w:numId w:val="1"/>
      </w:numPr>
      <w:outlineLvl w:val="8"/>
    </w:pPr>
    <w:rPr/>
  </w:style>
  <w:style w:type="character" w:styleId="WW8Num1z0">
    <w:name w:val="WW8Num1z0"/>
    <w:qFormat/>
    <w:rPr>
      <w:rFonts w:ascii="Times New Roman" w:hAnsi="Times New Roman" w:cs="Times New Roman"/>
      <w:b/>
      <w:bCs/>
      <w:i w:val="false"/>
      <w:iCs w:val="false"/>
      <w:caps/>
      <w:color w:val="000000"/>
      <w:spacing w:val="0"/>
      <w:sz w:val="24"/>
      <w:szCs w:val="24"/>
      <w:u w:val="none"/>
    </w:rPr>
  </w:style>
  <w:style w:type="character" w:styleId="WW8Num1z1">
    <w:name w:val="WW8Num1z1"/>
    <w:qFormat/>
    <w:rPr>
      <w:rFonts w:ascii="Times New Roman" w:hAnsi="Times New Roman" w:cs="Times New Roman"/>
      <w:b/>
      <w:bCs/>
      <w:i w:val="false"/>
      <w:iCs w:val="false"/>
      <w:caps w:val="false"/>
      <w:smallCaps w:val="false"/>
      <w:color w:val="000000"/>
      <w:spacing w:val="0"/>
      <w:sz w:val="24"/>
      <w:szCs w:val="24"/>
      <w:u w:val="none"/>
    </w:rPr>
  </w:style>
  <w:style w:type="character" w:styleId="WW8Num1z2">
    <w:name w:val="WW8Num1z2"/>
    <w:qFormat/>
    <w:rPr>
      <w:rFonts w:ascii="Times New Roman" w:hAnsi="Times New Roman" w:cs="Times New Roman"/>
      <w:b w:val="false"/>
      <w:bCs w:val="false"/>
      <w:i w:val="false"/>
      <w:iCs w:val="false"/>
      <w:caps w:val="false"/>
      <w:smallCaps w:val="false"/>
      <w:color w:val="000000"/>
      <w:spacing w:val="0"/>
      <w:sz w:val="24"/>
      <w:szCs w:val="24"/>
      <w:u w:val="none"/>
    </w:rPr>
  </w:style>
  <w:style w:type="character" w:styleId="WW8Num2z0">
    <w:name w:val="WW8Num2z0"/>
    <w:qFormat/>
    <w:rPr/>
  </w:style>
  <w:style w:type="character" w:styleId="WW8Num3z0">
    <w:name w:val="WW8Num3z0"/>
    <w:qFormat/>
    <w:rPr>
      <w:rFonts w:ascii="Times New Roman" w:hAnsi="Times New Roman" w:cs="Times New Roman"/>
      <w:b/>
      <w:bCs/>
      <w:i w:val="false"/>
      <w:iCs w:val="false"/>
      <w:caps w:val="false"/>
      <w:smallCaps w:val="false"/>
      <w:color w:val="000000"/>
      <w:spacing w:val="0"/>
      <w:sz w:val="22"/>
      <w:szCs w:val="22"/>
      <w:u w:val="none"/>
    </w:rPr>
  </w:style>
  <w:style w:type="character" w:styleId="WW8Num3z2">
    <w:name w:val="WW8Num3z2"/>
    <w:qFormat/>
    <w:rPr>
      <w:rFonts w:ascii="Times New Roman" w:hAnsi="Times New Roman" w:cs="Times New Roman"/>
      <w:b w:val="false"/>
      <w:bCs w:val="false"/>
      <w:i w:val="false"/>
      <w:iCs w:val="false"/>
      <w:caps w:val="false"/>
      <w:smallCaps w:val="false"/>
      <w:color w:val="000000"/>
      <w:spacing w:val="0"/>
      <w:sz w:val="22"/>
      <w:szCs w:val="22"/>
      <w:u w:val="none"/>
    </w:rPr>
  </w:style>
  <w:style w:type="character" w:styleId="WW8Num4z0">
    <w:name w:val="WW8Num4z0"/>
    <w:qFormat/>
    <w:rPr>
      <w:rFonts w:ascii="Times New Roman" w:hAnsi="Times New Roman" w:cs="Times New Roman"/>
      <w:b/>
      <w:bCs/>
      <w:i w:val="false"/>
      <w:iCs w:val="false"/>
      <w:caps w:val="false"/>
      <w:smallCaps w:val="false"/>
      <w:color w:val="000000"/>
      <w:spacing w:val="0"/>
      <w:u w:val="none"/>
    </w:rPr>
  </w:style>
  <w:style w:type="character" w:styleId="WW8Num4z1">
    <w:name w:val="WW8Num4z1"/>
    <w:qFormat/>
    <w:rPr>
      <w:rFonts w:ascii="Times New Roman" w:hAnsi="Times New Roman" w:cs="Times New Roman"/>
      <w:b w:val="false"/>
      <w:bCs w:val="false"/>
      <w:i w:val="false"/>
      <w:iCs w:val="false"/>
      <w:caps w:val="false"/>
      <w:smallCaps w:val="false"/>
      <w:color w:val="000000"/>
      <w:spacing w:val="0"/>
      <w:u w:val="none"/>
    </w:rPr>
  </w:style>
  <w:style w:type="character" w:styleId="WW8Num5z0">
    <w:name w:val="WW8Num5z0"/>
    <w:qFormat/>
    <w:rPr/>
  </w:style>
  <w:style w:type="character" w:styleId="WW8Num6z0">
    <w:name w:val="WW8Num6z0"/>
    <w:qFormat/>
    <w:rPr>
      <w:rFonts w:ascii="Symbol" w:hAnsi="Symbol" w:cs="Symbol"/>
      <w:spacing w:val="0"/>
    </w:rPr>
  </w:style>
  <w:style w:type="character" w:styleId="WW8Num6z1">
    <w:name w:val="WW8Num6z1"/>
    <w:qFormat/>
    <w:rPr>
      <w:rFonts w:ascii="Courier New" w:hAnsi="Courier New" w:cs="Courier New"/>
      <w:spacing w:val="0"/>
    </w:rPr>
  </w:style>
  <w:style w:type="character" w:styleId="WW8Num6z2">
    <w:name w:val="WW8Num6z2"/>
    <w:qFormat/>
    <w:rPr>
      <w:rFonts w:ascii="Wingdings" w:hAnsi="Wingdings" w:cs="Wingdings"/>
      <w:spacing w:val="0"/>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spacing w:val="0"/>
    </w:rPr>
  </w:style>
  <w:style w:type="character" w:styleId="WW8Num8z1">
    <w:name w:val="WW8Num8z1"/>
    <w:qFormat/>
    <w:rPr>
      <w:rFonts w:ascii="Times New Roman" w:hAnsi="Times New Roman" w:cs="Times New Roman"/>
      <w:b w:val="false"/>
      <w:bCs w:val="false"/>
      <w:i w:val="false"/>
      <w:iCs w:val="false"/>
      <w:caps w:val="false"/>
      <w:smallCaps w:val="false"/>
      <w:color w:val="000000"/>
      <w:spacing w:val="0"/>
      <w:u w:val="none"/>
    </w:rPr>
  </w:style>
  <w:style w:type="character" w:styleId="DefaultParagraphFont">
    <w:name w:val="Default Paragraph Font"/>
    <w:qFormat/>
    <w:rPr/>
  </w:style>
  <w:style w:type="character" w:styleId="PageNumber">
    <w:name w:val="page number"/>
    <w:basedOn w:val="DefaultParagraphFont"/>
    <w:rPr>
      <w:rFonts w:ascii="Times New Roman" w:hAnsi="Times New Roman" w:cs="Times New Roman"/>
      <w:spacing w:val="0"/>
      <w:sz w:val="16"/>
      <w:szCs w:val="16"/>
    </w:rPr>
  </w:style>
  <w:style w:type="character" w:styleId="FsHidden">
    <w:name w:val="FsHidden"/>
    <w:basedOn w:val="DefaultParagraphFont"/>
    <w:qFormat/>
    <w:rPr>
      <w:vanish/>
      <w:color w:val="FFFF00"/>
      <w:spacing w:val="0"/>
    </w:rPr>
  </w:style>
  <w:style w:type="character" w:styleId="FootnoteCharacters">
    <w:name w:val="Footnote Characters"/>
    <w:basedOn w:val="DefaultParagraphFont"/>
    <w:qFormat/>
    <w:rPr>
      <w:spacing w:val="0"/>
      <w:vertAlign w:val="superscript"/>
    </w:rPr>
  </w:style>
  <w:style w:type="character" w:styleId="CommentReference">
    <w:name w:val="Comment Reference"/>
    <w:basedOn w:val="DefaultParagraphFont"/>
    <w:qFormat/>
    <w:rPr>
      <w:spacing w:val="0"/>
      <w:sz w:val="16"/>
      <w:szCs w:val="16"/>
    </w:rPr>
  </w:style>
  <w:style w:type="character" w:styleId="DeltaViewInsertion">
    <w:name w:val="DeltaView Insertion"/>
    <w:qFormat/>
    <w:rPr>
      <w:color w:val="0000FF"/>
      <w:spacing w:val="0"/>
      <w:u w:val="double"/>
    </w:rPr>
  </w:style>
  <w:style w:type="character" w:styleId="DeltaViewDeletion">
    <w:name w:val="DeltaView Deletion"/>
    <w:qFormat/>
    <w:rPr>
      <w:strike/>
      <w:color w:val="FF0000"/>
      <w:spacing w:val="0"/>
    </w:rPr>
  </w:style>
  <w:style w:type="character" w:styleId="DeltaViewMoveSource">
    <w:name w:val="DeltaView Move Source"/>
    <w:qFormat/>
    <w:rPr>
      <w:strike/>
      <w:color w:val="00C000"/>
      <w:spacing w:val="0"/>
    </w:rPr>
  </w:style>
  <w:style w:type="character" w:styleId="DeltaViewMoveDestination">
    <w:name w:val="DeltaView Move Destination"/>
    <w:qFormat/>
    <w:rPr>
      <w:color w:val="00C000"/>
      <w:spacing w:val="0"/>
      <w:u w:val="double"/>
    </w:rPr>
  </w:style>
  <w:style w:type="character" w:styleId="DeltaViewChangeNumber">
    <w:name w:val="DeltaView Change Number"/>
    <w:qFormat/>
    <w:rPr>
      <w:color w:val="000000"/>
      <w:spacing w:val="0"/>
      <w:vertAlign w:val="superscript"/>
    </w:rPr>
  </w:style>
  <w:style w:type="character" w:styleId="DeltaViewDelimiter">
    <w:name w:val="DeltaView Delimiter"/>
    <w:qFormat/>
    <w:rPr>
      <w:spacing w:val="0"/>
    </w:rPr>
  </w:style>
  <w:style w:type="character" w:styleId="DeltaViewFormatChange">
    <w:name w:val="DeltaView Format Change"/>
    <w:qFormat/>
    <w:rPr>
      <w:color w:val="000000"/>
      <w:spacing w:val="0"/>
    </w:rPr>
  </w:style>
  <w:style w:type="character" w:styleId="DeltaViewMovedDeletion">
    <w:name w:val="DeltaView Moved Deletion"/>
    <w:qFormat/>
    <w:rPr>
      <w:strike/>
      <w:color w:val="C08080"/>
      <w:spacing w:val="0"/>
    </w:rPr>
  </w:style>
  <w:style w:type="character" w:styleId="DeltaViewEditorComment">
    <w:name w:val="DeltaView Editor Comment"/>
    <w:basedOn w:val="DefaultParagraphFont"/>
    <w:qFormat/>
    <w:rPr>
      <w:color w:val="0000FF"/>
      <w:spacing w:val="0"/>
      <w:u w:val="double"/>
    </w:rPr>
  </w:style>
  <w:style w:type="character" w:styleId="DeltaViewStyleChangeText">
    <w:name w:val="DeltaView Style Change Text"/>
    <w:qFormat/>
    <w:rPr>
      <w:color w:val="000000"/>
      <w:spacing w:val="0"/>
      <w:u w:val="double"/>
    </w:rPr>
  </w:style>
  <w:style w:type="character" w:styleId="DeltaViewStyleChangeLabel">
    <w:name w:val="DeltaView Style Change Label"/>
    <w:qFormat/>
    <w:rPr>
      <w:color w:val="000000"/>
      <w:spacing w:val="0"/>
    </w:rPr>
  </w:style>
  <w:style w:type="character" w:styleId="FWBL1Char">
    <w:name w:val="FWB_L1 Char"/>
    <w:basedOn w:val="DefaultParagraphFont"/>
    <w:qFormat/>
    <w:rPr>
      <w:rFonts w:eastAsia="MS Mincho;Arial Unicode MS"/>
      <w:b/>
      <w:bCs/>
      <w:smallCaps/>
      <w:sz w:val="22"/>
      <w:szCs w:val="22"/>
      <w:lang w:val="en-GB" w:eastAsia="zh-CN" w:bidi="ar-SA"/>
    </w:rPr>
  </w:style>
  <w:style w:type="character" w:styleId="FWBL2Char">
    <w:name w:val="FWB_L2 Char"/>
    <w:basedOn w:val="FWBL1Char"/>
    <w:qFormat/>
    <w:rPr/>
  </w:style>
  <w:style w:type="character" w:styleId="FWBL3Char">
    <w:name w:val="FWB_L3 Char"/>
    <w:basedOn w:val="FWBL2Char"/>
    <w:qFormat/>
    <w:rPr/>
  </w:style>
  <w:style w:type="paragraph" w:styleId="Heading">
    <w:name w:val="Heading"/>
    <w:basedOn w:val="Normal"/>
    <w:next w:val="BodyText"/>
    <w:qFormat/>
    <w:pPr>
      <w:autoSpaceDE w:val="true"/>
      <w:spacing w:before="240" w:after="240"/>
      <w:jc w:val="center"/>
      <w:outlineLvl w:val="0"/>
    </w:pPr>
    <w:rPr>
      <w:rFonts w:eastAsia="Times New Roman" w:cs="Arial"/>
      <w:b/>
      <w:bCs/>
      <w:caps/>
      <w:kern w:val="2"/>
      <w:sz w:val="32"/>
      <w:szCs w:val="32"/>
      <w:lang w:val="en-US"/>
    </w:rPr>
  </w:style>
  <w:style w:type="paragraph" w:styleId="BodyText">
    <w:name w:val="Body Text"/>
    <w:basedOn w:val="Normal"/>
    <w:pPr>
      <w:spacing w:before="0" w:after="24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BodyText"/>
    <w:pPr>
      <w:tabs>
        <w:tab w:val="clear" w:pos="720"/>
        <w:tab w:val="right" w:pos="8280" w:leader="none"/>
      </w:tabs>
      <w:spacing w:before="0" w:after="0"/>
      <w:jc w:val="end"/>
    </w:pPr>
    <w:rPr>
      <w:sz w:val="16"/>
      <w:szCs w:val="16"/>
    </w:rPr>
  </w:style>
  <w:style w:type="paragraph" w:styleId="Footer">
    <w:name w:val="footer"/>
    <w:basedOn w:val="BodyText"/>
    <w:pPr>
      <w:tabs>
        <w:tab w:val="clear" w:pos="720"/>
        <w:tab w:val="right" w:pos="8280" w:leader="none"/>
      </w:tabs>
      <w:spacing w:before="0" w:after="0"/>
    </w:pPr>
    <w:rPr>
      <w:sz w:val="16"/>
      <w:szCs w:val="16"/>
    </w:rPr>
  </w:style>
  <w:style w:type="paragraph" w:styleId="a">
    <w:name w:val="(a)"/>
    <w:basedOn w:val="BodyText"/>
    <w:qFormat/>
    <w:pPr>
      <w:ind w:hanging="720" w:start="720" w:end="0"/>
    </w:pPr>
    <w:rPr/>
  </w:style>
  <w:style w:type="paragraph" w:styleId="TOAHeading">
    <w:name w:val="TOA Heading"/>
    <w:basedOn w:val="Normal"/>
    <w:next w:val="Normal"/>
    <w:qFormat/>
    <w:pPr>
      <w:spacing w:before="120" w:after="0"/>
    </w:pPr>
    <w:rPr>
      <w:rFonts w:ascii="Arial" w:hAnsi="Arial" w:cs="Arial"/>
      <w:b/>
      <w:bCs/>
    </w:rPr>
  </w:style>
  <w:style w:type="paragraph" w:styleId="i">
    <w:name w:val="(i)"/>
    <w:basedOn w:val="BodyText"/>
    <w:qFormat/>
    <w:pPr>
      <w:tabs>
        <w:tab w:val="clear" w:pos="720"/>
        <w:tab w:val="right" w:pos="1296" w:leader="none"/>
      </w:tabs>
      <w:ind w:hanging="1440" w:start="1440" w:end="0"/>
    </w:pPr>
    <w:rPr/>
  </w:style>
  <w:style w:type="paragraph" w:styleId="A1">
    <w:name w:val="A"/>
    <w:basedOn w:val="BodyText"/>
    <w:qFormat/>
    <w:pPr>
      <w:ind w:hanging="432" w:start="1872" w:end="0"/>
    </w:pPr>
    <w:rPr/>
  </w:style>
  <w:style w:type="paragraph" w:styleId="Address">
    <w:name w:val="Address"/>
    <w:basedOn w:val="BodyText"/>
    <w:qFormat/>
    <w:pPr>
      <w:spacing w:lineRule="exact" w:line="280" w:before="0" w:after="720"/>
    </w:pPr>
    <w:rPr>
      <w:lang w:val="en-US" w:eastAsia="en-US"/>
    </w:rPr>
  </w:style>
  <w:style w:type="paragraph" w:styleId="FsTable">
    <w:name w:val="FsTable"/>
    <w:basedOn w:val="BodyText"/>
    <w:qFormat/>
    <w:pPr>
      <w:spacing w:before="120" w:after="120"/>
      <w:jc w:val="start"/>
    </w:pPr>
    <w:rPr/>
  </w:style>
  <w:style w:type="paragraph" w:styleId="FsTableHeading">
    <w:name w:val="FsTableHeading"/>
    <w:basedOn w:val="BodyText"/>
    <w:next w:val="FsTable"/>
    <w:qFormat/>
    <w:pPr>
      <w:keepNext w:val="true"/>
      <w:keepLines/>
      <w:spacing w:before="120" w:after="120"/>
      <w:jc w:val="start"/>
    </w:pPr>
    <w:rPr>
      <w:b/>
      <w:bCs/>
    </w:rPr>
  </w:style>
  <w:style w:type="paragraph" w:styleId="FWParties">
    <w:name w:val="FWParties"/>
    <w:basedOn w:val="BodyText"/>
    <w:qFormat/>
    <w:pPr>
      <w:numPr>
        <w:ilvl w:val="0"/>
        <w:numId w:val="3"/>
      </w:numPr>
    </w:pPr>
    <w:rPr/>
  </w:style>
  <w:style w:type="paragraph" w:styleId="FWRecital">
    <w:name w:val="FWRecital"/>
    <w:basedOn w:val="BodyText"/>
    <w:qFormat/>
    <w:pPr>
      <w:numPr>
        <w:ilvl w:val="0"/>
        <w:numId w:val="6"/>
      </w:numPr>
      <w:tabs>
        <w:tab w:val="left" w:pos="720" w:leader="none"/>
      </w:tabs>
    </w:pPr>
    <w:rPr/>
  </w:style>
  <w:style w:type="paragraph" w:styleId="Index1">
    <w:name w:val="index 1"/>
    <w:basedOn w:val="Normal"/>
    <w:next w:val="Normal"/>
    <w:pPr>
      <w:ind w:hanging="240" w:start="240" w:end="0"/>
    </w:pPr>
    <w:rPr/>
  </w:style>
  <w:style w:type="paragraph" w:styleId="IndexHeading">
    <w:name w:val="index heading"/>
    <w:basedOn w:val="Normal"/>
    <w:next w:val="Index1"/>
    <w:pPr>
      <w:spacing w:before="0" w:after="480"/>
      <w:jc w:val="center"/>
    </w:pPr>
    <w:rPr>
      <w:b/>
      <w:bCs/>
      <w:caps/>
    </w:rPr>
  </w:style>
  <w:style w:type="paragraph" w:styleId="IndexHeading2">
    <w:name w:val="Index Heading 2"/>
    <w:basedOn w:val="IndexHeading"/>
    <w:qFormat/>
    <w:pPr>
      <w:tabs>
        <w:tab w:val="clear" w:pos="720"/>
        <w:tab w:val="right" w:pos="8280" w:leader="none"/>
      </w:tabs>
      <w:jc w:val="start"/>
    </w:pPr>
    <w:rPr/>
  </w:style>
  <w:style w:type="paragraph" w:styleId="MarginalNote">
    <w:name w:val="Marginal Note"/>
    <w:basedOn w:val="BodyText"/>
    <w:next w:val="BodyText"/>
    <w:qFormat/>
    <w:pPr>
      <w:keepNext w:val="true"/>
      <w:keepLines/>
      <w:spacing w:lineRule="exact" w:line="180" w:before="40" w:after="240"/>
    </w:pPr>
    <w:rPr>
      <w:b/>
      <w:bCs/>
      <w:sz w:val="16"/>
      <w:szCs w:val="16"/>
    </w:rPr>
  </w:style>
  <w:style w:type="paragraph" w:styleId="Salutation">
    <w:name w:val="Salutation"/>
    <w:basedOn w:val="BodyText"/>
    <w:next w:val="Normal"/>
    <w:qFormat/>
    <w:pPr/>
    <w:rPr/>
  </w:style>
  <w:style w:type="paragraph" w:styleId="Sealing">
    <w:name w:val="Sealing"/>
    <w:basedOn w:val="BodyText"/>
    <w:qFormat/>
    <w:pPr>
      <w:keepLines/>
      <w:tabs>
        <w:tab w:val="clear" w:pos="720"/>
        <w:tab w:val="left" w:pos="1728" w:leader="none"/>
        <w:tab w:val="left" w:pos="4320" w:leader="none"/>
      </w:tabs>
      <w:spacing w:before="0" w:after="480"/>
    </w:pPr>
    <w:rPr/>
  </w:style>
  <w:style w:type="paragraph" w:styleId="TOC1">
    <w:name w:val="toc 1"/>
    <w:basedOn w:val="BodyText"/>
    <w:next w:val="BodyText"/>
    <w:pPr>
      <w:keepLines/>
      <w:tabs>
        <w:tab w:val="clear" w:pos="720"/>
        <w:tab w:val="right" w:pos="8309" w:leader="dot"/>
      </w:tabs>
      <w:spacing w:before="120" w:after="0"/>
      <w:ind w:hanging="720" w:start="720" w:end="720"/>
      <w:jc w:val="start"/>
    </w:pPr>
    <w:rPr>
      <w:caps/>
    </w:rPr>
  </w:style>
  <w:style w:type="paragraph" w:styleId="TOC2">
    <w:name w:val="toc 2"/>
    <w:basedOn w:val="BodyText"/>
    <w:next w:val="BodyText"/>
    <w:pPr>
      <w:tabs>
        <w:tab w:val="clear" w:pos="720"/>
        <w:tab w:val="left" w:pos="357" w:leader="none"/>
        <w:tab w:val="right" w:pos="8307" w:leader="dot"/>
      </w:tabs>
      <w:spacing w:before="120" w:after="0"/>
      <w:ind w:hanging="1077" w:start="1434" w:end="720"/>
      <w:jc w:val="start"/>
    </w:pPr>
    <w:rPr>
      <w:smallCaps/>
      <w:lang w:val="en-US" w:eastAsia="en-US"/>
    </w:rPr>
  </w:style>
  <w:style w:type="paragraph" w:styleId="TOC3">
    <w:name w:val="toc 3"/>
    <w:basedOn w:val="BodyText"/>
    <w:next w:val="BodyText"/>
    <w:pPr>
      <w:tabs>
        <w:tab w:val="clear" w:pos="720"/>
        <w:tab w:val="right" w:pos="8307" w:leader="dot"/>
      </w:tabs>
      <w:spacing w:before="0" w:after="0"/>
      <w:ind w:hanging="0" w:start="720" w:end="720"/>
    </w:pPr>
    <w:rPr/>
  </w:style>
  <w:style w:type="paragraph" w:styleId="TOC4">
    <w:name w:val="toc 4"/>
    <w:basedOn w:val="BodyText"/>
    <w:next w:val="BodyText"/>
    <w:pPr>
      <w:tabs>
        <w:tab w:val="clear" w:pos="720"/>
        <w:tab w:val="right" w:pos="8309" w:leader="dot"/>
      </w:tabs>
      <w:spacing w:before="0" w:after="0"/>
      <w:ind w:hanging="0" w:start="1440" w:end="720"/>
    </w:pPr>
    <w:rPr/>
  </w:style>
  <w:style w:type="paragraph" w:styleId="TOC5">
    <w:name w:val="toc 5"/>
    <w:basedOn w:val="BodyText"/>
    <w:pPr>
      <w:tabs>
        <w:tab w:val="clear" w:pos="720"/>
        <w:tab w:val="right" w:pos="8309" w:leader="dot"/>
      </w:tabs>
      <w:spacing w:before="120" w:after="120"/>
      <w:ind w:hanging="720" w:start="720" w:end="720"/>
    </w:pPr>
    <w:rPr>
      <w:caps/>
    </w:rPr>
  </w:style>
  <w:style w:type="paragraph" w:styleId="TOC6">
    <w:name w:val="toc 6"/>
    <w:basedOn w:val="BodyText"/>
    <w:pPr>
      <w:tabs>
        <w:tab w:val="clear" w:pos="720"/>
        <w:tab w:val="right" w:pos="8309" w:leader="dot"/>
      </w:tabs>
      <w:ind w:hanging="0" w:start="720" w:end="720"/>
    </w:pPr>
    <w:rPr/>
  </w:style>
  <w:style w:type="paragraph" w:styleId="TOC7">
    <w:name w:val="toc 7"/>
    <w:basedOn w:val="BodyText"/>
    <w:pPr>
      <w:tabs>
        <w:tab w:val="clear" w:pos="720"/>
        <w:tab w:val="right" w:pos="8309" w:leader="dot"/>
      </w:tabs>
      <w:ind w:hanging="0" w:start="1080" w:end="720"/>
    </w:pPr>
    <w:rPr>
      <w:i/>
      <w:iCs/>
    </w:rPr>
  </w:style>
  <w:style w:type="paragraph" w:styleId="TOC8">
    <w:name w:val="toc 8"/>
    <w:basedOn w:val="BodyText"/>
    <w:pPr>
      <w:tabs>
        <w:tab w:val="clear" w:pos="720"/>
        <w:tab w:val="right" w:pos="8309" w:leader="dot"/>
      </w:tabs>
      <w:ind w:hanging="0" w:start="1440" w:end="720"/>
    </w:pPr>
    <w:rPr>
      <w:i/>
      <w:iCs/>
    </w:rPr>
  </w:style>
  <w:style w:type="paragraph" w:styleId="TOC9">
    <w:name w:val="toc 9"/>
    <w:basedOn w:val="BodyText"/>
    <w:next w:val="Normal"/>
    <w:pPr>
      <w:tabs>
        <w:tab w:val="clear" w:pos="720"/>
        <w:tab w:val="right" w:pos="8309" w:leader="dot"/>
      </w:tabs>
      <w:ind w:hanging="0" w:start="1440" w:end="0"/>
    </w:pPr>
    <w:rPr>
      <w:i/>
      <w:iCs/>
    </w:rPr>
  </w:style>
  <w:style w:type="paragraph" w:styleId="ParaHeading">
    <w:name w:val="ParaHeading"/>
    <w:basedOn w:val="BodyText"/>
    <w:next w:val="BodyText"/>
    <w:qFormat/>
    <w:pPr>
      <w:keepNext w:val="true"/>
      <w:keepLines/>
    </w:pPr>
    <w:rPr>
      <w:b/>
      <w:bCs/>
    </w:rPr>
  </w:style>
  <w:style w:type="paragraph" w:styleId="FootnoteText">
    <w:name w:val="footnote text"/>
    <w:basedOn w:val="BodyText"/>
    <w:pPr>
      <w:spacing w:before="0" w:after="120"/>
      <w:ind w:hanging="357" w:start="357" w:end="0"/>
    </w:pPr>
    <w:rPr>
      <w:sz w:val="20"/>
      <w:szCs w:val="20"/>
    </w:rPr>
  </w:style>
  <w:style w:type="paragraph" w:styleId="FootNoteSeparator">
    <w:name w:val="FootNote Separator"/>
    <w:basedOn w:val="Normal"/>
    <w:qFormat/>
    <w:pPr>
      <w:pBdr>
        <w:top w:val="single" w:sz="4" w:space="1" w:color="000000"/>
      </w:pBdr>
    </w:pPr>
    <w:rPr/>
  </w:style>
  <w:style w:type="paragraph" w:styleId="ListBullet">
    <w:name w:val="List Bullet"/>
    <w:basedOn w:val="Normal"/>
    <w:qFormat/>
    <w:pPr>
      <w:numPr>
        <w:ilvl w:val="0"/>
        <w:numId w:val="10"/>
      </w:numPr>
      <w:tabs>
        <w:tab w:val="clear" w:pos="720"/>
        <w:tab w:val="left" w:pos="360" w:leader="none"/>
      </w:tabs>
      <w:ind w:hanging="360" w:start="360" w:end="0"/>
    </w:pPr>
    <w:rPr/>
  </w:style>
  <w:style w:type="paragraph" w:styleId="ListBullet2">
    <w:name w:val="List Bullet 2"/>
    <w:basedOn w:val="Normal"/>
    <w:qFormat/>
    <w:pPr>
      <w:numPr>
        <w:ilvl w:val="0"/>
        <w:numId w:val="11"/>
      </w:numPr>
      <w:tabs>
        <w:tab w:val="clear" w:pos="720"/>
        <w:tab w:val="left" w:pos="643" w:leader="none"/>
      </w:tabs>
      <w:ind w:hanging="360" w:start="643" w:end="0"/>
    </w:pPr>
    <w:rPr/>
  </w:style>
  <w:style w:type="paragraph" w:styleId="ListBullet3">
    <w:name w:val="List Bullet 3"/>
    <w:basedOn w:val="Normal"/>
    <w:qFormat/>
    <w:pPr>
      <w:numPr>
        <w:ilvl w:val="0"/>
        <w:numId w:val="12"/>
      </w:numPr>
      <w:tabs>
        <w:tab w:val="clear" w:pos="720"/>
        <w:tab w:val="left" w:pos="926" w:leader="none"/>
      </w:tabs>
      <w:ind w:hanging="360" w:start="926" w:end="0"/>
    </w:pPr>
    <w:rPr/>
  </w:style>
  <w:style w:type="paragraph" w:styleId="ListBullet4">
    <w:name w:val="List Bullet 4"/>
    <w:basedOn w:val="Normal"/>
    <w:qFormat/>
    <w:pPr>
      <w:numPr>
        <w:ilvl w:val="0"/>
        <w:numId w:val="13"/>
      </w:numPr>
      <w:tabs>
        <w:tab w:val="clear" w:pos="720"/>
        <w:tab w:val="left" w:pos="1209" w:leader="none"/>
      </w:tabs>
      <w:ind w:hanging="360" w:start="1209" w:end="0"/>
    </w:pPr>
    <w:rPr/>
  </w:style>
  <w:style w:type="paragraph" w:styleId="ListBullet5">
    <w:name w:val="List Bullet 5"/>
    <w:basedOn w:val="Normal"/>
    <w:qFormat/>
    <w:pPr>
      <w:numPr>
        <w:ilvl w:val="0"/>
        <w:numId w:val="14"/>
      </w:numPr>
      <w:tabs>
        <w:tab w:val="clear" w:pos="720"/>
        <w:tab w:val="left" w:pos="1492" w:leader="none"/>
      </w:tabs>
      <w:ind w:hanging="360" w:start="1492" w:end="0"/>
    </w:pPr>
    <w:rPr/>
  </w:style>
  <w:style w:type="paragraph" w:styleId="Index2">
    <w:name w:val="index 2"/>
    <w:basedOn w:val="Normal"/>
    <w:next w:val="Normal"/>
    <w:pPr>
      <w:ind w:hanging="240" w:start="480" w:end="0"/>
    </w:pPr>
    <w:rPr/>
  </w:style>
  <w:style w:type="paragraph" w:styleId="Index3">
    <w:name w:val="index 3"/>
    <w:basedOn w:val="Normal"/>
    <w:next w:val="Normal"/>
    <w:pPr>
      <w:ind w:hanging="240" w:start="720" w:end="0"/>
    </w:pPr>
    <w:rPr/>
  </w:style>
  <w:style w:type="paragraph" w:styleId="Index4">
    <w:name w:val="Index 4"/>
    <w:basedOn w:val="Normal"/>
    <w:next w:val="Normal"/>
    <w:qFormat/>
    <w:pPr>
      <w:ind w:hanging="240" w:start="960" w:end="0"/>
    </w:pPr>
    <w:rPr/>
  </w:style>
  <w:style w:type="paragraph" w:styleId="Index5">
    <w:name w:val="Index 5"/>
    <w:basedOn w:val="Normal"/>
    <w:next w:val="Normal"/>
    <w:qFormat/>
    <w:pPr>
      <w:ind w:hanging="240" w:start="1200" w:end="0"/>
    </w:pPr>
    <w:rPr/>
  </w:style>
  <w:style w:type="paragraph" w:styleId="Index6">
    <w:name w:val="Index 6"/>
    <w:basedOn w:val="Normal"/>
    <w:next w:val="Normal"/>
    <w:qFormat/>
    <w:pPr>
      <w:ind w:hanging="240" w:start="1440" w:end="0"/>
    </w:pPr>
    <w:rPr/>
  </w:style>
  <w:style w:type="paragraph" w:styleId="Index7">
    <w:name w:val="Index 7"/>
    <w:basedOn w:val="Normal"/>
    <w:next w:val="Normal"/>
    <w:qFormat/>
    <w:pPr>
      <w:ind w:hanging="240" w:start="1680" w:end="0"/>
    </w:pPr>
    <w:rPr/>
  </w:style>
  <w:style w:type="paragraph" w:styleId="Index8">
    <w:name w:val="Index 8"/>
    <w:basedOn w:val="Normal"/>
    <w:next w:val="Normal"/>
    <w:qFormat/>
    <w:pPr>
      <w:ind w:hanging="240" w:start="1920" w:end="0"/>
    </w:pPr>
    <w:rPr/>
  </w:style>
  <w:style w:type="paragraph" w:styleId="Index9">
    <w:name w:val="Index 9"/>
    <w:basedOn w:val="Normal"/>
    <w:next w:val="Normal"/>
    <w:qFormat/>
    <w:pPr>
      <w:ind w:hanging="240" w:start="2160" w:end="0"/>
    </w:pPr>
    <w:rPr/>
  </w:style>
  <w:style w:type="paragraph" w:styleId="FSDraftReady">
    <w:name w:val="FSDraftReady"/>
    <w:basedOn w:val="BodyText"/>
    <w:next w:val="Header"/>
    <w:qFormat/>
    <w:pPr>
      <w:spacing w:before="0" w:after="0"/>
      <w:jc w:val="end"/>
    </w:pPr>
    <w:rPr>
      <w:rFonts w:ascii="Arial" w:hAnsi="Arial" w:cs="Arial"/>
      <w:b/>
      <w:bCs/>
      <w:color w:val="FF0000"/>
      <w:sz w:val="36"/>
      <w:szCs w:val="36"/>
    </w:rPr>
  </w:style>
  <w:style w:type="paragraph" w:styleId="FWBCont1">
    <w:name w:val="FWB Cont 1"/>
    <w:basedOn w:val="Normal"/>
    <w:qFormat/>
    <w:pPr>
      <w:spacing w:before="0" w:after="240"/>
      <w:jc w:val="both"/>
    </w:pPr>
    <w:rPr/>
  </w:style>
  <w:style w:type="paragraph" w:styleId="FWBCont2">
    <w:name w:val="FWB Cont 2"/>
    <w:basedOn w:val="FWBCont1"/>
    <w:qFormat/>
    <w:pPr/>
    <w:rPr/>
  </w:style>
  <w:style w:type="paragraph" w:styleId="FWBCont3">
    <w:name w:val="FWB Cont 3"/>
    <w:basedOn w:val="FWBCont2"/>
    <w:qFormat/>
    <w:pPr>
      <w:ind w:hanging="0" w:start="720" w:end="0"/>
    </w:pPr>
    <w:rPr/>
  </w:style>
  <w:style w:type="paragraph" w:styleId="FWBCont4">
    <w:name w:val="FWB Cont 4"/>
    <w:basedOn w:val="FWBCont3"/>
    <w:qFormat/>
    <w:pPr>
      <w:ind w:hanging="0" w:start="1440" w:end="0"/>
    </w:pPr>
    <w:rPr/>
  </w:style>
  <w:style w:type="paragraph" w:styleId="FWBCont5">
    <w:name w:val="FWB Cont 5"/>
    <w:basedOn w:val="FWBCont4"/>
    <w:qFormat/>
    <w:pPr>
      <w:ind w:hanging="0" w:start="2160" w:end="0"/>
    </w:pPr>
    <w:rPr/>
  </w:style>
  <w:style w:type="paragraph" w:styleId="FWBCont6">
    <w:name w:val="FWB Cont 6"/>
    <w:basedOn w:val="FWBCont5"/>
    <w:qFormat/>
    <w:pPr>
      <w:ind w:hanging="0" w:start="2880" w:end="0"/>
    </w:pPr>
    <w:rPr/>
  </w:style>
  <w:style w:type="paragraph" w:styleId="FWBCont7">
    <w:name w:val="FWB Cont 7"/>
    <w:basedOn w:val="FWBCont6"/>
    <w:qFormat/>
    <w:pPr>
      <w:ind w:hanging="0" w:start="3600" w:end="0"/>
    </w:pPr>
    <w:rPr/>
  </w:style>
  <w:style w:type="paragraph" w:styleId="FWBCont8">
    <w:name w:val="FWB Cont 8"/>
    <w:basedOn w:val="FWBCont7"/>
    <w:qFormat/>
    <w:pPr>
      <w:ind w:hanging="0" w:start="4321" w:end="0"/>
    </w:pPr>
    <w:rPr/>
  </w:style>
  <w:style w:type="paragraph" w:styleId="FWBL1">
    <w:name w:val="FWB_L1"/>
    <w:basedOn w:val="Normal"/>
    <w:next w:val="FWBL2"/>
    <w:qFormat/>
    <w:pPr>
      <w:keepNext w:val="true"/>
      <w:keepLines/>
      <w:numPr>
        <w:ilvl w:val="0"/>
        <w:numId w:val="5"/>
      </w:numPr>
      <w:spacing w:before="0" w:after="240"/>
      <w:outlineLvl w:val="0"/>
    </w:pPr>
    <w:rPr>
      <w:b/>
      <w:bCs/>
      <w:smallCaps/>
    </w:rPr>
  </w:style>
  <w:style w:type="paragraph" w:styleId="FWBL2">
    <w:name w:val="FWB_L2"/>
    <w:basedOn w:val="FWBL1"/>
    <w:qFormat/>
    <w:pPr>
      <w:keepNext w:val="false"/>
      <w:keepLines w:val="false"/>
      <w:numPr>
        <w:ilvl w:val="0"/>
        <w:numId w:val="5"/>
      </w:numPr>
      <w:jc w:val="both"/>
      <w:outlineLvl w:val="9"/>
    </w:pPr>
    <w:rPr>
      <w:b w:val="false"/>
      <w:bCs w:val="false"/>
      <w:caps w:val="false"/>
      <w:smallCaps w:val="false"/>
    </w:rPr>
  </w:style>
  <w:style w:type="paragraph" w:styleId="FWBL3">
    <w:name w:val="FWB_L3"/>
    <w:basedOn w:val="FWBL2"/>
    <w:qFormat/>
    <w:pPr>
      <w:numPr>
        <w:ilvl w:val="0"/>
        <w:numId w:val="5"/>
      </w:numPr>
    </w:pPr>
    <w:rPr/>
  </w:style>
  <w:style w:type="paragraph" w:styleId="FWBL4">
    <w:name w:val="FWB_L4"/>
    <w:basedOn w:val="FWBL3"/>
    <w:qFormat/>
    <w:pPr>
      <w:numPr>
        <w:ilvl w:val="0"/>
        <w:numId w:val="5"/>
      </w:numPr>
    </w:pPr>
    <w:rPr/>
  </w:style>
  <w:style w:type="paragraph" w:styleId="FWBL5">
    <w:name w:val="FWB_L5"/>
    <w:basedOn w:val="FWBL4"/>
    <w:qFormat/>
    <w:pPr>
      <w:numPr>
        <w:ilvl w:val="0"/>
        <w:numId w:val="5"/>
      </w:numPr>
    </w:pPr>
    <w:rPr/>
  </w:style>
  <w:style w:type="paragraph" w:styleId="FWBL6">
    <w:name w:val="FWB_L6"/>
    <w:basedOn w:val="FWBL5"/>
    <w:qFormat/>
    <w:pPr>
      <w:numPr>
        <w:ilvl w:val="0"/>
        <w:numId w:val="5"/>
      </w:numPr>
    </w:pPr>
    <w:rPr/>
  </w:style>
  <w:style w:type="paragraph" w:styleId="FWBL7">
    <w:name w:val="FWB_L7"/>
    <w:basedOn w:val="FWBL6"/>
    <w:qFormat/>
    <w:pPr>
      <w:numPr>
        <w:ilvl w:val="0"/>
        <w:numId w:val="5"/>
      </w:numPr>
    </w:pPr>
    <w:rPr/>
  </w:style>
  <w:style w:type="paragraph" w:styleId="FWBL8">
    <w:name w:val="FWB_L8"/>
    <w:basedOn w:val="FWBL7"/>
    <w:qFormat/>
    <w:pPr>
      <w:numPr>
        <w:ilvl w:val="0"/>
        <w:numId w:val="5"/>
      </w:numPr>
    </w:pPr>
    <w:rPr/>
  </w:style>
  <w:style w:type="paragraph" w:styleId="FWOutCont1">
    <w:name w:val="FWOut Cont 1"/>
    <w:basedOn w:val="Normal"/>
    <w:qFormat/>
    <w:pPr>
      <w:spacing w:before="0" w:after="240"/>
      <w:jc w:val="both"/>
    </w:pPr>
    <w:rPr/>
  </w:style>
  <w:style w:type="paragraph" w:styleId="FWOutCont2">
    <w:name w:val="FWOut Cont 2"/>
    <w:basedOn w:val="FWOutCont1"/>
    <w:qFormat/>
    <w:pPr/>
    <w:rPr/>
  </w:style>
  <w:style w:type="paragraph" w:styleId="FWOutCont3">
    <w:name w:val="FWOut Cont 3"/>
    <w:basedOn w:val="FWOutCont2"/>
    <w:qFormat/>
    <w:pPr/>
    <w:rPr/>
  </w:style>
  <w:style w:type="paragraph" w:styleId="FWOutCont4">
    <w:name w:val="FWOut Cont 4"/>
    <w:basedOn w:val="FWOutCont3"/>
    <w:qFormat/>
    <w:pPr>
      <w:ind w:hanging="0" w:start="720" w:end="0"/>
    </w:pPr>
    <w:rPr/>
  </w:style>
  <w:style w:type="paragraph" w:styleId="FWOutCont5">
    <w:name w:val="FWOut Cont 5"/>
    <w:basedOn w:val="FWOutCont4"/>
    <w:qFormat/>
    <w:pPr>
      <w:ind w:hanging="0" w:start="1440" w:end="0"/>
    </w:pPr>
    <w:rPr/>
  </w:style>
  <w:style w:type="paragraph" w:styleId="FWOutCont6">
    <w:name w:val="FWOut Cont 6"/>
    <w:basedOn w:val="FWOutCont5"/>
    <w:qFormat/>
    <w:pPr>
      <w:ind w:hanging="0" w:start="2160" w:end="0"/>
    </w:pPr>
    <w:rPr/>
  </w:style>
  <w:style w:type="paragraph" w:styleId="FWOutCont7">
    <w:name w:val="FWOut Cont 7"/>
    <w:basedOn w:val="FWOutCont6"/>
    <w:qFormat/>
    <w:pPr>
      <w:ind w:hanging="0" w:start="2880" w:end="0"/>
    </w:pPr>
    <w:rPr/>
  </w:style>
  <w:style w:type="paragraph" w:styleId="FWOutCont8">
    <w:name w:val="FWOut Cont 8"/>
    <w:basedOn w:val="FWOutCont7"/>
    <w:qFormat/>
    <w:pPr>
      <w:ind w:hanging="0" w:start="3600" w:end="0"/>
    </w:pPr>
    <w:rPr/>
  </w:style>
  <w:style w:type="paragraph" w:styleId="FWOutCont9">
    <w:name w:val="FWOut Cont 9"/>
    <w:basedOn w:val="FWOutCont8"/>
    <w:qFormat/>
    <w:pPr>
      <w:ind w:hanging="0" w:start="4320" w:end="0"/>
    </w:pPr>
    <w:rPr/>
  </w:style>
  <w:style w:type="paragraph" w:styleId="FWOutL1">
    <w:name w:val="FWOut_L1"/>
    <w:basedOn w:val="Normal"/>
    <w:next w:val="FWOutL2"/>
    <w:qFormat/>
    <w:pPr>
      <w:keepNext w:val="true"/>
      <w:keepLines/>
      <w:numPr>
        <w:ilvl w:val="0"/>
        <w:numId w:val="4"/>
      </w:numPr>
      <w:spacing w:before="0" w:after="240"/>
      <w:jc w:val="center"/>
      <w:outlineLvl w:val="0"/>
    </w:pPr>
    <w:rPr>
      <w:b/>
      <w:bCs/>
      <w:caps/>
    </w:rPr>
  </w:style>
  <w:style w:type="paragraph" w:styleId="FWOutL2">
    <w:name w:val="FWOut_L2"/>
    <w:basedOn w:val="FWOutL1"/>
    <w:qFormat/>
    <w:pPr>
      <w:numPr>
        <w:ilvl w:val="0"/>
        <w:numId w:val="4"/>
      </w:numPr>
      <w:ind w:hanging="360" w:start="0" w:end="0"/>
      <w:jc w:val="start"/>
      <w:outlineLvl w:val="1"/>
    </w:pPr>
    <w:rPr>
      <w:caps w:val="false"/>
      <w:smallCaps w:val="false"/>
    </w:rPr>
  </w:style>
  <w:style w:type="paragraph" w:styleId="FWOutL3">
    <w:name w:val="FWOut_L3"/>
    <w:basedOn w:val="FWOutL2"/>
    <w:qFormat/>
    <w:pPr>
      <w:keepNext w:val="false"/>
      <w:keepLines w:val="false"/>
      <w:numPr>
        <w:ilvl w:val="0"/>
        <w:numId w:val="4"/>
      </w:numPr>
      <w:ind w:hanging="360" w:start="360" w:end="0"/>
      <w:jc w:val="both"/>
      <w:outlineLvl w:val="9"/>
    </w:pPr>
    <w:rPr>
      <w:b w:val="false"/>
      <w:bCs w:val="false"/>
    </w:rPr>
  </w:style>
  <w:style w:type="paragraph" w:styleId="FWOutL4">
    <w:name w:val="FWOut_L4"/>
    <w:basedOn w:val="FWOutL3"/>
    <w:qFormat/>
    <w:pPr>
      <w:numPr>
        <w:ilvl w:val="0"/>
        <w:numId w:val="4"/>
      </w:numPr>
    </w:pPr>
    <w:rPr/>
  </w:style>
  <w:style w:type="paragraph" w:styleId="FWOutL5">
    <w:name w:val="FWOut_L5"/>
    <w:basedOn w:val="FWOutL4"/>
    <w:qFormat/>
    <w:pPr>
      <w:numPr>
        <w:ilvl w:val="0"/>
        <w:numId w:val="4"/>
      </w:numPr>
    </w:pPr>
    <w:rPr/>
  </w:style>
  <w:style w:type="paragraph" w:styleId="FWOutL6">
    <w:name w:val="FWOut_L6"/>
    <w:basedOn w:val="FWOutL5"/>
    <w:qFormat/>
    <w:pPr>
      <w:numPr>
        <w:ilvl w:val="0"/>
        <w:numId w:val="4"/>
      </w:numPr>
    </w:pPr>
    <w:rPr/>
  </w:style>
  <w:style w:type="paragraph" w:styleId="FWOutL7">
    <w:name w:val="FWOut_L7"/>
    <w:basedOn w:val="FWOutL6"/>
    <w:qFormat/>
    <w:pPr>
      <w:numPr>
        <w:ilvl w:val="0"/>
        <w:numId w:val="4"/>
      </w:numPr>
    </w:pPr>
    <w:rPr/>
  </w:style>
  <w:style w:type="paragraph" w:styleId="FWOutL8">
    <w:name w:val="FWOut_L8"/>
    <w:basedOn w:val="FWOutL7"/>
    <w:qFormat/>
    <w:pPr>
      <w:numPr>
        <w:ilvl w:val="0"/>
        <w:numId w:val="4"/>
      </w:numPr>
    </w:pPr>
    <w:rPr/>
  </w:style>
  <w:style w:type="paragraph" w:styleId="FWOutL9">
    <w:name w:val="FWOut_L9"/>
    <w:basedOn w:val="FWOutL8"/>
    <w:qFormat/>
    <w:pPr>
      <w:numPr>
        <w:ilvl w:val="0"/>
        <w:numId w:val="4"/>
      </w:numPr>
      <w:ind w:hanging="360" w:start="360" w:end="0"/>
    </w:pPr>
    <w:rPr/>
  </w:style>
  <w:style w:type="paragraph" w:styleId="FWExhibitL1">
    <w:name w:val="FWExhibit_L1"/>
    <w:basedOn w:val="Normal"/>
    <w:next w:val="FWExhibitL2"/>
    <w:qFormat/>
    <w:pPr>
      <w:keepNext w:val="true"/>
      <w:keepLines/>
      <w:numPr>
        <w:ilvl w:val="0"/>
        <w:numId w:val="2"/>
      </w:numPr>
      <w:spacing w:lineRule="auto" w:line="480" w:before="0" w:after="240"/>
      <w:jc w:val="center"/>
      <w:outlineLvl w:val="0"/>
    </w:pPr>
    <w:rPr>
      <w:b/>
      <w:bCs/>
      <w:caps/>
      <w:sz w:val="24"/>
      <w:szCs w:val="24"/>
    </w:rPr>
  </w:style>
  <w:style w:type="paragraph" w:styleId="FWExhibitL2">
    <w:name w:val="FWExhibit_L2"/>
    <w:basedOn w:val="FWExhibitL1"/>
    <w:next w:val="FWExhibitL4"/>
    <w:qFormat/>
    <w:pPr>
      <w:numPr>
        <w:ilvl w:val="0"/>
        <w:numId w:val="2"/>
      </w:numPr>
      <w:tabs>
        <w:tab w:val="clear" w:pos="720"/>
        <w:tab w:val="left" w:pos="643" w:leader="none"/>
      </w:tabs>
      <w:spacing w:lineRule="auto" w:line="240"/>
      <w:ind w:hanging="360" w:start="643" w:end="0"/>
      <w:jc w:val="start"/>
      <w:outlineLvl w:val="1"/>
    </w:pPr>
    <w:rPr>
      <w:caps w:val="false"/>
      <w:smallCaps w:val="false"/>
    </w:rPr>
  </w:style>
  <w:style w:type="paragraph" w:styleId="FWExhibitL3">
    <w:name w:val="FWExhibit_L3"/>
    <w:basedOn w:val="FWExhibitL2"/>
    <w:qFormat/>
    <w:pPr>
      <w:keepNext w:val="false"/>
      <w:keepLines w:val="false"/>
      <w:numPr>
        <w:ilvl w:val="0"/>
        <w:numId w:val="2"/>
      </w:numPr>
      <w:jc w:val="both"/>
      <w:outlineLvl w:val="9"/>
    </w:pPr>
    <w:rPr>
      <w:b w:val="false"/>
      <w:bCs w:val="false"/>
      <w:caps w:val="false"/>
      <w:smallCaps w:val="false"/>
    </w:rPr>
  </w:style>
  <w:style w:type="paragraph" w:styleId="FWExhibitL4">
    <w:name w:val="FWExhibit_L4"/>
    <w:basedOn w:val="FWExhibitL3"/>
    <w:qFormat/>
    <w:pPr>
      <w:numPr>
        <w:ilvl w:val="0"/>
        <w:numId w:val="2"/>
      </w:numPr>
      <w:ind w:hanging="720" w:start="720" w:end="0"/>
    </w:pPr>
    <w:rPr/>
  </w:style>
  <w:style w:type="paragraph" w:styleId="FWExhibitL5">
    <w:name w:val="FWExhibit_L5"/>
    <w:basedOn w:val="FWExhibitL4"/>
    <w:qFormat/>
    <w:pPr>
      <w:numPr>
        <w:ilvl w:val="0"/>
        <w:numId w:val="2"/>
      </w:numPr>
      <w:tabs>
        <w:tab w:val="left" w:pos="643" w:leader="none"/>
        <w:tab w:val="left" w:pos="1440" w:leader="none"/>
      </w:tabs>
      <w:ind w:hanging="216" w:start="1440" w:end="0"/>
    </w:pPr>
    <w:rPr/>
  </w:style>
  <w:style w:type="paragraph" w:styleId="FWExhibitL6">
    <w:name w:val="FWExhibit_L6"/>
    <w:basedOn w:val="FWExhibitL5"/>
    <w:qFormat/>
    <w:pPr>
      <w:numPr>
        <w:ilvl w:val="0"/>
        <w:numId w:val="2"/>
      </w:numPr>
      <w:tabs>
        <w:tab w:val="clear" w:pos="1440"/>
        <w:tab w:val="left" w:pos="643" w:leader="none"/>
        <w:tab w:val="left" w:pos="2160" w:leader="none"/>
      </w:tabs>
      <w:ind w:hanging="720" w:start="2160" w:end="0"/>
    </w:pPr>
    <w:rPr/>
  </w:style>
  <w:style w:type="paragraph" w:styleId="FWExhibitL7">
    <w:name w:val="FWExhibit_L7"/>
    <w:basedOn w:val="FWExhibitL6"/>
    <w:qFormat/>
    <w:pPr>
      <w:numPr>
        <w:ilvl w:val="0"/>
        <w:numId w:val="2"/>
      </w:numPr>
      <w:tabs>
        <w:tab w:val="clear" w:pos="2160"/>
        <w:tab w:val="left" w:pos="643" w:leader="none"/>
        <w:tab w:val="left" w:pos="2880" w:leader="none"/>
      </w:tabs>
      <w:ind w:hanging="216" w:start="2880" w:end="0"/>
    </w:pPr>
    <w:rPr/>
  </w:style>
  <w:style w:type="paragraph" w:styleId="FWExhibitL8">
    <w:name w:val="FWExhibit_L8"/>
    <w:basedOn w:val="FWExhibitL7"/>
    <w:qFormat/>
    <w:pPr>
      <w:numPr>
        <w:ilvl w:val="0"/>
        <w:numId w:val="2"/>
      </w:numPr>
      <w:tabs>
        <w:tab w:val="clear" w:pos="2880"/>
        <w:tab w:val="left" w:pos="643" w:leader="none"/>
        <w:tab w:val="left" w:pos="3600" w:leader="none"/>
      </w:tabs>
      <w:ind w:hanging="720" w:start="3600" w:end="0"/>
    </w:pPr>
    <w:rPr/>
  </w:style>
  <w:style w:type="paragraph" w:styleId="FWExhibitL9">
    <w:name w:val="FWExhibit_L9"/>
    <w:basedOn w:val="FWExhibitL8"/>
    <w:qFormat/>
    <w:pPr>
      <w:numPr>
        <w:ilvl w:val="0"/>
        <w:numId w:val="2"/>
      </w:numPr>
      <w:tabs>
        <w:tab w:val="clear" w:pos="3600"/>
        <w:tab w:val="left" w:pos="643" w:leader="none"/>
        <w:tab w:val="left" w:pos="4320" w:leader="none"/>
      </w:tabs>
      <w:ind w:hanging="360" w:start="4320" w:end="0"/>
    </w:pPr>
    <w:rPr/>
  </w:style>
  <w:style w:type="paragraph" w:styleId="AMBodyCont5">
    <w:name w:val="AMBody Cont 5"/>
    <w:basedOn w:val="Normal"/>
    <w:qFormat/>
    <w:pPr>
      <w:spacing w:before="0" w:after="240"/>
      <w:ind w:hanging="0" w:start="2837" w:end="0"/>
      <w:jc w:val="both"/>
    </w:pPr>
    <w:rPr>
      <w:sz w:val="24"/>
      <w:szCs w:val="24"/>
      <w:lang w:val="nl-NL"/>
    </w:rPr>
  </w:style>
  <w:style w:type="paragraph" w:styleId="CommentText">
    <w:name w:val="Comment Text"/>
    <w:basedOn w:val="Normal"/>
    <w:qFormat/>
    <w:pPr/>
    <w:rPr>
      <w:sz w:val="20"/>
      <w:szCs w:val="20"/>
    </w:rPr>
  </w:style>
  <w:style w:type="paragraph" w:styleId="Onderwerpvanopmerking1">
    <w:name w:val="Onderwerp van opmerking1"/>
    <w:basedOn w:val="CommentText"/>
    <w:next w:val="CommentText"/>
    <w:qFormat/>
    <w:pPr/>
    <w:rPr>
      <w:b/>
      <w:bCs/>
    </w:rPr>
  </w:style>
  <w:style w:type="paragraph" w:styleId="Ballontekst1">
    <w:name w:val="Ballontekst1"/>
    <w:basedOn w:val="Normal"/>
    <w:qFormat/>
    <w:pPr/>
    <w:rPr>
      <w:rFonts w:ascii="Tahoma" w:hAnsi="Tahoma" w:cs="Tahoma"/>
      <w:sz w:val="16"/>
      <w:szCs w:val="16"/>
    </w:rPr>
  </w:style>
  <w:style w:type="paragraph" w:styleId="DeltaViewTableHeading">
    <w:name w:val="DeltaView Table Heading"/>
    <w:basedOn w:val="Normal"/>
    <w:qFormat/>
    <w:pPr>
      <w:spacing w:before="0" w:after="120"/>
    </w:pPr>
    <w:rPr>
      <w:rFonts w:ascii="Arial" w:hAnsi="Arial" w:cs="Arial"/>
      <w:b/>
      <w:bCs/>
      <w:sz w:val="24"/>
      <w:szCs w:val="24"/>
      <w:lang w:val="en-US"/>
    </w:rPr>
  </w:style>
  <w:style w:type="paragraph" w:styleId="DeltaViewTableBody">
    <w:name w:val="DeltaView Table Body"/>
    <w:basedOn w:val="Normal"/>
    <w:qFormat/>
    <w:pPr/>
    <w:rPr>
      <w:rFonts w:ascii="Arial" w:hAnsi="Arial" w:cs="Arial"/>
      <w:sz w:val="24"/>
      <w:szCs w:val="24"/>
      <w:lang w:val="en-US"/>
    </w:rPr>
  </w:style>
  <w:style w:type="paragraph" w:styleId="DeltaViewAnnounce">
    <w:name w:val="DeltaView Announce"/>
    <w:qFormat/>
    <w:pPr>
      <w:widowControl/>
      <w:autoSpaceDE w:val="false"/>
      <w:bidi w:val="0"/>
      <w:spacing w:before="100" w:after="100"/>
    </w:pPr>
    <w:rPr>
      <w:rFonts w:ascii="Arial" w:hAnsi="Arial" w:eastAsia="MS Mincho;Arial Unicode MS" w:cs="Arial"/>
      <w:color w:val="auto"/>
      <w:sz w:val="24"/>
      <w:szCs w:val="24"/>
      <w:lang w:val="en-GB" w:eastAsia="zh-CN" w:bidi="ar-SA"/>
    </w:rPr>
  </w:style>
  <w:style w:type="paragraph" w:styleId="DocumentMap">
    <w:name w:val="Document Map"/>
    <w:basedOn w:val="Normal"/>
    <w:qFormat/>
    <w:pPr>
      <w:shd w:fill="000080" w:val="clear"/>
    </w:pPr>
    <w:rPr>
      <w:rFonts w:ascii="Tahoma" w:hAnsi="Tahoma" w:cs="Tahoma"/>
      <w:sz w:val="24"/>
      <w:szCs w:val="24"/>
      <w:lang w:val="en-US"/>
    </w:rPr>
  </w:style>
  <w:style w:type="paragraph" w:styleId="BalloonText">
    <w:name w:val="Balloon Text"/>
    <w:basedOn w:val="Normal"/>
    <w:qFormat/>
    <w:pPr/>
    <w:rPr>
      <w:rFonts w:ascii="Tahoma" w:hAnsi="Tahoma" w:cs="Tahoma"/>
      <w:sz w:val="16"/>
      <w:szCs w:val="16"/>
    </w:rPr>
  </w:style>
  <w:style w:type="paragraph" w:styleId="NormalWeb">
    <w:name w:val="Normal (Web)"/>
    <w:basedOn w:val="Normal"/>
    <w:qFormat/>
    <w:pPr>
      <w:autoSpaceDE w:val="true"/>
      <w:spacing w:before="100" w:after="100"/>
    </w:pPr>
    <w:rPr>
      <w:rFonts w:eastAsia="Times New Roman"/>
      <w:sz w:val="24"/>
      <w:szCs w:val="24"/>
      <w:lang w:val="nl-BE"/>
    </w:rPr>
  </w:style>
  <w:style w:type="paragraph" w:styleId="CommentSubject">
    <w:name w:val="Comment Subject"/>
    <w:basedOn w:val="CommentText"/>
    <w:next w:val="CommentText"/>
    <w:qFormat/>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5</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2006-12-13T15:45:00Z</dcterms:created>
  <dc:creator>SEELTM</dc:creator>
  <dc:description> </dc:description>
  <cp:keywords/>
  <dc:language>en-US</dc:language>
  <cp:lastModifiedBy>Stuart Johnson</cp:lastModifiedBy>
  <cp:lastPrinted>2006-05-18T12:06:00Z</cp:lastPrinted>
  <dcterms:modified xsi:type="dcterms:W3CDTF">2006-12-13T15:50:00Z</dcterms:modified>
  <cp:revision>5</cp:revision>
  <dc:subject>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1376595614</vt:r8>
  </property>
  <property fmtid="{D5CDD505-2E9C-101B-9397-08002B2CF9AE}" pid="3" name="_AuthorEmail">
    <vt:lpwstr>ilse.persoons@ing.be</vt:lpwstr>
  </property>
  <property fmtid="{D5CDD505-2E9C-101B-9397-08002B2CF9AE}" pid="4" name="_AuthorEmailDisplayName">
    <vt:lpwstr>Persoons, I. (Ilse)</vt:lpwstr>
  </property>
  <property fmtid="{D5CDD505-2E9C-101B-9397-08002B2CF9AE}" pid="5" name="_EmailSubject">
    <vt:lpwstr>exhibit 34</vt:lpwstr>
  </property>
  <property fmtid="{D5CDD505-2E9C-101B-9397-08002B2CF9AE}" pid="6" name="_ReviewingToolsShownOnce">
    <vt:lpwstr/>
  </property>
  <property fmtid="{D5CDD505-2E9C-101B-9397-08002B2CF9AE}" pid="7" name="authCorresp">
    <vt:lpwstr>Mark Parsons</vt:lpwstr>
  </property>
  <property fmtid="{D5CDD505-2E9C-101B-9397-08002B2CF9AE}" pid="8" name="authEmail">
    <vt:lpwstr>mark.parsons@freshfields.com</vt:lpwstr>
  </property>
  <property fmtid="{D5CDD505-2E9C-101B-9397-08002B2CF9AE}" pid="9" name="authExtension">
    <vt:lpwstr>4651</vt:lpwstr>
  </property>
  <property fmtid="{D5CDD505-2E9C-101B-9397-08002B2CF9AE}" pid="10" name="authFax">
    <vt:lpwstr>44 20 7108 4651</vt:lpwstr>
  </property>
  <property fmtid="{D5CDD505-2E9C-101B-9397-08002B2CF9AE}" pid="11" name="authId">
    <vt:lpwstr>MXPARSONS</vt:lpwstr>
  </property>
  <property fmtid="{D5CDD505-2E9C-101B-9397-08002B2CF9AE}" pid="12" name="authInitials">
    <vt:lpwstr>MP</vt:lpwstr>
  </property>
  <property fmtid="{D5CDD505-2E9C-101B-9397-08002B2CF9AE}" pid="13" name="authLocation">
    <vt:lpwstr>London</vt:lpwstr>
  </property>
  <property fmtid="{D5CDD505-2E9C-101B-9397-08002B2CF9AE}" pid="14" name="authName">
    <vt:lpwstr>Parsons, Mark</vt:lpwstr>
  </property>
  <property fmtid="{D5CDD505-2E9C-101B-9397-08002B2CF9AE}" pid="15" name="authPhone">
    <vt:lpwstr>44 20 7716 4651</vt:lpwstr>
  </property>
  <property fmtid="{D5CDD505-2E9C-101B-9397-08002B2CF9AE}" pid="16" name="cpClientMatter">
    <vt:lpwstr>PERSONAL-SEELTM</vt:lpwstr>
  </property>
  <property fmtid="{D5CDD505-2E9C-101B-9397-08002B2CF9AE}" pid="17" name="cpCombinedRef">
    <vt:lpwstr>PERSONAL-SEELTM AMIP:48293.1</vt:lpwstr>
  </property>
  <property fmtid="{D5CDD505-2E9C-101B-9397-08002B2CF9AE}" pid="18" name="cpDate">
    <vt:lpwstr>16 March 2006</vt:lpwstr>
  </property>
  <property fmtid="{D5CDD505-2E9C-101B-9397-08002B2CF9AE}" pid="19" name="cpDocRef">
    <vt:lpwstr>AMIP:48293.1</vt:lpwstr>
  </property>
  <property fmtid="{D5CDD505-2E9C-101B-9397-08002B2CF9AE}" pid="20" name="docClass">
    <vt:lpwstr>-NONE-</vt:lpwstr>
  </property>
  <property fmtid="{D5CDD505-2E9C-101B-9397-08002B2CF9AE}" pid="21" name="docCliMat">
    <vt:lpwstr>104955-0076</vt:lpwstr>
  </property>
  <property fmtid="{D5CDD505-2E9C-101B-9397-08002B2CF9AE}" pid="22" name="docClient">
    <vt:lpwstr>104955</vt:lpwstr>
  </property>
  <property fmtid="{D5CDD505-2E9C-101B-9397-08002B2CF9AE}" pid="23" name="docDesc">
    <vt:lpwstr>ING/SWS - Benchmarking (Exhibit 34)</vt:lpwstr>
  </property>
  <property fmtid="{D5CDD505-2E9C-101B-9397-08002B2CF9AE}" pid="24" name="docGlobPracGroup">
    <vt:lpwstr/>
  </property>
  <property fmtid="{D5CDD505-2E9C-101B-9397-08002B2CF9AE}" pid="25" name="docGlobSectGroup">
    <vt:lpwstr/>
  </property>
  <property fmtid="{D5CDD505-2E9C-101B-9397-08002B2CF9AE}" pid="26" name="docId">
    <vt:lpwstr>LC1475667</vt:lpwstr>
  </property>
  <property fmtid="{D5CDD505-2E9C-101B-9397-08002B2CF9AE}" pid="27" name="docIdVer">
    <vt:lpwstr>LC1475667/3</vt:lpwstr>
  </property>
  <property fmtid="{D5CDD505-2E9C-101B-9397-08002B2CF9AE}" pid="28" name="docLanguage">
    <vt:lpwstr>EN(UK)</vt:lpwstr>
  </property>
  <property fmtid="{D5CDD505-2E9C-101B-9397-08002B2CF9AE}" pid="29" name="docMatter">
    <vt:lpwstr>0076</vt:lpwstr>
  </property>
  <property fmtid="{D5CDD505-2E9C-101B-9397-08002B2CF9AE}" pid="30" name="docOrganisation">
    <vt:lpwstr/>
  </property>
  <property fmtid="{D5CDD505-2E9C-101B-9397-08002B2CF9AE}" pid="31" name="docSubClass">
    <vt:lpwstr/>
  </property>
  <property fmtid="{D5CDD505-2E9C-101B-9397-08002B2CF9AE}" pid="32" name="docVersion">
    <vt:lpwstr>3</vt:lpwstr>
  </property>
  <property fmtid="{D5CDD505-2E9C-101B-9397-08002B2CF9AE}" pid="33" name="operCorresp">
    <vt:lpwstr>Mark Parsons</vt:lpwstr>
  </property>
  <property fmtid="{D5CDD505-2E9C-101B-9397-08002B2CF9AE}" pid="34" name="operEmail">
    <vt:lpwstr>mark.parsons@freshfields.com</vt:lpwstr>
  </property>
  <property fmtid="{D5CDD505-2E9C-101B-9397-08002B2CF9AE}" pid="35" name="operExtension">
    <vt:lpwstr>4651</vt:lpwstr>
  </property>
  <property fmtid="{D5CDD505-2E9C-101B-9397-08002B2CF9AE}" pid="36" name="operFax">
    <vt:lpwstr>44 20 7108 4651</vt:lpwstr>
  </property>
  <property fmtid="{D5CDD505-2E9C-101B-9397-08002B2CF9AE}" pid="37" name="operId">
    <vt:lpwstr>MXPARSONS</vt:lpwstr>
  </property>
  <property fmtid="{D5CDD505-2E9C-101B-9397-08002B2CF9AE}" pid="38" name="operInitials">
    <vt:lpwstr>MP</vt:lpwstr>
  </property>
  <property fmtid="{D5CDD505-2E9C-101B-9397-08002B2CF9AE}" pid="39" name="operLocation">
    <vt:lpwstr>London</vt:lpwstr>
  </property>
  <property fmtid="{D5CDD505-2E9C-101B-9397-08002B2CF9AE}" pid="40" name="operName">
    <vt:lpwstr>Parsons, Mark</vt:lpwstr>
  </property>
  <property fmtid="{D5CDD505-2E9C-101B-9397-08002B2CF9AE}" pid="41" name="operPhone">
    <vt:lpwstr>44 20 7716 4651</vt:lpwstr>
  </property>
</Properties>
</file>