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FWAnnexL1"/>
        <w:numPr>
          <w:ilvl w:val="0"/>
          <w:numId w:val="0"/>
        </w:numPr>
        <w:ind w:hanging="0" w:start="0"/>
        <w:rPr>
          <w:lang w:val="en-GB"/>
        </w:rPr>
      </w:pPr>
      <w:r>
        <w:rPr>
          <w:lang w:val="en-GB"/>
        </w:rPr>
      </w:r>
    </w:p>
    <w:p>
      <w:pPr>
        <w:pStyle w:val="Normal"/>
        <w:numPr>
          <w:ilvl w:val="0"/>
          <w:numId w:val="0"/>
        </w:numPr>
        <w:jc w:val="center"/>
        <w:outlineLvl w:val="0"/>
        <w:rPr>
          <w:rFonts w:ascii="Arial" w:hAnsi="Arial" w:cs="Arial"/>
          <w:b/>
          <w:bCs/>
          <w:lang w:val="en-GB"/>
        </w:rPr>
      </w:pPr>
      <w:r>
        <w:rPr>
          <w:rFonts w:cs="Arial" w:ascii="Arial" w:hAnsi="Arial"/>
          <w:b/>
          <w:bCs/>
          <w:lang w:val="en-GB"/>
        </w:rPr>
      </w:r>
    </w:p>
    <w:p>
      <w:pPr>
        <w:pStyle w:val="Normal"/>
        <w:numPr>
          <w:ilvl w:val="0"/>
          <w:numId w:val="0"/>
        </w:numPr>
        <w:jc w:val="center"/>
        <w:outlineLvl w:val="0"/>
        <w:rPr>
          <w:rFonts w:ascii="Arial" w:hAnsi="Arial" w:cs="Arial"/>
          <w:b/>
          <w:bCs/>
        </w:rPr>
      </w:pPr>
      <w:r>
        <w:rPr>
          <w:rFonts w:cs="Arial" w:ascii="Arial" w:hAnsi="Arial"/>
          <w:b/>
          <w:bCs/>
        </w:rPr>
      </w:r>
    </w:p>
    <w:p>
      <w:pPr>
        <w:pStyle w:val="Normal"/>
        <w:numPr>
          <w:ilvl w:val="0"/>
          <w:numId w:val="0"/>
        </w:numPr>
        <w:jc w:val="center"/>
        <w:outlineLvl w:val="0"/>
        <w:rPr>
          <w:rFonts w:ascii="Arial" w:hAnsi="Arial" w:cs="Arial"/>
          <w:b/>
          <w:bCs/>
        </w:rPr>
      </w:pPr>
      <w:r>
        <w:rPr>
          <w:rFonts w:cs="Arial" w:ascii="Arial" w:hAnsi="Arial"/>
          <w:b/>
          <w:bCs/>
        </w:rPr>
      </w:r>
    </w:p>
    <w:p>
      <w:pPr>
        <w:pStyle w:val="Normal"/>
        <w:numPr>
          <w:ilvl w:val="0"/>
          <w:numId w:val="0"/>
        </w:numPr>
        <w:jc w:val="center"/>
        <w:outlineLvl w:val="0"/>
        <w:rPr>
          <w:rFonts w:ascii="Arial" w:hAnsi="Arial" w:cs="Arial"/>
          <w:b/>
          <w:bCs/>
        </w:rPr>
      </w:pPr>
      <w:r>
        <w:rPr>
          <w:rFonts w:cs="Arial" w:ascii="Arial" w:hAnsi="Arial"/>
          <w:b/>
          <w:bCs/>
        </w:rPr>
      </w:r>
    </w:p>
    <w:p>
      <w:pPr>
        <w:pStyle w:val="Normal"/>
        <w:numPr>
          <w:ilvl w:val="0"/>
          <w:numId w:val="0"/>
        </w:numPr>
        <w:jc w:val="center"/>
        <w:outlineLvl w:val="0"/>
        <w:rPr>
          <w:rFonts w:ascii="Arial" w:hAnsi="Arial" w:cs="Arial"/>
          <w:b/>
          <w:bCs/>
        </w:rPr>
      </w:pPr>
      <w:r>
        <w:rPr>
          <w:rFonts w:cs="Arial" w:ascii="Arial" w:hAnsi="Arial"/>
          <w:b/>
          <w:bCs/>
        </w:rPr>
      </w:r>
    </w:p>
    <w:p>
      <w:pPr>
        <w:pStyle w:val="Normal"/>
        <w:numPr>
          <w:ilvl w:val="0"/>
          <w:numId w:val="0"/>
        </w:numPr>
        <w:jc w:val="center"/>
        <w:outlineLvl w:val="0"/>
        <w:rPr>
          <w:rFonts w:ascii="Arial" w:hAnsi="Arial" w:cs="Arial"/>
          <w:b/>
          <w:bCs/>
        </w:rPr>
      </w:pPr>
      <w:r>
        <w:rPr>
          <w:rFonts w:cs="Arial" w:ascii="Arial" w:hAnsi="Arial"/>
          <w:b/>
          <w:bCs/>
        </w:rPr>
      </w:r>
    </w:p>
    <w:p>
      <w:pPr>
        <w:pStyle w:val="Normal"/>
        <w:numPr>
          <w:ilvl w:val="0"/>
          <w:numId w:val="0"/>
        </w:numPr>
        <w:jc w:val="center"/>
        <w:outlineLvl w:val="0"/>
        <w:rPr>
          <w:rFonts w:ascii="Arial" w:hAnsi="Arial" w:cs="Arial"/>
          <w:b/>
          <w:bCs/>
        </w:rPr>
      </w:pPr>
      <w:r>
        <w:rPr>
          <w:rFonts w:cs="Arial" w:ascii="Arial" w:hAnsi="Arial"/>
          <w:b/>
          <w:bCs/>
        </w:rPr>
      </w:r>
    </w:p>
    <w:p>
      <w:pPr>
        <w:pStyle w:val="Heading"/>
        <w:rPr>
          <w:lang w:val="en-GB"/>
        </w:rPr>
      </w:pPr>
      <w:r>
        <w:rPr>
          <w:lang w:val="en-GB"/>
        </w:rPr>
        <w:t>EuroBank</w:t>
      </w:r>
    </w:p>
    <w:p>
      <w:pPr>
        <w:pStyle w:val="Heading"/>
        <w:rPr>
          <w:lang w:val="en-GB"/>
        </w:rPr>
      </w:pPr>
      <w:r>
        <w:rPr>
          <w:lang w:val="en-GB"/>
        </w:rPr>
      </w:r>
    </w:p>
    <w:p>
      <w:pPr>
        <w:pStyle w:val="Heading"/>
        <w:rPr>
          <w:lang w:val="en-GB"/>
        </w:rPr>
      </w:pPr>
      <w:r>
        <w:rPr>
          <w:lang w:val="en-GB"/>
        </w:rPr>
        <w:t>exhibit 35</w:t>
      </w:r>
    </w:p>
    <w:p>
      <w:pPr>
        <w:pStyle w:val="Heading"/>
        <w:rPr>
          <w:lang w:val="en-GB"/>
        </w:rPr>
      </w:pPr>
      <w:r>
        <w:rPr>
          <w:lang w:val="en-GB"/>
        </w:rPr>
      </w:r>
    </w:p>
    <w:p>
      <w:pPr>
        <w:pStyle w:val="Heading"/>
        <w:rPr>
          <w:lang w:val="en-GB"/>
        </w:rPr>
      </w:pPr>
      <w:r>
        <w:rPr>
          <w:lang w:val="en-GB"/>
        </w:rPr>
        <w:t>Source Code Escrow Agreement Template</w:t>
      </w:r>
    </w:p>
    <w:p>
      <w:pPr>
        <w:pStyle w:val="Normal"/>
        <w:numPr>
          <w:ilvl w:val="0"/>
          <w:numId w:val="0"/>
        </w:numPr>
        <w:jc w:val="center"/>
        <w:outlineLvl w:val="0"/>
        <w:rPr>
          <w:rFonts w:ascii="Arial" w:hAnsi="Arial" w:cs="Arial"/>
          <w:b/>
          <w:bCs/>
          <w:lang w:val="en-GB"/>
        </w:rPr>
      </w:pPr>
      <w:r>
        <w:rPr>
          <w:rFonts w:cs="Arial" w:ascii="Arial" w:hAnsi="Arial"/>
          <w:b/>
          <w:bCs/>
          <w:lang w:val="en-GB"/>
        </w:rPr>
      </w:r>
    </w:p>
    <w:p>
      <w:pPr>
        <w:sectPr>
          <w:headerReference w:type="default" r:id="rId2"/>
          <w:footerReference w:type="default" r:id="rId3"/>
          <w:type w:val="nextPage"/>
          <w:pgSz w:w="11906" w:h="16838"/>
          <w:pgMar w:left="1797" w:right="1797" w:gutter="0" w:header="720" w:top="1440" w:footer="720" w:bottom="1797"/>
          <w:pgNumType w:fmt="decimal"/>
          <w:formProt w:val="false"/>
          <w:textDirection w:val="lrTb"/>
          <w:docGrid w:type="default" w:linePitch="360" w:charSpace="0"/>
        </w:sectPr>
        <w:pStyle w:val="Normal"/>
        <w:numPr>
          <w:ilvl w:val="0"/>
          <w:numId w:val="0"/>
        </w:numPr>
        <w:jc w:val="center"/>
        <w:outlineLvl w:val="0"/>
        <w:rPr>
          <w:rFonts w:ascii="Arial" w:hAnsi="Arial" w:cs="Arial"/>
          <w:b/>
          <w:bCs/>
        </w:rPr>
      </w:pPr>
      <w:r>
        <w:rPr>
          <w:rFonts w:cs="Arial" w:ascii="Arial" w:hAnsi="Arial"/>
          <w:b/>
          <w:bCs/>
        </w:rPr>
      </w:r>
    </w:p>
    <w:p>
      <w:pPr>
        <w:pStyle w:val="Normal"/>
        <w:numPr>
          <w:ilvl w:val="0"/>
          <w:numId w:val="0"/>
        </w:numPr>
        <w:jc w:val="center"/>
        <w:outlineLvl w:val="0"/>
        <w:rPr>
          <w:rFonts w:ascii="Arial" w:hAnsi="Arial" w:cs="Arial"/>
          <w:b/>
          <w:bCs/>
          <w:sz w:val="18"/>
          <w:szCs w:val="18"/>
        </w:rPr>
      </w:pPr>
      <w:r>
        <w:rPr>
          <w:rFonts w:cs="Arial" w:ascii="Arial" w:hAnsi="Arial"/>
          <w:b/>
          <w:bCs/>
          <w:sz w:val="18"/>
          <w:szCs w:val="18"/>
        </w:rPr>
      </w:r>
    </w:p>
    <w:p>
      <w:pPr>
        <w:pStyle w:val="Normal"/>
        <w:numPr>
          <w:ilvl w:val="0"/>
          <w:numId w:val="0"/>
        </w:numPr>
        <w:jc w:val="center"/>
        <w:outlineLvl w:val="0"/>
        <w:rPr>
          <w:b/>
          <w:bCs/>
          <w:sz w:val="18"/>
          <w:szCs w:val="18"/>
        </w:rPr>
      </w:pPr>
      <w:r>
        <w:rPr>
          <w:b/>
          <w:bCs/>
          <w:sz w:val="18"/>
          <w:szCs w:val="18"/>
        </w:rPr>
        <w:t>Table of Contents</w:t>
      </w:r>
    </w:p>
    <w:p>
      <w:pPr>
        <w:pStyle w:val="Normal"/>
        <w:numPr>
          <w:ilvl w:val="0"/>
          <w:numId w:val="0"/>
        </w:numPr>
        <w:jc w:val="center"/>
        <w:outlineLvl w:val="0"/>
        <w:rPr>
          <w:b/>
          <w:bCs/>
          <w:sz w:val="18"/>
          <w:szCs w:val="18"/>
        </w:rPr>
      </w:pPr>
      <w:r>
        <w:rPr>
          <w:b/>
          <w:bCs/>
          <w:sz w:val="18"/>
          <w:szCs w:val="18"/>
        </w:rPr>
      </w:r>
    </w:p>
    <w:sdt>
      <w:sdtPr>
        <w:docPartObj>
          <w:docPartGallery w:val="Table of Contents"/>
          <w:docPartUnique w:val="true"/>
        </w:docPartObj>
      </w:sdtPr>
      <w:sdtContent>
        <w:p>
          <w:pPr>
            <w:pStyle w:val="TOC1"/>
            <w:tabs>
              <w:tab w:val="left" w:pos="1440" w:leader="none"/>
              <w:tab w:val="right" w:pos="8309" w:leader="dot"/>
            </w:tabs>
            <w:rPr>
              <w:caps w:val="false"/>
              <w:smallCaps w:val="false"/>
              <w:sz w:val="18"/>
              <w:szCs w:val="18"/>
              <w:lang w:val="en-US" w:eastAsia="en-US"/>
            </w:rPr>
          </w:pPr>
          <w:r>
            <w:fldChar w:fldCharType="begin"/>
          </w:r>
          <w:r>
            <w:rPr>
              <w:sz w:val="18"/>
              <w:szCs w:val="18"/>
              <w:lang w:val="en-US" w:eastAsia="en-US"/>
            </w:rPr>
            <w:instrText xml:space="preserve"> TOC \t "Heading 3,1" </w:instrText>
          </w:r>
          <w:r>
            <w:rPr>
              <w:sz w:val="18"/>
              <w:szCs w:val="18"/>
              <w:lang w:val="en-US" w:eastAsia="en-US"/>
            </w:rPr>
            <w:fldChar w:fldCharType="separate"/>
          </w:r>
          <w:r>
            <w:rPr>
              <w:sz w:val="18"/>
              <w:szCs w:val="18"/>
              <w:lang w:val="en-US" w:eastAsia="en-US"/>
            </w:rPr>
            <w:t>Art. 1.</w:t>
          </w:r>
          <w:r>
            <w:rPr>
              <w:caps w:val="false"/>
              <w:smallCaps w:val="false"/>
              <w:sz w:val="18"/>
              <w:szCs w:val="18"/>
              <w:lang w:val="en-US" w:eastAsia="en-US"/>
            </w:rPr>
            <w:tab/>
          </w:r>
          <w:r>
            <w:rPr>
              <w:sz w:val="18"/>
              <w:szCs w:val="18"/>
              <w:lang w:val="en-US" w:eastAsia="en-US"/>
            </w:rPr>
            <w:t xml:space="preserve"> Definitions</w:t>
            <w:tab/>
          </w:r>
          <w:hyperlink w:anchor="__RefHeading___Toc153674991">
            <w:r>
              <w:rPr>
                <w:rStyle w:val="IndexLink"/>
                <w:sz w:val="18"/>
                <w:szCs w:val="18"/>
                <w:lang w:val="en-US" w:eastAsia="en-US"/>
              </w:rPr>
              <w:t>1</w:t>
            </w:r>
          </w:hyperlink>
        </w:p>
        <w:p>
          <w:pPr>
            <w:pStyle w:val="TOC1"/>
            <w:tabs>
              <w:tab w:val="left" w:pos="1440" w:leader="none"/>
              <w:tab w:val="right" w:pos="8309" w:leader="dot"/>
            </w:tabs>
            <w:rPr>
              <w:caps w:val="false"/>
              <w:smallCaps w:val="false"/>
              <w:sz w:val="18"/>
              <w:szCs w:val="18"/>
              <w:lang w:val="en-US" w:eastAsia="en-US"/>
            </w:rPr>
          </w:pPr>
          <w:r>
            <w:rPr>
              <w:sz w:val="18"/>
              <w:szCs w:val="18"/>
              <w:lang w:val="en-US" w:eastAsia="en-US"/>
            </w:rPr>
            <w:t>Art. 2.</w:t>
          </w:r>
          <w:r>
            <w:rPr>
              <w:caps w:val="false"/>
              <w:smallCaps w:val="false"/>
              <w:sz w:val="18"/>
              <w:szCs w:val="18"/>
              <w:lang w:val="en-US" w:eastAsia="en-US"/>
            </w:rPr>
            <w:tab/>
          </w:r>
          <w:r>
            <w:rPr>
              <w:sz w:val="18"/>
              <w:szCs w:val="18"/>
              <w:lang w:val="en-US" w:eastAsia="en-US"/>
            </w:rPr>
            <w:t xml:space="preserve"> Verification Examination of the Deposited Material</w:t>
            <w:tab/>
          </w:r>
          <w:hyperlink w:anchor="__RefHeading___Toc153674992">
            <w:r>
              <w:rPr>
                <w:rStyle w:val="IndexLink"/>
                <w:sz w:val="18"/>
                <w:szCs w:val="18"/>
                <w:lang w:val="en-US" w:eastAsia="en-US"/>
              </w:rPr>
              <w:t>3</w:t>
            </w:r>
          </w:hyperlink>
        </w:p>
        <w:p>
          <w:pPr>
            <w:pStyle w:val="TOC1"/>
            <w:tabs>
              <w:tab w:val="left" w:pos="1440" w:leader="none"/>
              <w:tab w:val="right" w:pos="8309" w:leader="dot"/>
            </w:tabs>
            <w:rPr>
              <w:caps w:val="false"/>
              <w:smallCaps w:val="false"/>
              <w:sz w:val="18"/>
              <w:szCs w:val="18"/>
              <w:lang w:val="en-US" w:eastAsia="en-US"/>
            </w:rPr>
          </w:pPr>
          <w:r>
            <w:rPr>
              <w:sz w:val="18"/>
              <w:szCs w:val="18"/>
              <w:lang w:val="en-US" w:eastAsia="en-US"/>
            </w:rPr>
            <w:t>Art. 3.</w:t>
          </w:r>
          <w:r>
            <w:rPr>
              <w:caps w:val="false"/>
              <w:smallCaps w:val="false"/>
              <w:sz w:val="18"/>
              <w:szCs w:val="18"/>
              <w:lang w:val="en-US" w:eastAsia="en-US"/>
            </w:rPr>
            <w:tab/>
          </w:r>
          <w:r>
            <w:rPr>
              <w:sz w:val="18"/>
              <w:szCs w:val="18"/>
              <w:lang w:val="en-US" w:eastAsia="en-US"/>
            </w:rPr>
            <w:t xml:space="preserve"> Deposit</w:t>
            <w:tab/>
          </w:r>
          <w:hyperlink w:anchor="__RefHeading___Toc153674993">
            <w:r>
              <w:rPr>
                <w:rStyle w:val="IndexLink"/>
                <w:sz w:val="18"/>
                <w:szCs w:val="18"/>
                <w:lang w:val="en-US" w:eastAsia="en-US"/>
              </w:rPr>
              <w:t>4</w:t>
            </w:r>
          </w:hyperlink>
        </w:p>
        <w:p>
          <w:pPr>
            <w:pStyle w:val="TOC1"/>
            <w:tabs>
              <w:tab w:val="left" w:pos="1440" w:leader="none"/>
              <w:tab w:val="right" w:pos="8309" w:leader="dot"/>
            </w:tabs>
            <w:rPr>
              <w:caps w:val="false"/>
              <w:smallCaps w:val="false"/>
              <w:sz w:val="18"/>
              <w:szCs w:val="18"/>
              <w:lang w:val="en-US" w:eastAsia="en-US"/>
            </w:rPr>
          </w:pPr>
          <w:r>
            <w:rPr>
              <w:sz w:val="18"/>
              <w:szCs w:val="18"/>
              <w:lang w:val="en-US" w:eastAsia="en-US"/>
            </w:rPr>
            <w:t>Art. 4.</w:t>
          </w:r>
          <w:r>
            <w:rPr>
              <w:caps w:val="false"/>
              <w:smallCaps w:val="false"/>
              <w:sz w:val="18"/>
              <w:szCs w:val="18"/>
              <w:lang w:val="en-US" w:eastAsia="en-US"/>
            </w:rPr>
            <w:tab/>
          </w:r>
          <w:r>
            <w:rPr>
              <w:sz w:val="18"/>
              <w:szCs w:val="18"/>
              <w:lang w:val="en-US" w:eastAsia="en-US"/>
            </w:rPr>
            <w:t xml:space="preserve"> Alterations to the Deposit</w:t>
            <w:tab/>
          </w:r>
          <w:hyperlink w:anchor="__RefHeading___Toc153674994">
            <w:r>
              <w:rPr>
                <w:rStyle w:val="IndexLink"/>
                <w:sz w:val="18"/>
                <w:szCs w:val="18"/>
                <w:lang w:val="en-US" w:eastAsia="en-US"/>
              </w:rPr>
              <w:t>5</w:t>
            </w:r>
          </w:hyperlink>
        </w:p>
        <w:p>
          <w:pPr>
            <w:pStyle w:val="TOC1"/>
            <w:tabs>
              <w:tab w:val="left" w:pos="1440" w:leader="none"/>
              <w:tab w:val="right" w:pos="8309" w:leader="dot"/>
            </w:tabs>
            <w:rPr>
              <w:caps w:val="false"/>
              <w:smallCaps w:val="false"/>
              <w:sz w:val="18"/>
              <w:szCs w:val="18"/>
              <w:lang w:val="en-US" w:eastAsia="en-US"/>
            </w:rPr>
          </w:pPr>
          <w:r>
            <w:rPr>
              <w:sz w:val="18"/>
              <w:szCs w:val="18"/>
              <w:lang w:val="en-US" w:eastAsia="en-US"/>
            </w:rPr>
            <w:t>Art. 5.</w:t>
          </w:r>
          <w:r>
            <w:rPr>
              <w:caps w:val="false"/>
              <w:smallCaps w:val="false"/>
              <w:sz w:val="18"/>
              <w:szCs w:val="18"/>
              <w:lang w:val="en-US" w:eastAsia="en-US"/>
            </w:rPr>
            <w:tab/>
          </w:r>
          <w:r>
            <w:rPr>
              <w:sz w:val="18"/>
              <w:szCs w:val="18"/>
              <w:lang w:val="en-US" w:eastAsia="en-US"/>
            </w:rPr>
            <w:t xml:space="preserve"> Deposit Management</w:t>
            <w:tab/>
          </w:r>
          <w:hyperlink w:anchor="__RefHeading___Toc153674995">
            <w:r>
              <w:rPr>
                <w:rStyle w:val="IndexLink"/>
                <w:sz w:val="18"/>
                <w:szCs w:val="18"/>
                <w:lang w:val="en-US" w:eastAsia="en-US"/>
              </w:rPr>
              <w:t>6</w:t>
            </w:r>
          </w:hyperlink>
        </w:p>
        <w:p>
          <w:pPr>
            <w:pStyle w:val="TOC1"/>
            <w:tabs>
              <w:tab w:val="left" w:pos="1440" w:leader="none"/>
              <w:tab w:val="right" w:pos="8309" w:leader="dot"/>
            </w:tabs>
            <w:rPr>
              <w:caps w:val="false"/>
              <w:smallCaps w:val="false"/>
              <w:sz w:val="18"/>
              <w:szCs w:val="18"/>
              <w:lang w:val="en-US" w:eastAsia="en-US"/>
            </w:rPr>
          </w:pPr>
          <w:r>
            <w:rPr>
              <w:sz w:val="18"/>
              <w:szCs w:val="18"/>
              <w:lang w:val="en-US" w:eastAsia="en-US"/>
            </w:rPr>
            <w:t>Art. 6.</w:t>
          </w:r>
          <w:r>
            <w:rPr>
              <w:caps w:val="false"/>
              <w:smallCaps w:val="false"/>
              <w:sz w:val="18"/>
              <w:szCs w:val="18"/>
              <w:lang w:val="en-US" w:eastAsia="en-US"/>
            </w:rPr>
            <w:tab/>
          </w:r>
          <w:r>
            <w:rPr>
              <w:sz w:val="18"/>
              <w:szCs w:val="18"/>
              <w:lang w:val="en-US" w:eastAsia="en-US"/>
            </w:rPr>
            <w:t xml:space="preserve"> Deposit back-up</w:t>
            <w:tab/>
          </w:r>
          <w:hyperlink w:anchor="__RefHeading___Toc153674996">
            <w:r>
              <w:rPr>
                <w:rStyle w:val="IndexLink"/>
                <w:sz w:val="18"/>
                <w:szCs w:val="18"/>
                <w:lang w:val="en-US" w:eastAsia="en-US"/>
              </w:rPr>
              <w:t>6</w:t>
            </w:r>
          </w:hyperlink>
        </w:p>
        <w:p>
          <w:pPr>
            <w:pStyle w:val="TOC1"/>
            <w:tabs>
              <w:tab w:val="left" w:pos="1440" w:leader="none"/>
              <w:tab w:val="right" w:pos="8309" w:leader="dot"/>
            </w:tabs>
            <w:rPr>
              <w:caps w:val="false"/>
              <w:smallCaps w:val="false"/>
              <w:sz w:val="18"/>
              <w:szCs w:val="18"/>
              <w:lang w:val="en-US" w:eastAsia="en-US"/>
            </w:rPr>
          </w:pPr>
          <w:r>
            <w:rPr>
              <w:sz w:val="18"/>
              <w:szCs w:val="18"/>
              <w:lang w:val="en-US" w:eastAsia="en-US"/>
            </w:rPr>
            <w:t>Art. 7.</w:t>
          </w:r>
          <w:r>
            <w:rPr>
              <w:caps w:val="false"/>
              <w:smallCaps w:val="false"/>
              <w:sz w:val="18"/>
              <w:szCs w:val="18"/>
              <w:lang w:val="en-US" w:eastAsia="en-US"/>
            </w:rPr>
            <w:tab/>
          </w:r>
          <w:r>
            <w:rPr>
              <w:sz w:val="18"/>
              <w:szCs w:val="18"/>
              <w:lang w:val="en-US" w:eastAsia="en-US"/>
            </w:rPr>
            <w:t xml:space="preserve"> Release and use</w:t>
            <w:tab/>
          </w:r>
          <w:hyperlink w:anchor="__RefHeading___Toc153674997">
            <w:r>
              <w:rPr>
                <w:rStyle w:val="IndexLink"/>
                <w:sz w:val="18"/>
                <w:szCs w:val="18"/>
                <w:lang w:val="en-US" w:eastAsia="en-US"/>
              </w:rPr>
              <w:t>6</w:t>
            </w:r>
          </w:hyperlink>
        </w:p>
        <w:p>
          <w:pPr>
            <w:pStyle w:val="TOC1"/>
            <w:tabs>
              <w:tab w:val="left" w:pos="1440" w:leader="none"/>
              <w:tab w:val="right" w:pos="8309" w:leader="dot"/>
            </w:tabs>
            <w:rPr>
              <w:caps w:val="false"/>
              <w:smallCaps w:val="false"/>
              <w:sz w:val="18"/>
              <w:szCs w:val="18"/>
              <w:lang w:val="en-US" w:eastAsia="en-US"/>
            </w:rPr>
          </w:pPr>
          <w:r>
            <w:rPr>
              <w:sz w:val="18"/>
              <w:szCs w:val="18"/>
              <w:lang w:val="en-US" w:eastAsia="en-US"/>
            </w:rPr>
            <w:t>Art. 8.</w:t>
          </w:r>
          <w:r>
            <w:rPr>
              <w:caps w:val="false"/>
              <w:smallCaps w:val="false"/>
              <w:sz w:val="18"/>
              <w:szCs w:val="18"/>
              <w:lang w:val="en-US" w:eastAsia="en-US"/>
            </w:rPr>
            <w:tab/>
          </w:r>
          <w:r>
            <w:rPr>
              <w:sz w:val="18"/>
              <w:szCs w:val="18"/>
              <w:lang w:val="en-US" w:eastAsia="en-US"/>
            </w:rPr>
            <w:t xml:space="preserve"> Conditions of release of the Deposited Material to the Beneficiary</w:t>
            <w:tab/>
          </w:r>
          <w:hyperlink w:anchor="__RefHeading___Toc153674998">
            <w:r>
              <w:rPr>
                <w:rStyle w:val="IndexLink"/>
                <w:sz w:val="18"/>
                <w:szCs w:val="18"/>
                <w:lang w:val="en-US" w:eastAsia="en-US"/>
              </w:rPr>
              <w:t>7</w:t>
            </w:r>
          </w:hyperlink>
        </w:p>
        <w:p>
          <w:pPr>
            <w:pStyle w:val="TOC1"/>
            <w:tabs>
              <w:tab w:val="left" w:pos="1440" w:leader="none"/>
              <w:tab w:val="right" w:pos="8309" w:leader="dot"/>
            </w:tabs>
            <w:rPr>
              <w:caps w:val="false"/>
              <w:smallCaps w:val="false"/>
              <w:sz w:val="18"/>
              <w:szCs w:val="18"/>
              <w:lang w:val="en-US" w:eastAsia="en-US"/>
            </w:rPr>
          </w:pPr>
          <w:r>
            <w:rPr>
              <w:sz w:val="18"/>
              <w:szCs w:val="18"/>
              <w:lang w:val="en-US" w:eastAsia="en-US"/>
            </w:rPr>
            <w:t>Art. 9.</w:t>
          </w:r>
          <w:r>
            <w:rPr>
              <w:caps w:val="false"/>
              <w:smallCaps w:val="false"/>
              <w:sz w:val="18"/>
              <w:szCs w:val="18"/>
              <w:lang w:val="en-US" w:eastAsia="en-US"/>
            </w:rPr>
            <w:tab/>
          </w:r>
          <w:r>
            <w:rPr>
              <w:sz w:val="18"/>
              <w:szCs w:val="18"/>
              <w:lang w:val="en-US" w:eastAsia="en-US"/>
            </w:rPr>
            <w:t xml:space="preserve"> Conditions of release of the Deposited Material to the Supplier</w:t>
            <w:tab/>
          </w:r>
          <w:hyperlink w:anchor="__RefHeading___Toc153674999">
            <w:r>
              <w:rPr>
                <w:rStyle w:val="IndexLink"/>
                <w:sz w:val="18"/>
                <w:szCs w:val="18"/>
                <w:lang w:val="en-US" w:eastAsia="en-US"/>
              </w:rPr>
              <w:t>7</w:t>
            </w:r>
          </w:hyperlink>
        </w:p>
        <w:p>
          <w:pPr>
            <w:pStyle w:val="TOC1"/>
            <w:tabs>
              <w:tab w:val="left" w:pos="1440" w:leader="none"/>
              <w:tab w:val="right" w:pos="8309" w:leader="dot"/>
            </w:tabs>
            <w:rPr>
              <w:caps w:val="false"/>
              <w:smallCaps w:val="false"/>
              <w:sz w:val="18"/>
              <w:szCs w:val="18"/>
              <w:lang w:val="en-US" w:eastAsia="en-US"/>
            </w:rPr>
          </w:pPr>
          <w:r>
            <w:rPr>
              <w:sz w:val="18"/>
              <w:szCs w:val="18"/>
              <w:lang w:val="en-US" w:eastAsia="en-US"/>
            </w:rPr>
            <w:t>Art. 10.</w:t>
          </w:r>
          <w:r>
            <w:rPr>
              <w:caps w:val="false"/>
              <w:smallCaps w:val="false"/>
              <w:sz w:val="18"/>
              <w:szCs w:val="18"/>
              <w:lang w:val="en-US" w:eastAsia="en-US"/>
            </w:rPr>
            <w:tab/>
          </w:r>
          <w:r>
            <w:rPr>
              <w:sz w:val="18"/>
              <w:szCs w:val="18"/>
              <w:lang w:val="en-US" w:eastAsia="en-US"/>
            </w:rPr>
            <w:t xml:space="preserve"> Release procedure for Deposited Material</w:t>
            <w:tab/>
          </w:r>
          <w:hyperlink w:anchor="__RefHeading___Toc153675000">
            <w:r>
              <w:rPr>
                <w:rStyle w:val="IndexLink"/>
                <w:sz w:val="18"/>
                <w:szCs w:val="18"/>
                <w:lang w:val="en-US" w:eastAsia="en-US"/>
              </w:rPr>
              <w:t>7</w:t>
            </w:r>
          </w:hyperlink>
        </w:p>
        <w:p>
          <w:pPr>
            <w:pStyle w:val="TOC1"/>
            <w:tabs>
              <w:tab w:val="left" w:pos="1440" w:leader="none"/>
              <w:tab w:val="right" w:pos="8309" w:leader="dot"/>
            </w:tabs>
            <w:rPr>
              <w:caps w:val="false"/>
              <w:smallCaps w:val="false"/>
              <w:sz w:val="18"/>
              <w:szCs w:val="18"/>
              <w:lang w:val="en-US" w:eastAsia="en-US"/>
            </w:rPr>
          </w:pPr>
          <w:r>
            <w:rPr>
              <w:sz w:val="18"/>
              <w:szCs w:val="18"/>
              <w:lang w:val="en-US" w:eastAsia="en-US"/>
            </w:rPr>
            <w:t>Art. 11.</w:t>
          </w:r>
          <w:r>
            <w:rPr>
              <w:caps w:val="false"/>
              <w:smallCaps w:val="false"/>
              <w:sz w:val="18"/>
              <w:szCs w:val="18"/>
              <w:lang w:val="en-US" w:eastAsia="en-US"/>
            </w:rPr>
            <w:tab/>
          </w:r>
          <w:r>
            <w:rPr>
              <w:sz w:val="18"/>
              <w:szCs w:val="18"/>
              <w:lang w:val="en-US" w:eastAsia="en-US"/>
            </w:rPr>
            <w:t xml:space="preserve"> Dispute resolution article 8</w:t>
            <w:tab/>
          </w:r>
          <w:hyperlink w:anchor="__RefHeading___Toc153675001">
            <w:r>
              <w:rPr>
                <w:rStyle w:val="IndexLink"/>
                <w:sz w:val="18"/>
                <w:szCs w:val="18"/>
                <w:lang w:val="en-US" w:eastAsia="en-US"/>
              </w:rPr>
              <w:t>7</w:t>
            </w:r>
          </w:hyperlink>
        </w:p>
        <w:p>
          <w:pPr>
            <w:pStyle w:val="TOC1"/>
            <w:tabs>
              <w:tab w:val="left" w:pos="1440" w:leader="none"/>
              <w:tab w:val="right" w:pos="8309" w:leader="dot"/>
            </w:tabs>
            <w:rPr>
              <w:caps w:val="false"/>
              <w:smallCaps w:val="false"/>
              <w:sz w:val="18"/>
              <w:szCs w:val="18"/>
              <w:lang w:val="en-US" w:eastAsia="en-US"/>
            </w:rPr>
          </w:pPr>
          <w:r>
            <w:rPr>
              <w:sz w:val="18"/>
              <w:szCs w:val="18"/>
              <w:lang w:val="en-US" w:eastAsia="en-US"/>
            </w:rPr>
            <w:t>Art. 12.</w:t>
          </w:r>
          <w:r>
            <w:rPr>
              <w:caps w:val="false"/>
              <w:smallCaps w:val="false"/>
              <w:sz w:val="18"/>
              <w:szCs w:val="18"/>
              <w:lang w:val="en-US" w:eastAsia="en-US"/>
            </w:rPr>
            <w:tab/>
          </w:r>
          <w:r>
            <w:rPr>
              <w:sz w:val="18"/>
              <w:szCs w:val="18"/>
              <w:lang w:val="en-US" w:eastAsia="en-US"/>
            </w:rPr>
            <w:t xml:space="preserve"> Safekeeping of the Deposited Material after release</w:t>
            <w:tab/>
          </w:r>
          <w:hyperlink w:anchor="__RefHeading___Toc153675002">
            <w:r>
              <w:rPr>
                <w:rStyle w:val="IndexLink"/>
                <w:sz w:val="18"/>
                <w:szCs w:val="18"/>
                <w:lang w:val="en-US" w:eastAsia="en-US"/>
              </w:rPr>
              <w:t>8</w:t>
            </w:r>
          </w:hyperlink>
        </w:p>
        <w:p>
          <w:pPr>
            <w:pStyle w:val="TOC1"/>
            <w:tabs>
              <w:tab w:val="left" w:pos="1440" w:leader="none"/>
              <w:tab w:val="right" w:pos="8309" w:leader="dot"/>
            </w:tabs>
            <w:rPr>
              <w:caps w:val="false"/>
              <w:smallCaps w:val="false"/>
              <w:sz w:val="18"/>
              <w:szCs w:val="18"/>
              <w:lang w:val="en-US" w:eastAsia="en-US"/>
            </w:rPr>
          </w:pPr>
          <w:r>
            <w:rPr>
              <w:sz w:val="18"/>
              <w:szCs w:val="18"/>
              <w:lang w:val="en-US" w:eastAsia="en-US"/>
            </w:rPr>
            <w:t>Art. 13.</w:t>
          </w:r>
          <w:r>
            <w:rPr>
              <w:caps w:val="false"/>
              <w:smallCaps w:val="false"/>
              <w:sz w:val="18"/>
              <w:szCs w:val="18"/>
              <w:lang w:val="en-US" w:eastAsia="en-US"/>
            </w:rPr>
            <w:tab/>
          </w:r>
          <w:r>
            <w:rPr>
              <w:sz w:val="18"/>
              <w:szCs w:val="18"/>
              <w:lang w:val="en-US" w:eastAsia="en-US"/>
            </w:rPr>
            <w:t xml:space="preserve"> Warranties</w:t>
            <w:tab/>
          </w:r>
          <w:hyperlink w:anchor="__RefHeading___Toc153675003">
            <w:r>
              <w:rPr>
                <w:rStyle w:val="IndexLink"/>
                <w:sz w:val="18"/>
                <w:szCs w:val="18"/>
                <w:lang w:val="en-US" w:eastAsia="en-US"/>
              </w:rPr>
              <w:t>8</w:t>
            </w:r>
          </w:hyperlink>
        </w:p>
        <w:p>
          <w:pPr>
            <w:pStyle w:val="TOC1"/>
            <w:tabs>
              <w:tab w:val="left" w:pos="1440" w:leader="none"/>
              <w:tab w:val="right" w:pos="8309" w:leader="dot"/>
            </w:tabs>
            <w:rPr>
              <w:caps w:val="false"/>
              <w:smallCaps w:val="false"/>
              <w:sz w:val="18"/>
              <w:szCs w:val="18"/>
              <w:lang w:val="en-US" w:eastAsia="en-US"/>
            </w:rPr>
          </w:pPr>
          <w:r>
            <w:rPr>
              <w:sz w:val="18"/>
              <w:szCs w:val="18"/>
              <w:lang w:val="en-US" w:eastAsia="en-US"/>
            </w:rPr>
            <w:t>Art. 14.</w:t>
          </w:r>
          <w:r>
            <w:rPr>
              <w:caps w:val="false"/>
              <w:smallCaps w:val="false"/>
              <w:sz w:val="18"/>
              <w:szCs w:val="18"/>
              <w:lang w:val="en-US" w:eastAsia="en-US"/>
            </w:rPr>
            <w:tab/>
          </w:r>
          <w:r>
            <w:rPr>
              <w:sz w:val="18"/>
              <w:szCs w:val="18"/>
              <w:lang w:val="en-US" w:eastAsia="en-US"/>
            </w:rPr>
            <w:t xml:space="preserve"> Secrecy</w:t>
            <w:tab/>
          </w:r>
          <w:hyperlink w:anchor="__RefHeading___Toc153675004">
            <w:r>
              <w:rPr>
                <w:rStyle w:val="IndexLink"/>
                <w:sz w:val="18"/>
                <w:szCs w:val="18"/>
                <w:lang w:val="en-US" w:eastAsia="en-US"/>
              </w:rPr>
              <w:t>8</w:t>
            </w:r>
          </w:hyperlink>
        </w:p>
        <w:p>
          <w:pPr>
            <w:pStyle w:val="TOC1"/>
            <w:tabs>
              <w:tab w:val="left" w:pos="1440" w:leader="none"/>
              <w:tab w:val="right" w:pos="8309" w:leader="dot"/>
            </w:tabs>
            <w:rPr>
              <w:caps w:val="false"/>
              <w:smallCaps w:val="false"/>
              <w:sz w:val="18"/>
              <w:szCs w:val="18"/>
              <w:lang w:val="en-US" w:eastAsia="en-US"/>
            </w:rPr>
          </w:pPr>
          <w:r>
            <w:rPr>
              <w:sz w:val="18"/>
              <w:szCs w:val="18"/>
              <w:lang w:val="en-US" w:eastAsia="en-US"/>
            </w:rPr>
            <w:t>Art. 15.</w:t>
          </w:r>
          <w:r>
            <w:rPr>
              <w:caps w:val="false"/>
              <w:smallCaps w:val="false"/>
              <w:sz w:val="18"/>
              <w:szCs w:val="18"/>
              <w:lang w:val="en-US" w:eastAsia="en-US"/>
            </w:rPr>
            <w:tab/>
          </w:r>
          <w:r>
            <w:rPr>
              <w:sz w:val="18"/>
              <w:szCs w:val="18"/>
              <w:lang w:val="en-US" w:eastAsia="en-US"/>
            </w:rPr>
            <w:t xml:space="preserve"> Liability and indemnification</w:t>
            <w:tab/>
          </w:r>
          <w:hyperlink w:anchor="__RefHeading___Toc153675005">
            <w:r>
              <w:rPr>
                <w:rStyle w:val="IndexLink"/>
                <w:sz w:val="18"/>
                <w:szCs w:val="18"/>
                <w:lang w:val="en-US" w:eastAsia="en-US"/>
              </w:rPr>
              <w:t>9</w:t>
            </w:r>
          </w:hyperlink>
        </w:p>
        <w:p>
          <w:pPr>
            <w:pStyle w:val="TOC1"/>
            <w:tabs>
              <w:tab w:val="left" w:pos="1440" w:leader="none"/>
              <w:tab w:val="right" w:pos="8309" w:leader="dot"/>
            </w:tabs>
            <w:rPr>
              <w:caps w:val="false"/>
              <w:smallCaps w:val="false"/>
              <w:sz w:val="18"/>
              <w:szCs w:val="18"/>
              <w:lang w:val="en-US" w:eastAsia="en-US"/>
            </w:rPr>
          </w:pPr>
          <w:r>
            <w:rPr>
              <w:sz w:val="18"/>
              <w:szCs w:val="18"/>
              <w:lang w:val="en-US" w:eastAsia="en-US"/>
            </w:rPr>
            <w:t>Art. 16.</w:t>
          </w:r>
          <w:r>
            <w:rPr>
              <w:caps w:val="false"/>
              <w:smallCaps w:val="false"/>
              <w:sz w:val="18"/>
              <w:szCs w:val="18"/>
              <w:lang w:val="en-US" w:eastAsia="en-US"/>
            </w:rPr>
            <w:tab/>
          </w:r>
          <w:r>
            <w:rPr>
              <w:sz w:val="18"/>
              <w:szCs w:val="18"/>
              <w:lang w:val="en-US" w:eastAsia="en-US"/>
            </w:rPr>
            <w:t xml:space="preserve"> Deposit fee</w:t>
            <w:tab/>
          </w:r>
          <w:hyperlink w:anchor="__RefHeading___Toc153675006">
            <w:r>
              <w:rPr>
                <w:rStyle w:val="IndexLink"/>
                <w:sz w:val="18"/>
                <w:szCs w:val="18"/>
                <w:lang w:val="en-US" w:eastAsia="en-US"/>
              </w:rPr>
              <w:t>9</w:t>
            </w:r>
          </w:hyperlink>
        </w:p>
        <w:p>
          <w:pPr>
            <w:pStyle w:val="TOC1"/>
            <w:tabs>
              <w:tab w:val="left" w:pos="1440" w:leader="none"/>
              <w:tab w:val="right" w:pos="8309" w:leader="dot"/>
            </w:tabs>
            <w:rPr>
              <w:caps w:val="false"/>
              <w:smallCaps w:val="false"/>
              <w:sz w:val="18"/>
              <w:szCs w:val="18"/>
              <w:lang w:val="en-US" w:eastAsia="en-US"/>
            </w:rPr>
          </w:pPr>
          <w:r>
            <w:rPr>
              <w:sz w:val="18"/>
              <w:szCs w:val="18"/>
              <w:lang w:val="en-US" w:eastAsia="en-US"/>
            </w:rPr>
            <w:t>Art. 17.</w:t>
          </w:r>
          <w:r>
            <w:rPr>
              <w:caps w:val="false"/>
              <w:smallCaps w:val="false"/>
              <w:sz w:val="18"/>
              <w:szCs w:val="18"/>
              <w:lang w:val="en-US" w:eastAsia="en-US"/>
            </w:rPr>
            <w:tab/>
          </w:r>
          <w:r>
            <w:rPr>
              <w:sz w:val="18"/>
              <w:szCs w:val="18"/>
              <w:lang w:val="en-US" w:eastAsia="en-US"/>
            </w:rPr>
            <w:t xml:space="preserve"> Adjustments of Deposit fee</w:t>
            <w:tab/>
          </w:r>
          <w:hyperlink w:anchor="__RefHeading___Toc153675007">
            <w:r>
              <w:rPr>
                <w:rStyle w:val="IndexLink"/>
                <w:sz w:val="18"/>
                <w:szCs w:val="18"/>
                <w:lang w:val="en-US" w:eastAsia="en-US"/>
              </w:rPr>
              <w:t>9</w:t>
            </w:r>
          </w:hyperlink>
        </w:p>
        <w:p>
          <w:pPr>
            <w:pStyle w:val="TOC1"/>
            <w:tabs>
              <w:tab w:val="left" w:pos="1440" w:leader="none"/>
              <w:tab w:val="right" w:pos="8309" w:leader="dot"/>
            </w:tabs>
            <w:rPr>
              <w:caps w:val="false"/>
              <w:smallCaps w:val="false"/>
              <w:sz w:val="18"/>
              <w:szCs w:val="18"/>
              <w:lang w:val="en-US" w:eastAsia="en-US"/>
            </w:rPr>
          </w:pPr>
          <w:r>
            <w:rPr>
              <w:sz w:val="18"/>
              <w:szCs w:val="18"/>
              <w:lang w:val="en-US" w:eastAsia="en-US"/>
            </w:rPr>
            <w:t>Art. 18.</w:t>
          </w:r>
          <w:r>
            <w:rPr>
              <w:caps w:val="false"/>
              <w:smallCaps w:val="false"/>
              <w:sz w:val="18"/>
              <w:szCs w:val="18"/>
              <w:lang w:val="en-US" w:eastAsia="en-US"/>
            </w:rPr>
            <w:tab/>
          </w:r>
          <w:r>
            <w:rPr>
              <w:sz w:val="18"/>
              <w:szCs w:val="18"/>
              <w:lang w:val="en-US" w:eastAsia="en-US"/>
            </w:rPr>
            <w:t xml:space="preserve"> Term of the agreement</w:t>
            <w:tab/>
          </w:r>
          <w:hyperlink w:anchor="__RefHeading___Toc153675008">
            <w:r>
              <w:rPr>
                <w:rStyle w:val="IndexLink"/>
                <w:sz w:val="18"/>
                <w:szCs w:val="18"/>
                <w:lang w:val="en-US" w:eastAsia="en-US"/>
              </w:rPr>
              <w:t>10</w:t>
            </w:r>
          </w:hyperlink>
        </w:p>
        <w:p>
          <w:pPr>
            <w:pStyle w:val="TOC1"/>
            <w:tabs>
              <w:tab w:val="left" w:pos="1440" w:leader="none"/>
              <w:tab w:val="right" w:pos="8309" w:leader="dot"/>
            </w:tabs>
            <w:rPr>
              <w:caps w:val="false"/>
              <w:smallCaps w:val="false"/>
              <w:sz w:val="18"/>
              <w:szCs w:val="18"/>
              <w:lang w:val="en-US" w:eastAsia="en-US"/>
            </w:rPr>
          </w:pPr>
          <w:r>
            <w:rPr>
              <w:sz w:val="18"/>
              <w:szCs w:val="18"/>
              <w:lang w:val="en-US" w:eastAsia="en-US"/>
            </w:rPr>
            <w:t>Art. 19.</w:t>
          </w:r>
          <w:r>
            <w:rPr>
              <w:caps w:val="false"/>
              <w:smallCaps w:val="false"/>
              <w:sz w:val="18"/>
              <w:szCs w:val="18"/>
              <w:lang w:val="en-US" w:eastAsia="en-US"/>
            </w:rPr>
            <w:tab/>
          </w:r>
          <w:r>
            <w:rPr>
              <w:sz w:val="18"/>
              <w:szCs w:val="18"/>
              <w:lang w:val="en-US" w:eastAsia="en-US"/>
            </w:rPr>
            <w:t xml:space="preserve"> Transfer of rights</w:t>
            <w:tab/>
          </w:r>
          <w:hyperlink w:anchor="__RefHeading___Toc153675009">
            <w:r>
              <w:rPr>
                <w:rStyle w:val="IndexLink"/>
                <w:sz w:val="18"/>
                <w:szCs w:val="18"/>
                <w:lang w:val="en-US" w:eastAsia="en-US"/>
              </w:rPr>
              <w:t>10</w:t>
            </w:r>
          </w:hyperlink>
        </w:p>
        <w:p>
          <w:pPr>
            <w:pStyle w:val="TOC1"/>
            <w:tabs>
              <w:tab w:val="left" w:pos="1440" w:leader="none"/>
              <w:tab w:val="right" w:pos="8309" w:leader="dot"/>
            </w:tabs>
            <w:rPr>
              <w:caps w:val="false"/>
              <w:smallCaps w:val="false"/>
              <w:sz w:val="18"/>
              <w:szCs w:val="18"/>
              <w:lang w:val="en-US" w:eastAsia="en-US"/>
            </w:rPr>
          </w:pPr>
          <w:r>
            <w:rPr>
              <w:sz w:val="18"/>
              <w:szCs w:val="18"/>
              <w:lang w:val="en-US" w:eastAsia="en-US"/>
            </w:rPr>
            <w:t>Art. 20.</w:t>
          </w:r>
          <w:r>
            <w:rPr>
              <w:caps w:val="false"/>
              <w:smallCaps w:val="false"/>
              <w:sz w:val="18"/>
              <w:szCs w:val="18"/>
              <w:lang w:val="en-US" w:eastAsia="en-US"/>
            </w:rPr>
            <w:tab/>
          </w:r>
          <w:r>
            <w:rPr>
              <w:sz w:val="18"/>
              <w:szCs w:val="18"/>
              <w:lang w:val="en-US" w:eastAsia="en-US"/>
            </w:rPr>
            <w:t xml:space="preserve"> Choice of law and forum</w:t>
            <w:tab/>
          </w:r>
          <w:hyperlink w:anchor="__RefHeading___Toc153675010">
            <w:r>
              <w:rPr>
                <w:rStyle w:val="IndexLink"/>
                <w:sz w:val="18"/>
                <w:szCs w:val="18"/>
                <w:lang w:val="en-US" w:eastAsia="en-US"/>
              </w:rPr>
              <w:t>10</w:t>
            </w:r>
          </w:hyperlink>
        </w:p>
        <w:p>
          <w:pPr>
            <w:pStyle w:val="TOC1"/>
            <w:tabs>
              <w:tab w:val="left" w:pos="1440" w:leader="none"/>
              <w:tab w:val="right" w:pos="8309" w:leader="dot"/>
            </w:tabs>
            <w:rPr>
              <w:caps w:val="false"/>
              <w:smallCaps w:val="false"/>
              <w:sz w:val="18"/>
              <w:szCs w:val="18"/>
              <w:lang w:val="en-US" w:eastAsia="en-US"/>
            </w:rPr>
          </w:pPr>
          <w:r>
            <w:rPr>
              <w:sz w:val="18"/>
              <w:szCs w:val="18"/>
              <w:lang w:val="en-US" w:eastAsia="en-US"/>
            </w:rPr>
            <w:t>Art. 21.</w:t>
          </w:r>
          <w:r>
            <w:rPr>
              <w:caps w:val="false"/>
              <w:smallCaps w:val="false"/>
              <w:sz w:val="18"/>
              <w:szCs w:val="18"/>
              <w:lang w:val="en-US" w:eastAsia="en-US"/>
            </w:rPr>
            <w:tab/>
          </w:r>
          <w:r>
            <w:rPr>
              <w:sz w:val="18"/>
              <w:szCs w:val="18"/>
              <w:lang w:val="en-US" w:eastAsia="en-US"/>
            </w:rPr>
            <w:t xml:space="preserve"> General</w:t>
            <w:tab/>
          </w:r>
          <w:hyperlink w:anchor="__RefHeading___Toc153675011">
            <w:r>
              <w:rPr>
                <w:rStyle w:val="IndexLink"/>
                <w:sz w:val="18"/>
                <w:szCs w:val="18"/>
                <w:lang w:val="en-US" w:eastAsia="en-US"/>
              </w:rPr>
              <w:t>11</w:t>
            </w:r>
          </w:hyperlink>
        </w:p>
        <w:p>
          <w:pPr>
            <w:pStyle w:val="TOC1"/>
            <w:rPr>
              <w:caps w:val="false"/>
              <w:smallCaps w:val="false"/>
              <w:sz w:val="18"/>
              <w:szCs w:val="18"/>
              <w:lang w:val="en-US" w:eastAsia="en-US"/>
            </w:rPr>
          </w:pPr>
          <w:r>
            <w:rPr>
              <w:sz w:val="18"/>
              <w:szCs w:val="18"/>
              <w:lang w:val="en-US" w:eastAsia="en-US"/>
            </w:rPr>
            <w:t>List of Schedules</w:t>
            <w:tab/>
          </w:r>
          <w:hyperlink w:anchor="__RefHeading___Toc153675012">
            <w:r>
              <w:rPr>
                <w:rStyle w:val="IndexLink"/>
                <w:sz w:val="18"/>
                <w:szCs w:val="18"/>
                <w:lang w:val="en-US" w:eastAsia="en-US"/>
              </w:rPr>
              <w:t>12</w:t>
            </w:r>
          </w:hyperlink>
        </w:p>
        <w:p>
          <w:pPr>
            <w:pStyle w:val="TOC1"/>
            <w:rPr>
              <w:caps w:val="false"/>
              <w:smallCaps w:val="false"/>
              <w:sz w:val="18"/>
              <w:szCs w:val="18"/>
              <w:lang w:val="en-US" w:eastAsia="en-US"/>
            </w:rPr>
          </w:pPr>
          <w:r>
            <w:rPr>
              <w:sz w:val="18"/>
              <w:szCs w:val="18"/>
              <w:lang w:val="en-US" w:eastAsia="en-US"/>
            </w:rPr>
            <w:t>Schedule 1</w:t>
            <w:tab/>
          </w:r>
          <w:hyperlink w:anchor="__RefHeading___Toc153675013">
            <w:r>
              <w:rPr>
                <w:rStyle w:val="IndexLink"/>
                <w:sz w:val="18"/>
                <w:szCs w:val="18"/>
                <w:lang w:val="en-US" w:eastAsia="en-US"/>
              </w:rPr>
              <w:t>13</w:t>
            </w:r>
          </w:hyperlink>
        </w:p>
        <w:p>
          <w:pPr>
            <w:pStyle w:val="TOC1"/>
            <w:rPr>
              <w:sz w:val="18"/>
              <w:szCs w:val="18"/>
              <w:lang w:val="en-US" w:eastAsia="en-US"/>
            </w:rPr>
          </w:pPr>
          <w:r>
            <w:rPr>
              <w:caps w:val="false"/>
              <w:smallCaps w:val="false"/>
              <w:sz w:val="18"/>
              <w:szCs w:val="18"/>
              <w:lang w:val="en-US" w:eastAsia="en-US"/>
            </w:rPr>
            <w:t>Schedule 2</w:t>
            <w:tab/>
          </w:r>
          <w:hyperlink w:anchor="__RefHeading___Toc153675014">
            <w:r>
              <w:rPr>
                <w:rStyle w:val="IndexLink"/>
                <w:caps w:val="false"/>
                <w:smallCaps w:val="false"/>
                <w:sz w:val="18"/>
                <w:szCs w:val="18"/>
                <w:lang w:val="en-US" w:eastAsia="en-US"/>
              </w:rPr>
              <w:t>14</w:t>
            </w:r>
          </w:hyperlink>
          <w:r>
            <w:rPr>
              <w:rStyle w:val="IndexLink"/>
              <w:smallCaps w:val="false"/>
              <w:caps w:val="false"/>
              <w:sz w:val="18"/>
              <w:szCs w:val="18"/>
              <w:lang w:val="en-US" w:eastAsia="en-US"/>
            </w:rPr>
            <w:fldChar w:fldCharType="end"/>
          </w:r>
        </w:p>
      </w:sdtContent>
    </w:sdt>
    <w:p>
      <w:pPr>
        <w:pStyle w:val="Normal"/>
        <w:numPr>
          <w:ilvl w:val="0"/>
          <w:numId w:val="0"/>
        </w:numPr>
        <w:jc w:val="center"/>
        <w:outlineLvl w:val="0"/>
        <w:rPr>
          <w:b/>
          <w:bCs/>
          <w:caps/>
          <w:sz w:val="18"/>
          <w:szCs w:val="18"/>
          <w:lang w:val="en-US" w:eastAsia="en-US"/>
        </w:rPr>
      </w:pPr>
      <w:r>
        <w:rPr>
          <w:b/>
          <w:bCs/>
          <w:caps/>
          <w:sz w:val="18"/>
          <w:szCs w:val="18"/>
          <w:lang w:val="en-US" w:eastAsia="en-US"/>
        </w:rPr>
      </w:r>
    </w:p>
    <w:p>
      <w:pPr>
        <w:sectPr>
          <w:headerReference w:type="default" r:id="rId4"/>
          <w:headerReference w:type="first" r:id="rId5"/>
          <w:footerReference w:type="default" r:id="rId6"/>
          <w:footerReference w:type="first" r:id="rId7"/>
          <w:type w:val="nextPage"/>
          <w:pgSz w:w="11906" w:h="16838"/>
          <w:pgMar w:left="1797" w:right="1797" w:gutter="0" w:header="720" w:top="1440" w:footer="720" w:bottom="1797"/>
          <w:pgNumType w:start="1" w:fmt="lowerRoman"/>
          <w:formProt w:val="false"/>
          <w:textDirection w:val="lrTb"/>
          <w:docGrid w:type="default" w:linePitch="360" w:charSpace="0"/>
        </w:sectPr>
        <w:pStyle w:val="Normal"/>
        <w:numPr>
          <w:ilvl w:val="0"/>
          <w:numId w:val="0"/>
        </w:numPr>
        <w:jc w:val="center"/>
        <w:outlineLvl w:val="0"/>
        <w:rPr>
          <w:b/>
          <w:bCs/>
          <w:sz w:val="18"/>
          <w:szCs w:val="18"/>
        </w:rPr>
      </w:pPr>
      <w:r>
        <w:rPr>
          <w:b/>
          <w:bCs/>
          <w:sz w:val="18"/>
          <w:szCs w:val="18"/>
        </w:rPr>
      </w:r>
    </w:p>
    <w:p>
      <w:pPr>
        <w:pStyle w:val="Normal"/>
        <w:numPr>
          <w:ilvl w:val="0"/>
          <w:numId w:val="0"/>
        </w:numPr>
        <w:jc w:val="center"/>
        <w:outlineLvl w:val="0"/>
        <w:rPr>
          <w:rFonts w:ascii="Arial" w:hAnsi="Arial" w:cs="Arial"/>
          <w:b/>
          <w:bCs/>
          <w:sz w:val="18"/>
          <w:szCs w:val="18"/>
        </w:rPr>
      </w:pPr>
      <w:r>
        <w:rPr>
          <w:rFonts w:cs="Arial" w:ascii="Arial" w:hAnsi="Arial"/>
          <w:b/>
          <w:bCs/>
          <w:sz w:val="18"/>
          <w:szCs w:val="18"/>
        </w:rPr>
      </w:r>
    </w:p>
    <w:p>
      <w:pPr>
        <w:pStyle w:val="Normal"/>
        <w:numPr>
          <w:ilvl w:val="0"/>
          <w:numId w:val="0"/>
        </w:numPr>
        <w:jc w:val="center"/>
        <w:outlineLvl w:val="0"/>
        <w:rPr>
          <w:rFonts w:ascii="Arial" w:hAnsi="Arial" w:cs="Arial"/>
          <w:b/>
          <w:bCs/>
        </w:rPr>
      </w:pPr>
      <w:r>
        <w:rPr>
          <w:rFonts w:cs="Arial" w:ascii="Arial" w:hAnsi="Arial"/>
          <w:b/>
          <w:bCs/>
        </w:rPr>
      </w:r>
    </w:p>
    <w:p>
      <w:pPr>
        <w:pStyle w:val="Normal"/>
        <w:numPr>
          <w:ilvl w:val="0"/>
          <w:numId w:val="0"/>
        </w:numPr>
        <w:jc w:val="both"/>
        <w:outlineLvl w:val="0"/>
        <w:rPr/>
      </w:pPr>
      <w:r>
        <w:rPr>
          <w:b/>
          <w:bCs/>
          <w:sz w:val="22"/>
        </w:rPr>
        <w:t>Escrow agreement for software</w:t>
      </w:r>
      <w:r>
        <w:rPr>
          <w:sz w:val="22"/>
        </w:rPr>
        <w:t xml:space="preserve"> </w:t>
      </w:r>
    </w:p>
    <w:p>
      <w:pPr>
        <w:pStyle w:val="Normal"/>
        <w:jc w:val="both"/>
        <w:rPr>
          <w:sz w:val="22"/>
        </w:rPr>
      </w:pPr>
      <w:r>
        <w:rPr>
          <w:sz w:val="22"/>
        </w:rPr>
      </w:r>
    </w:p>
    <w:p>
      <w:pPr>
        <w:pStyle w:val="Normal"/>
        <w:jc w:val="both"/>
        <w:rPr>
          <w:sz w:val="22"/>
        </w:rPr>
      </w:pPr>
      <w:r>
        <w:rPr>
          <w:sz w:val="22"/>
        </w:rPr>
      </w:r>
    </w:p>
    <w:p>
      <w:pPr>
        <w:pStyle w:val="Normal"/>
        <w:jc w:val="both"/>
        <w:rPr>
          <w:b/>
          <w:bCs/>
          <w:sz w:val="22"/>
        </w:rPr>
      </w:pPr>
      <w:r>
        <w:rPr>
          <w:b/>
          <w:bCs/>
          <w:sz w:val="22"/>
        </w:rPr>
        <w:t>The undersigned,</w:t>
      </w:r>
    </w:p>
    <w:p>
      <w:pPr>
        <w:pStyle w:val="Normal"/>
        <w:jc w:val="both"/>
        <w:rPr>
          <w:b/>
          <w:bCs/>
          <w:sz w:val="22"/>
        </w:rPr>
      </w:pPr>
      <w:r>
        <w:rPr>
          <w:b/>
          <w:bCs/>
          <w:sz w:val="22"/>
        </w:rPr>
      </w:r>
    </w:p>
    <w:p>
      <w:pPr>
        <w:pStyle w:val="Normal"/>
        <w:numPr>
          <w:ilvl w:val="0"/>
          <w:numId w:val="0"/>
        </w:numPr>
        <w:jc w:val="both"/>
        <w:outlineLvl w:val="0"/>
        <w:rPr/>
      </w:pPr>
      <w:r>
        <w:rPr>
          <w:rStyle w:val="Emphasis"/>
          <w:b/>
          <w:bCs/>
          <w:i w:val="false"/>
          <w:iCs w:val="false"/>
          <w:sz w:val="22"/>
          <w:szCs w:val="20"/>
        </w:rPr>
        <w:t>EUROBANK N.V., a company incorporated under the laws of the Netherlands under company number 99887766 whose registered office is at Keizersgracht 100, 1015 AA Rotterdam, hereinafter referred to as the Beneficiary, and</w:t>
      </w:r>
      <w:r>
        <w:rPr>
          <w:rStyle w:val="Emphasis"/>
          <w:i w:val="false"/>
          <w:iCs w:val="false"/>
          <w:sz w:val="22"/>
          <w:szCs w:val="20"/>
        </w:rPr>
      </w:r>
      <w:r>
        <w:rPr>
          <w:sz w:val="22"/>
        </w:rPr>
      </w:r>
    </w:p>
    <w:p>
      <w:pPr>
        <w:pStyle w:val="Normal"/>
        <w:jc w:val="both"/>
        <w:rPr>
          <w:sz w:val="22"/>
        </w:rPr>
      </w:pPr>
      <w:r>
        <w:rPr>
          <w:sz w:val="22"/>
        </w:rPr>
      </w:r>
    </w:p>
    <w:p>
      <w:pPr>
        <w:pStyle w:val="Normal"/>
        <w:jc w:val="both"/>
        <w:rPr/>
      </w:pPr>
      <w:r>
        <w:rPr>
          <w:b/>
          <w:bCs/>
          <w:i/>
          <w:iCs/>
          <w:sz w:val="22"/>
        </w:rPr>
        <w:t>[name Supplier]</w:t>
      </w:r>
      <w:r>
        <w:rPr>
          <w:sz w:val="22"/>
        </w:rPr>
        <w:t>, which has its seat in [</w:t>
      </w:r>
      <w:r>
        <w:rPr>
          <w:rFonts w:eastAsia="Symbol" w:cs="Symbol" w:ascii="Symbol" w:hAnsi="Symbol"/>
          <w:sz w:val="22"/>
        </w:rPr>
        <w:sym w:font="Symbol" w:char="b7"/>
      </w:r>
      <w:r>
        <w:rPr>
          <w:sz w:val="22"/>
        </w:rPr>
        <w:t>], legally represented in this matter by [</w:t>
      </w:r>
      <w:r>
        <w:rPr>
          <w:rFonts w:eastAsia="Symbol" w:cs="Symbol" w:ascii="Symbol" w:hAnsi="Symbol"/>
          <w:sz w:val="22"/>
        </w:rPr>
        <w:sym w:font="Symbol" w:char="b7"/>
      </w:r>
      <w:r>
        <w:rPr>
          <w:sz w:val="22"/>
        </w:rPr>
        <w:t>], hereinafter referred to as the Supplier, and</w:t>
      </w:r>
    </w:p>
    <w:p>
      <w:pPr>
        <w:pStyle w:val="Normal"/>
        <w:jc w:val="both"/>
        <w:rPr>
          <w:sz w:val="22"/>
        </w:rPr>
      </w:pPr>
      <w:r>
        <w:rPr>
          <w:sz w:val="22"/>
        </w:rPr>
      </w:r>
    </w:p>
    <w:p>
      <w:pPr>
        <w:pStyle w:val="Normal"/>
        <w:jc w:val="both"/>
        <w:rPr/>
      </w:pPr>
      <w:r>
        <w:rPr>
          <w:b/>
          <w:bCs/>
          <w:sz w:val="22"/>
        </w:rPr>
        <w:t>SOFTCROW B.V.</w:t>
      </w:r>
      <w:r>
        <w:rPr>
          <w:sz w:val="22"/>
        </w:rPr>
        <w:t>, which has its seat at Hettenheuvelweg 8, 1101 BN  Amsterdam, legally represented in this matter by [</w:t>
      </w:r>
      <w:r>
        <w:rPr>
          <w:rFonts w:eastAsia="Symbol" w:cs="Symbol" w:ascii="Symbol" w:hAnsi="Symbol"/>
          <w:sz w:val="22"/>
        </w:rPr>
        <w:sym w:font="Symbol" w:char="b7"/>
      </w:r>
      <w:r>
        <w:rPr>
          <w:sz w:val="22"/>
        </w:rPr>
        <w:t>], hereinafter referred to as Softcrow,</w:t>
      </w:r>
    </w:p>
    <w:p>
      <w:pPr>
        <w:pStyle w:val="TOC1"/>
        <w:rPr>
          <w:sz w:val="22"/>
        </w:rPr>
      </w:pPr>
      <w:r>
        <w:rPr>
          <w:sz w:val="22"/>
        </w:rPr>
      </w:r>
    </w:p>
    <w:p>
      <w:pPr>
        <w:pStyle w:val="Normal"/>
        <w:jc w:val="both"/>
        <w:rPr>
          <w:b/>
          <w:bCs/>
          <w:sz w:val="22"/>
        </w:rPr>
      </w:pPr>
      <w:r>
        <w:rPr>
          <w:b/>
          <w:bCs/>
          <w:sz w:val="22"/>
        </w:rPr>
        <w:t>Whereas:</w:t>
      </w:r>
    </w:p>
    <w:p>
      <w:pPr>
        <w:pStyle w:val="Normal"/>
        <w:jc w:val="both"/>
        <w:rPr>
          <w:b/>
          <w:bCs/>
          <w:sz w:val="22"/>
        </w:rPr>
      </w:pPr>
      <w:r>
        <w:rPr>
          <w:b/>
          <w:bCs/>
          <w:sz w:val="22"/>
        </w:rPr>
      </w:r>
    </w:p>
    <w:p>
      <w:pPr>
        <w:pStyle w:val="Normal"/>
        <w:numPr>
          <w:ilvl w:val="0"/>
          <w:numId w:val="12"/>
        </w:numPr>
        <w:tabs>
          <w:tab w:val="clear" w:pos="720"/>
          <w:tab w:val="left" w:pos="540" w:leader="none"/>
        </w:tabs>
        <w:ind w:hanging="540" w:start="540" w:end="0"/>
        <w:jc w:val="both"/>
        <w:rPr>
          <w:sz w:val="22"/>
        </w:rPr>
      </w:pPr>
      <w:r>
        <w:rPr>
          <w:sz w:val="22"/>
        </w:rPr>
        <w:t>the Supplier has granted the Beneficiary under the Master Services Agreement a non-exclusive licence with respect to the Software (or may grant such licence in the circumstances specified in the Master Services Agreement);</w:t>
      </w:r>
    </w:p>
    <w:p>
      <w:pPr>
        <w:pStyle w:val="Normal"/>
        <w:tabs>
          <w:tab w:val="clear" w:pos="720"/>
          <w:tab w:val="left" w:pos="540" w:leader="none"/>
          <w:tab w:val="left" w:pos="1134" w:leader="none"/>
        </w:tabs>
        <w:ind w:hanging="540" w:start="540" w:end="0"/>
        <w:jc w:val="both"/>
        <w:rPr>
          <w:sz w:val="22"/>
        </w:rPr>
      </w:pPr>
      <w:r>
        <w:rPr>
          <w:sz w:val="22"/>
        </w:rPr>
      </w:r>
    </w:p>
    <w:p>
      <w:pPr>
        <w:pStyle w:val="Normal"/>
        <w:numPr>
          <w:ilvl w:val="0"/>
          <w:numId w:val="12"/>
        </w:numPr>
        <w:tabs>
          <w:tab w:val="clear" w:pos="720"/>
          <w:tab w:val="left" w:pos="540" w:leader="none"/>
        </w:tabs>
        <w:ind w:hanging="540" w:start="540" w:end="0"/>
        <w:jc w:val="both"/>
        <w:rPr>
          <w:sz w:val="22"/>
        </w:rPr>
      </w:pPr>
      <w:r>
        <w:rPr>
          <w:sz w:val="22"/>
        </w:rPr>
        <w:t>the Supplier has reserved copyright to the Software;</w:t>
      </w:r>
    </w:p>
    <w:p>
      <w:pPr>
        <w:pStyle w:val="Normal"/>
        <w:tabs>
          <w:tab w:val="clear" w:pos="720"/>
          <w:tab w:val="left" w:pos="540" w:leader="none"/>
          <w:tab w:val="left" w:pos="1134" w:leader="none"/>
        </w:tabs>
        <w:ind w:hanging="540" w:start="540" w:end="0"/>
        <w:jc w:val="both"/>
        <w:rPr>
          <w:sz w:val="22"/>
        </w:rPr>
      </w:pPr>
      <w:r>
        <w:rPr>
          <w:sz w:val="22"/>
        </w:rPr>
      </w:r>
    </w:p>
    <w:p>
      <w:pPr>
        <w:pStyle w:val="BodyText"/>
        <w:numPr>
          <w:ilvl w:val="0"/>
          <w:numId w:val="12"/>
        </w:numPr>
        <w:tabs>
          <w:tab w:val="clear" w:pos="720"/>
          <w:tab w:val="left" w:pos="540" w:leader="none"/>
          <w:tab w:val="left" w:pos="1134" w:leader="none"/>
        </w:tabs>
        <w:ind w:hanging="540" w:start="540" w:end="0"/>
        <w:rPr>
          <w:sz w:val="22"/>
        </w:rPr>
      </w:pPr>
      <w:r>
        <w:rPr>
          <w:sz w:val="22"/>
        </w:rPr>
        <w:t>the Supplier will carry out the Maintenance of the Software for the benefit of the Beneficiary throughout the agreed period of the use of the Software in order to guarantee continuity of its use;</w:t>
      </w:r>
    </w:p>
    <w:p>
      <w:pPr>
        <w:pStyle w:val="Normal"/>
        <w:numPr>
          <w:ilvl w:val="0"/>
          <w:numId w:val="12"/>
        </w:numPr>
        <w:tabs>
          <w:tab w:val="clear" w:pos="720"/>
          <w:tab w:val="left" w:pos="540" w:leader="none"/>
          <w:tab w:val="left" w:pos="1134" w:leader="none"/>
        </w:tabs>
        <w:ind w:hanging="540" w:start="540" w:end="0"/>
        <w:jc w:val="both"/>
        <w:rPr>
          <w:sz w:val="22"/>
        </w:rPr>
      </w:pPr>
      <w:r>
        <w:rPr>
          <w:sz w:val="22"/>
        </w:rPr>
        <w:t>the Supplier and the Beneficiary recognise that the Beneficiary should, in certain circumstances, be able to have access to the Source Code and the Development Environment, but only in order to be able to guarantee continuity of licensed use, of the Software by being able to perform the Maintenance itself;</w:t>
      </w:r>
    </w:p>
    <w:p>
      <w:pPr>
        <w:pStyle w:val="Normal"/>
        <w:tabs>
          <w:tab w:val="clear" w:pos="720"/>
          <w:tab w:val="left" w:pos="540" w:leader="none"/>
          <w:tab w:val="left" w:pos="567" w:leader="none"/>
          <w:tab w:val="left" w:pos="1134" w:leader="none"/>
        </w:tabs>
        <w:ind w:hanging="540" w:start="540" w:end="0"/>
        <w:jc w:val="both"/>
        <w:rPr>
          <w:sz w:val="22"/>
        </w:rPr>
      </w:pPr>
      <w:r>
        <w:rPr>
          <w:sz w:val="22"/>
        </w:rPr>
      </w:r>
    </w:p>
    <w:p>
      <w:pPr>
        <w:pStyle w:val="Normal"/>
        <w:numPr>
          <w:ilvl w:val="0"/>
          <w:numId w:val="12"/>
        </w:numPr>
        <w:tabs>
          <w:tab w:val="clear" w:pos="720"/>
          <w:tab w:val="left" w:pos="540" w:leader="none"/>
          <w:tab w:val="left" w:pos="1134" w:leader="none"/>
        </w:tabs>
        <w:ind w:hanging="540" w:start="540" w:end="0"/>
        <w:jc w:val="both"/>
        <w:rPr>
          <w:sz w:val="22"/>
        </w:rPr>
      </w:pPr>
      <w:r>
        <w:rPr>
          <w:sz w:val="22"/>
        </w:rPr>
        <w:t>the Supplier does not wish to transfer the Source Code and the Development Environment to the Beneficiary outright;</w:t>
      </w:r>
    </w:p>
    <w:p>
      <w:pPr>
        <w:pStyle w:val="Normal"/>
        <w:tabs>
          <w:tab w:val="clear" w:pos="720"/>
          <w:tab w:val="left" w:pos="540" w:leader="none"/>
          <w:tab w:val="left" w:pos="567" w:leader="none"/>
          <w:tab w:val="left" w:pos="1134" w:leader="none"/>
        </w:tabs>
        <w:ind w:hanging="540" w:start="540" w:end="0"/>
        <w:jc w:val="both"/>
        <w:rPr>
          <w:sz w:val="22"/>
        </w:rPr>
      </w:pPr>
      <w:r>
        <w:rPr>
          <w:sz w:val="22"/>
        </w:rPr>
      </w:r>
    </w:p>
    <w:p>
      <w:pPr>
        <w:pStyle w:val="Normal"/>
        <w:numPr>
          <w:ilvl w:val="0"/>
          <w:numId w:val="12"/>
        </w:numPr>
        <w:tabs>
          <w:tab w:val="clear" w:pos="720"/>
          <w:tab w:val="left" w:pos="540" w:leader="none"/>
          <w:tab w:val="left" w:pos="1134" w:leader="none"/>
        </w:tabs>
        <w:ind w:hanging="540" w:start="540" w:end="0"/>
        <w:jc w:val="both"/>
        <w:rPr>
          <w:sz w:val="22"/>
        </w:rPr>
      </w:pPr>
      <w:r>
        <w:rPr>
          <w:sz w:val="22"/>
        </w:rPr>
        <w:t>the Supplier and the Beneficiary have for this reason agreed, pursuant to the Master Services Agreement, to deposit the Source Code and the Development Environment with Softcrow; and</w:t>
      </w:r>
    </w:p>
    <w:p>
      <w:pPr>
        <w:pStyle w:val="Normal"/>
        <w:tabs>
          <w:tab w:val="clear" w:pos="720"/>
          <w:tab w:val="left" w:pos="540" w:leader="none"/>
          <w:tab w:val="left" w:pos="567" w:leader="none"/>
          <w:tab w:val="left" w:pos="1134" w:leader="none"/>
        </w:tabs>
        <w:ind w:hanging="540" w:start="540" w:end="0"/>
        <w:jc w:val="both"/>
        <w:rPr>
          <w:sz w:val="22"/>
        </w:rPr>
      </w:pPr>
      <w:r>
        <w:rPr>
          <w:sz w:val="22"/>
        </w:rPr>
      </w:r>
    </w:p>
    <w:p>
      <w:pPr>
        <w:pStyle w:val="Normal"/>
        <w:numPr>
          <w:ilvl w:val="0"/>
          <w:numId w:val="12"/>
        </w:numPr>
        <w:tabs>
          <w:tab w:val="clear" w:pos="720"/>
          <w:tab w:val="left" w:pos="540" w:leader="none"/>
          <w:tab w:val="left" w:pos="1134" w:leader="none"/>
        </w:tabs>
        <w:ind w:hanging="540" w:start="540" w:end="0"/>
        <w:jc w:val="both"/>
        <w:rPr>
          <w:sz w:val="22"/>
        </w:rPr>
      </w:pPr>
      <w:r>
        <w:rPr>
          <w:sz w:val="22"/>
        </w:rPr>
        <w:t>the Supplier and the Beneficiary, in these specific circumstances, now wish to record their future legal relations in such a way as to bind them henceforth.</w:t>
      </w:r>
    </w:p>
    <w:p>
      <w:pPr>
        <w:pStyle w:val="Normal"/>
        <w:jc w:val="both"/>
        <w:rPr>
          <w:sz w:val="22"/>
        </w:rPr>
      </w:pPr>
      <w:r>
        <w:rPr>
          <w:sz w:val="22"/>
        </w:rPr>
      </w:r>
    </w:p>
    <w:p>
      <w:pPr>
        <w:pStyle w:val="Normal"/>
        <w:jc w:val="both"/>
        <w:rPr>
          <w:b/>
          <w:bCs/>
          <w:sz w:val="22"/>
        </w:rPr>
      </w:pPr>
      <w:r>
        <w:rPr>
          <w:b/>
          <w:bCs/>
          <w:sz w:val="22"/>
        </w:rPr>
        <w:t>Declare that they have agreed as follows:</w:t>
      </w:r>
    </w:p>
    <w:p>
      <w:pPr>
        <w:pStyle w:val="Normal"/>
        <w:jc w:val="both"/>
        <w:rPr>
          <w:b/>
          <w:bCs/>
          <w:sz w:val="22"/>
        </w:rPr>
      </w:pPr>
      <w:r>
        <w:rPr>
          <w:b/>
          <w:bCs/>
          <w:sz w:val="22"/>
        </w:rPr>
      </w:r>
    </w:p>
    <w:p>
      <w:pPr>
        <w:pStyle w:val="Heading3"/>
        <w:ind w:hanging="0" w:start="0"/>
        <w:rPr/>
      </w:pPr>
      <w:bookmarkStart w:id="0" w:name="__RefHeading___Toc153674991"/>
      <w:bookmarkEnd w:id="0"/>
      <w:r>
        <w:rPr>
          <w:sz w:val="22"/>
          <w:szCs w:val="22"/>
        </w:rPr>
        <w:t>Art. 1.</w:t>
        <w:tab/>
        <w:tab/>
        <w:t>Definitions</w:t>
      </w:r>
    </w:p>
    <w:p>
      <w:pPr>
        <w:pStyle w:val="Normal"/>
        <w:jc w:val="both"/>
        <w:rPr>
          <w:sz w:val="22"/>
          <w:szCs w:val="22"/>
        </w:rPr>
      </w:pPr>
      <w:r>
        <w:rPr>
          <w:sz w:val="22"/>
          <w:szCs w:val="22"/>
        </w:rPr>
      </w:r>
    </w:p>
    <w:p>
      <w:pPr>
        <w:pStyle w:val="Normal"/>
        <w:tabs>
          <w:tab w:val="clear" w:pos="720"/>
          <w:tab w:val="left" w:pos="567" w:leader="none"/>
        </w:tabs>
        <w:ind w:hanging="567" w:start="567" w:end="0"/>
        <w:jc w:val="both"/>
        <w:rPr>
          <w:sz w:val="22"/>
        </w:rPr>
      </w:pPr>
      <w:r>
        <w:rPr>
          <w:sz w:val="22"/>
        </w:rPr>
        <w:t>1.</w:t>
        <w:tab/>
        <w:t>Software: the (object code) machine version of the software described in Schedule 1, as Schedule 1 may be updated and amended from time to time in accordance with the Master Services Agreement.</w:t>
      </w:r>
    </w:p>
    <w:p>
      <w:pPr>
        <w:pStyle w:val="Normal"/>
        <w:jc w:val="both"/>
        <w:rPr>
          <w:sz w:val="22"/>
        </w:rPr>
      </w:pPr>
      <w:r>
        <w:rPr>
          <w:sz w:val="22"/>
        </w:rPr>
      </w:r>
    </w:p>
    <w:p>
      <w:pPr>
        <w:pStyle w:val="Normal"/>
        <w:tabs>
          <w:tab w:val="clear" w:pos="720"/>
          <w:tab w:val="left" w:pos="567" w:leader="none"/>
        </w:tabs>
        <w:ind w:hanging="567" w:start="567" w:end="0"/>
        <w:jc w:val="both"/>
        <w:rPr>
          <w:sz w:val="22"/>
        </w:rPr>
      </w:pPr>
      <w:r>
        <w:rPr>
          <w:sz w:val="22"/>
        </w:rPr>
        <w:t>2.</w:t>
        <w:tab/>
        <w:t>Source Code: the Software described in Schedule 1, as Schedule 1 may be updated and amended from time to time in accordance with the Master Services Agreement, including the software and auxiliary software written by the Supplier itself for the Maintenance, in source code, together with all materials and information needed for the installation and implementation, for the understanding of the arrangement and the structure of the Software and/or of the database, and for the Maintenance of the Software, including:</w:t>
      </w:r>
    </w:p>
    <w:p>
      <w:pPr>
        <w:pStyle w:val="Normal"/>
        <w:numPr>
          <w:ilvl w:val="0"/>
          <w:numId w:val="6"/>
        </w:numPr>
        <w:ind w:hanging="426" w:start="993" w:end="0"/>
        <w:jc w:val="both"/>
        <w:rPr>
          <w:sz w:val="22"/>
        </w:rPr>
      </w:pPr>
      <w:r>
        <w:rPr>
          <w:sz w:val="22"/>
        </w:rPr>
        <w:t>instructions for the use of the Software in source code form;</w:t>
      </w:r>
    </w:p>
    <w:p>
      <w:pPr>
        <w:pStyle w:val="Normal"/>
        <w:numPr>
          <w:ilvl w:val="0"/>
          <w:numId w:val="6"/>
        </w:numPr>
        <w:ind w:hanging="426" w:start="993" w:end="0"/>
        <w:jc w:val="both"/>
        <w:rPr>
          <w:sz w:val="22"/>
        </w:rPr>
      </w:pPr>
      <w:r>
        <w:rPr>
          <w:sz w:val="22"/>
        </w:rPr>
        <w:t>a detailed compilation script;</w:t>
      </w:r>
    </w:p>
    <w:p>
      <w:pPr>
        <w:pStyle w:val="Normal"/>
        <w:numPr>
          <w:ilvl w:val="0"/>
          <w:numId w:val="6"/>
        </w:numPr>
        <w:ind w:hanging="426" w:start="993" w:end="0"/>
        <w:jc w:val="both"/>
        <w:rPr>
          <w:sz w:val="22"/>
        </w:rPr>
      </w:pPr>
      <w:r>
        <w:rPr>
          <w:sz w:val="22"/>
        </w:rPr>
        <w:t>all available relevant functional and/or technical documentation.</w:t>
      </w:r>
    </w:p>
    <w:p>
      <w:pPr>
        <w:pStyle w:val="Normal"/>
        <w:jc w:val="both"/>
        <w:rPr>
          <w:sz w:val="22"/>
        </w:rPr>
      </w:pPr>
      <w:r>
        <w:rPr>
          <w:sz w:val="22"/>
        </w:rPr>
      </w:r>
    </w:p>
    <w:p>
      <w:pPr>
        <w:pStyle w:val="Normal"/>
        <w:tabs>
          <w:tab w:val="clear" w:pos="720"/>
          <w:tab w:val="left" w:pos="567" w:leader="none"/>
        </w:tabs>
        <w:ind w:hanging="567" w:start="567" w:end="0"/>
        <w:jc w:val="both"/>
        <w:rPr>
          <w:sz w:val="22"/>
        </w:rPr>
      </w:pPr>
      <w:r>
        <w:rPr>
          <w:sz w:val="22"/>
        </w:rPr>
        <w:t>3.</w:t>
        <w:tab/>
        <w:t>Development Environment: a detailed description of the hardware and development platform required for the Maintenance, including:</w:t>
      </w:r>
    </w:p>
    <w:p>
      <w:pPr>
        <w:pStyle w:val="Normal"/>
        <w:numPr>
          <w:ilvl w:val="0"/>
          <w:numId w:val="10"/>
        </w:numPr>
        <w:tabs>
          <w:tab w:val="clear" w:pos="720"/>
          <w:tab w:val="left" w:pos="993" w:leader="none"/>
        </w:tabs>
        <w:ind w:hanging="426" w:start="993" w:end="0"/>
        <w:jc w:val="both"/>
        <w:rPr>
          <w:sz w:val="22"/>
        </w:rPr>
      </w:pPr>
      <w:r>
        <w:rPr>
          <w:sz w:val="22"/>
        </w:rPr>
        <w:t>a detailed statement of the installed/requisite hardware (make, type, configuration and so forth);</w:t>
      </w:r>
    </w:p>
    <w:p>
      <w:pPr>
        <w:pStyle w:val="Normal"/>
        <w:numPr>
          <w:ilvl w:val="0"/>
          <w:numId w:val="10"/>
        </w:numPr>
        <w:tabs>
          <w:tab w:val="clear" w:pos="720"/>
          <w:tab w:val="left" w:pos="993" w:leader="none"/>
        </w:tabs>
        <w:ind w:hanging="426" w:start="993" w:end="0"/>
        <w:jc w:val="both"/>
        <w:rPr>
          <w:sz w:val="22"/>
        </w:rPr>
      </w:pPr>
      <w:r>
        <w:rPr>
          <w:sz w:val="22"/>
        </w:rPr>
        <w:t>a detailed statement of the installed development software (programming language, 4gl, case tools, compilers, linkers and so forth);</w:t>
      </w:r>
    </w:p>
    <w:p>
      <w:pPr>
        <w:pStyle w:val="Normal"/>
        <w:numPr>
          <w:ilvl w:val="0"/>
          <w:numId w:val="10"/>
        </w:numPr>
        <w:tabs>
          <w:tab w:val="clear" w:pos="720"/>
          <w:tab w:val="left" w:pos="993" w:leader="none"/>
        </w:tabs>
        <w:ind w:hanging="426" w:start="993" w:end="0"/>
        <w:jc w:val="both"/>
        <w:rPr>
          <w:sz w:val="22"/>
        </w:rPr>
      </w:pPr>
      <w:r>
        <w:rPr>
          <w:sz w:val="22"/>
        </w:rPr>
        <w:t>any interfaces, conversion and migration programs owned by Supplier or a proper description of such third party programs;</w:t>
      </w:r>
    </w:p>
    <w:p>
      <w:pPr>
        <w:pStyle w:val="Normal"/>
        <w:numPr>
          <w:ilvl w:val="0"/>
          <w:numId w:val="10"/>
        </w:numPr>
        <w:tabs>
          <w:tab w:val="clear" w:pos="720"/>
          <w:tab w:val="left" w:pos="993" w:leader="none"/>
        </w:tabs>
        <w:ind w:hanging="426" w:start="993" w:end="0"/>
        <w:jc w:val="both"/>
        <w:rPr>
          <w:sz w:val="22"/>
        </w:rPr>
      </w:pPr>
      <w:r>
        <w:rPr>
          <w:sz w:val="22"/>
        </w:rPr>
        <w:t>a detailed statement of all installed software; and</w:t>
      </w:r>
    </w:p>
    <w:p>
      <w:pPr>
        <w:pStyle w:val="Normal"/>
        <w:numPr>
          <w:ilvl w:val="0"/>
          <w:numId w:val="10"/>
        </w:numPr>
        <w:tabs>
          <w:tab w:val="clear" w:pos="720"/>
          <w:tab w:val="left" w:pos="993" w:leader="none"/>
        </w:tabs>
        <w:ind w:hanging="426" w:start="993" w:end="0"/>
        <w:jc w:val="both"/>
        <w:rPr>
          <w:sz w:val="22"/>
        </w:rPr>
      </w:pPr>
      <w:r>
        <w:rPr>
          <w:sz w:val="22"/>
        </w:rPr>
        <w:t>the software developed in machine language by the Supplier itself which is necessary in order to carry out the Maintenance and/or to use the Source Code and the Software or a proper description of relevant third party software necessary for this purpose.</w:t>
      </w:r>
    </w:p>
    <w:p>
      <w:pPr>
        <w:pStyle w:val="Normal"/>
        <w:tabs>
          <w:tab w:val="clear" w:pos="720"/>
          <w:tab w:val="left" w:pos="993" w:leader="none"/>
        </w:tabs>
        <w:jc w:val="both"/>
        <w:rPr>
          <w:sz w:val="22"/>
        </w:rPr>
      </w:pPr>
      <w:r>
        <w:rPr>
          <w:sz w:val="22"/>
        </w:rPr>
      </w:r>
    </w:p>
    <w:p>
      <w:pPr>
        <w:pStyle w:val="Normal"/>
        <w:tabs>
          <w:tab w:val="clear" w:pos="720"/>
          <w:tab w:val="left" w:pos="540" w:leader="none"/>
        </w:tabs>
        <w:ind w:hanging="540" w:start="540" w:end="0"/>
        <w:jc w:val="both"/>
        <w:rPr>
          <w:sz w:val="22"/>
        </w:rPr>
      </w:pPr>
      <w:r>
        <w:rPr>
          <w:sz w:val="22"/>
        </w:rPr>
        <w:t>4.</w:t>
        <w:tab/>
        <w:t xml:space="preserve">Deposited Material: the Source Code and Development Environment to be deposited by the Supplier under this agreement. </w:t>
      </w:r>
    </w:p>
    <w:p>
      <w:pPr>
        <w:pStyle w:val="Normal"/>
        <w:tabs>
          <w:tab w:val="clear" w:pos="720"/>
          <w:tab w:val="left" w:pos="540" w:leader="none"/>
        </w:tabs>
        <w:ind w:hanging="540" w:start="540" w:end="0"/>
        <w:jc w:val="both"/>
        <w:rPr>
          <w:sz w:val="22"/>
        </w:rPr>
      </w:pPr>
      <w:r>
        <w:rPr>
          <w:sz w:val="22"/>
        </w:rPr>
      </w:r>
    </w:p>
    <w:p>
      <w:pPr>
        <w:pStyle w:val="BodyText"/>
        <w:tabs>
          <w:tab w:val="clear" w:pos="720"/>
          <w:tab w:val="left" w:pos="540" w:leader="none"/>
        </w:tabs>
        <w:ind w:hanging="540" w:start="540" w:end="0"/>
        <w:rPr>
          <w:sz w:val="22"/>
        </w:rPr>
      </w:pPr>
      <w:r>
        <w:rPr>
          <w:sz w:val="22"/>
        </w:rPr>
        <w:t>5.</w:t>
        <w:tab/>
        <w:t>Source Code Licence: the irrevocable, non-exclusive right to use the Deposited Material, solely for the benefit of the Beneficiary (but including such sub-licensing as may be permitted under the Master Services Agreement), for the Maintenance in order to generate a new machine version of the Software to be able to continue the licensed use of the Software for the purposes and duration specified in the Master Services Agreement.</w:t>
      </w:r>
    </w:p>
    <w:p>
      <w:pPr>
        <w:pStyle w:val="Normal"/>
        <w:tabs>
          <w:tab w:val="clear" w:pos="720"/>
          <w:tab w:val="left" w:pos="540" w:leader="none"/>
        </w:tabs>
        <w:ind w:hanging="540" w:start="540" w:end="0"/>
        <w:jc w:val="both"/>
        <w:rPr>
          <w:sz w:val="22"/>
        </w:rPr>
      </w:pPr>
      <w:r>
        <w:rPr>
          <w:sz w:val="22"/>
        </w:rPr>
        <w:t>6.</w:t>
        <w:tab/>
        <w:t>Deposit: the taking into safekeeping by Softcrow of two copies of the Source Code packed in separately sealed covers and two copies of the Development Environment packed in separately sealed covers, together with a copy of the Software. The Supplier shall be obliged to deliver the Deposited Material to Softcrow for Deposit:</w:t>
      </w:r>
    </w:p>
    <w:p>
      <w:pPr>
        <w:pStyle w:val="Normal"/>
        <w:numPr>
          <w:ilvl w:val="0"/>
          <w:numId w:val="11"/>
        </w:numPr>
        <w:tabs>
          <w:tab w:val="clear" w:pos="720"/>
          <w:tab w:val="left" w:pos="540" w:leader="none"/>
        </w:tabs>
        <w:jc w:val="both"/>
        <w:rPr>
          <w:sz w:val="22"/>
        </w:rPr>
      </w:pPr>
      <w:r>
        <w:rPr>
          <w:sz w:val="22"/>
        </w:rPr>
        <w:t>within 45 days of the signature of this agreement with respect to the Software specified in Schedule 1 at the date of this agreement; and</w:t>
      </w:r>
    </w:p>
    <w:p>
      <w:pPr>
        <w:pStyle w:val="Normal"/>
        <w:numPr>
          <w:ilvl w:val="0"/>
          <w:numId w:val="11"/>
        </w:numPr>
        <w:tabs>
          <w:tab w:val="clear" w:pos="720"/>
          <w:tab w:val="left" w:pos="540" w:leader="none"/>
        </w:tabs>
        <w:jc w:val="both"/>
        <w:rPr>
          <w:sz w:val="22"/>
        </w:rPr>
      </w:pPr>
      <w:r>
        <w:rPr>
          <w:sz w:val="22"/>
        </w:rPr>
        <w:t xml:space="preserve">within 45 days of the date of the parties’ agreement to amend Schedule 1 with respect to Software the parties subsequently agree to deposit under this agreement. </w:t>
      </w:r>
    </w:p>
    <w:p>
      <w:pPr>
        <w:pStyle w:val="Normal"/>
        <w:tabs>
          <w:tab w:val="clear" w:pos="720"/>
          <w:tab w:val="left" w:pos="540" w:leader="none"/>
        </w:tabs>
        <w:ind w:hanging="540" w:start="540" w:end="0"/>
        <w:jc w:val="both"/>
        <w:rPr>
          <w:sz w:val="22"/>
        </w:rPr>
      </w:pPr>
      <w:r>
        <w:rPr>
          <w:sz w:val="22"/>
        </w:rPr>
      </w:r>
    </w:p>
    <w:p>
      <w:pPr>
        <w:pStyle w:val="Normal"/>
        <w:tabs>
          <w:tab w:val="clear" w:pos="720"/>
          <w:tab w:val="left" w:pos="540" w:leader="none"/>
        </w:tabs>
        <w:ind w:hanging="540" w:start="540" w:end="0"/>
        <w:jc w:val="both"/>
        <w:rPr>
          <w:sz w:val="22"/>
        </w:rPr>
      </w:pPr>
      <w:r>
        <w:rPr>
          <w:sz w:val="22"/>
        </w:rPr>
        <w:t>7.</w:t>
        <w:tab/>
        <w:t>Back-up: a copy (i.e. a reserve copy) of the Deposited Material.</w:t>
      </w:r>
    </w:p>
    <w:p>
      <w:pPr>
        <w:pStyle w:val="Normal"/>
        <w:tabs>
          <w:tab w:val="clear" w:pos="720"/>
          <w:tab w:val="left" w:pos="540" w:leader="none"/>
        </w:tabs>
        <w:ind w:hanging="540" w:start="540" w:end="0"/>
        <w:jc w:val="both"/>
        <w:rPr>
          <w:sz w:val="22"/>
        </w:rPr>
      </w:pPr>
      <w:r>
        <w:rPr>
          <w:sz w:val="22"/>
        </w:rPr>
      </w:r>
    </w:p>
    <w:p>
      <w:pPr>
        <w:pStyle w:val="Normal"/>
        <w:tabs>
          <w:tab w:val="clear" w:pos="720"/>
          <w:tab w:val="left" w:pos="540" w:leader="none"/>
        </w:tabs>
        <w:ind w:hanging="540" w:start="540" w:end="0"/>
        <w:jc w:val="both"/>
        <w:rPr>
          <w:sz w:val="22"/>
        </w:rPr>
      </w:pPr>
      <w:r>
        <w:rPr>
          <w:sz w:val="22"/>
        </w:rPr>
        <w:t>8.</w:t>
        <w:tab/>
        <w:t>Escrow: everything to be performed under the terms of this agreement.</w:t>
      </w:r>
    </w:p>
    <w:p>
      <w:pPr>
        <w:pStyle w:val="Normal"/>
        <w:tabs>
          <w:tab w:val="clear" w:pos="720"/>
          <w:tab w:val="left" w:pos="540" w:leader="none"/>
        </w:tabs>
        <w:ind w:hanging="540" w:start="540" w:end="0"/>
        <w:jc w:val="both"/>
        <w:rPr>
          <w:sz w:val="22"/>
        </w:rPr>
      </w:pPr>
      <w:r>
        <w:rPr>
          <w:sz w:val="22"/>
        </w:rPr>
        <w:t xml:space="preserve"> </w:t>
      </w:r>
    </w:p>
    <w:p>
      <w:pPr>
        <w:pStyle w:val="Normal"/>
        <w:tabs>
          <w:tab w:val="clear" w:pos="720"/>
          <w:tab w:val="left" w:pos="540" w:leader="none"/>
        </w:tabs>
        <w:ind w:hanging="540" w:start="540" w:end="0"/>
        <w:jc w:val="both"/>
        <w:rPr/>
      </w:pPr>
      <w:r>
        <w:rPr>
          <w:sz w:val="22"/>
        </w:rPr>
        <w:t>9.</w:t>
        <w:tab/>
        <w:t>Maintenance: maintaining, using, operating, adjusting, modifying, adapting, enhancing, expanding, upgrading and/or decompiling the Software to enable the licensed use of the Software by the Beneficiary or  the licensed use of the Software by a third party in provisioning services to the Beneficiary.</w:t>
      </w:r>
    </w:p>
    <w:p>
      <w:pPr>
        <w:pStyle w:val="Normal"/>
        <w:tabs>
          <w:tab w:val="clear" w:pos="720"/>
          <w:tab w:val="left" w:pos="540" w:leader="none"/>
        </w:tabs>
        <w:ind w:hanging="540" w:start="540" w:end="0"/>
        <w:jc w:val="both"/>
        <w:rPr>
          <w:sz w:val="22"/>
        </w:rPr>
      </w:pPr>
      <w:r>
        <w:rPr>
          <w:sz w:val="22"/>
        </w:rPr>
      </w:r>
    </w:p>
    <w:p>
      <w:pPr>
        <w:pStyle w:val="Normal"/>
        <w:tabs>
          <w:tab w:val="clear" w:pos="720"/>
          <w:tab w:val="left" w:pos="540" w:leader="none"/>
        </w:tabs>
        <w:ind w:hanging="540" w:start="540" w:end="0"/>
        <w:jc w:val="both"/>
        <w:rPr>
          <w:sz w:val="22"/>
        </w:rPr>
      </w:pPr>
      <w:r>
        <w:rPr>
          <w:sz w:val="22"/>
        </w:rPr>
        <w:t>10.</w:t>
        <w:tab/>
        <w:t>Verification Examination: the verification examination of the Deposited Material, the Source Code and/or the Development Environment to be instituted at the request of the Beneficiary and to be carried out by an Auditor within the powers laid down in Article 2.4. The standard Verification Examinations are described in Schedule 1.</w:t>
      </w:r>
    </w:p>
    <w:p>
      <w:pPr>
        <w:pStyle w:val="Normal"/>
        <w:tabs>
          <w:tab w:val="clear" w:pos="720"/>
          <w:tab w:val="left" w:pos="540" w:leader="none"/>
        </w:tabs>
        <w:ind w:hanging="540" w:start="540" w:end="0"/>
        <w:jc w:val="both"/>
        <w:rPr>
          <w:sz w:val="22"/>
        </w:rPr>
      </w:pPr>
      <w:r>
        <w:rPr>
          <w:sz w:val="22"/>
        </w:rPr>
      </w:r>
    </w:p>
    <w:p>
      <w:pPr>
        <w:pStyle w:val="Normal"/>
        <w:tabs>
          <w:tab w:val="clear" w:pos="720"/>
          <w:tab w:val="left" w:pos="-720" w:leader="none"/>
          <w:tab w:val="left" w:pos="540" w:leader="none"/>
        </w:tabs>
        <w:suppressAutoHyphens w:val="true"/>
        <w:ind w:hanging="540" w:start="540" w:end="0"/>
        <w:jc w:val="both"/>
        <w:rPr/>
      </w:pPr>
      <w:r>
        <w:rPr>
          <w:sz w:val="22"/>
        </w:rPr>
        <w:t>11.</w:t>
        <w:tab/>
        <w:t xml:space="preserve">Auditor: </w:t>
      </w:r>
      <w:r>
        <w:rPr>
          <w:spacing w:val="-2"/>
          <w:sz w:val="22"/>
        </w:rPr>
        <w:t>an independent and impartial accountant/expert EDP Auditor who is a member of NOREA (the national professional organisation of EDP auditors in the Netherlands). The Code of Conduct and Professional Rules for Registered EDP Auditors shall apply.</w:t>
      </w:r>
    </w:p>
    <w:p>
      <w:pPr>
        <w:pStyle w:val="Normal"/>
        <w:tabs>
          <w:tab w:val="clear" w:pos="720"/>
          <w:tab w:val="left" w:pos="-720" w:leader="none"/>
          <w:tab w:val="left" w:pos="540" w:leader="none"/>
        </w:tabs>
        <w:suppressAutoHyphens w:val="true"/>
        <w:ind w:hanging="540" w:start="540" w:end="0"/>
        <w:jc w:val="both"/>
        <w:rPr>
          <w:spacing w:val="-2"/>
          <w:sz w:val="22"/>
        </w:rPr>
      </w:pPr>
      <w:r>
        <w:rPr>
          <w:spacing w:val="-2"/>
          <w:sz w:val="22"/>
        </w:rPr>
      </w:r>
    </w:p>
    <w:p>
      <w:pPr>
        <w:pStyle w:val="Normal"/>
        <w:tabs>
          <w:tab w:val="clear" w:pos="720"/>
          <w:tab w:val="left" w:pos="-720" w:leader="none"/>
          <w:tab w:val="left" w:pos="540" w:leader="none"/>
        </w:tabs>
        <w:suppressAutoHyphens w:val="true"/>
        <w:ind w:hanging="540" w:start="540" w:end="0"/>
        <w:jc w:val="both"/>
        <w:rPr>
          <w:sz w:val="22"/>
        </w:rPr>
      </w:pPr>
      <w:r>
        <w:rPr>
          <w:spacing w:val="-2"/>
          <w:sz w:val="22"/>
        </w:rPr>
        <w:t>12.</w:t>
        <w:tab/>
        <w:t>Master Services Agreement: the Master Services Agreement between the Beneficiary and the Supplier for the provision of outsourced services.</w:t>
      </w:r>
    </w:p>
    <w:p>
      <w:pPr>
        <w:pStyle w:val="Normal"/>
        <w:jc w:val="both"/>
        <w:rPr>
          <w:b/>
          <w:bCs/>
          <w:sz w:val="22"/>
        </w:rPr>
      </w:pPr>
      <w:r>
        <w:rPr>
          <w:b/>
          <w:bCs/>
          <w:sz w:val="22"/>
        </w:rPr>
      </w:r>
    </w:p>
    <w:p>
      <w:pPr>
        <w:pStyle w:val="Heading3"/>
        <w:ind w:hanging="0" w:start="0"/>
        <w:rPr/>
      </w:pPr>
      <w:bookmarkStart w:id="1" w:name="__RefHeading___Toc153674992"/>
      <w:bookmarkEnd w:id="1"/>
      <w:r>
        <w:rPr>
          <w:sz w:val="22"/>
          <w:szCs w:val="22"/>
        </w:rPr>
        <w:t>Art. 2.</w:t>
        <w:tab/>
        <w:tab/>
        <w:t>Verification Examination of the Deposited Material</w:t>
      </w:r>
    </w:p>
    <w:p>
      <w:pPr>
        <w:pStyle w:val="Normal"/>
        <w:jc w:val="both"/>
        <w:rPr>
          <w:sz w:val="22"/>
          <w:szCs w:val="22"/>
        </w:rPr>
      </w:pPr>
      <w:r>
        <w:rPr>
          <w:sz w:val="22"/>
          <w:szCs w:val="22"/>
        </w:rPr>
      </w:r>
    </w:p>
    <w:p>
      <w:pPr>
        <w:pStyle w:val="Normal"/>
        <w:tabs>
          <w:tab w:val="clear" w:pos="720"/>
          <w:tab w:val="left" w:pos="540" w:leader="none"/>
        </w:tabs>
        <w:ind w:hanging="540" w:start="540" w:end="0"/>
        <w:jc w:val="both"/>
        <w:rPr>
          <w:sz w:val="22"/>
        </w:rPr>
      </w:pPr>
      <w:r>
        <w:rPr>
          <w:sz w:val="22"/>
        </w:rPr>
        <w:t>1.</w:t>
        <w:tab/>
        <w:t xml:space="preserve">At the written request of the Beneficiary, Softcrow shall instruct the Auditor to carry out a Verification Examination. The Beneficiary shall supply Softcrow and the Supplier for this purpose with a written instruction, specifying the final date by which the Verification Examination must be carried out. The parties hereby undertake to cooperate in any such examinations.  The Supplier can have a representative be present at any Verification Examination, provided that the Verification Examination will go ahead as scheduled without the Supplier’s representative being present if the Supplier has been given notice of the Verification Examination and has either declined to attend, failed to respond or, having indicated to the Beneficiary that it will have a representative attend, fails to procure the representative’s attendance. </w:t>
      </w:r>
    </w:p>
    <w:p>
      <w:pPr>
        <w:pStyle w:val="Normal"/>
        <w:jc w:val="both"/>
        <w:rPr>
          <w:sz w:val="22"/>
        </w:rPr>
      </w:pPr>
      <w:r>
        <w:rPr>
          <w:sz w:val="22"/>
        </w:rPr>
      </w:r>
    </w:p>
    <w:p>
      <w:pPr>
        <w:pStyle w:val="Normal"/>
        <w:tabs>
          <w:tab w:val="clear" w:pos="720"/>
          <w:tab w:val="left" w:pos="567" w:leader="none"/>
        </w:tabs>
        <w:ind w:hanging="567" w:start="567" w:end="0"/>
        <w:jc w:val="both"/>
        <w:rPr>
          <w:sz w:val="22"/>
        </w:rPr>
      </w:pPr>
      <w:r>
        <w:rPr>
          <w:sz w:val="22"/>
        </w:rPr>
        <w:t>2.</w:t>
        <w:tab/>
        <w:t>If the Beneficiary requests a Verification Examination, Softcrow shall make available to the Auditor a copy of the Deposited Material (Source Code and/or Development Environment) for the purpose of the Verification Examination. The Verification Examination shall be carried out using the computer system of either the Supplier or the Beneficiary, at the discretion of the Beneficiary.</w:t>
      </w:r>
    </w:p>
    <w:p>
      <w:pPr>
        <w:pStyle w:val="Normal"/>
        <w:jc w:val="both"/>
        <w:rPr>
          <w:sz w:val="22"/>
        </w:rPr>
      </w:pPr>
      <w:r>
        <w:rPr>
          <w:sz w:val="22"/>
        </w:rPr>
      </w:r>
    </w:p>
    <w:p>
      <w:pPr>
        <w:pStyle w:val="Normal"/>
        <w:tabs>
          <w:tab w:val="clear" w:pos="720"/>
          <w:tab w:val="left" w:pos="567" w:leader="none"/>
        </w:tabs>
        <w:ind w:hanging="567" w:start="567" w:end="0"/>
        <w:jc w:val="both"/>
        <w:rPr>
          <w:sz w:val="22"/>
        </w:rPr>
      </w:pPr>
      <w:r>
        <w:rPr>
          <w:sz w:val="22"/>
        </w:rPr>
        <w:t>3.</w:t>
        <w:tab/>
        <w:t>The Supplier hereby grants the Auditor the irrevocable right to:</w:t>
      </w:r>
    </w:p>
    <w:p>
      <w:pPr>
        <w:pStyle w:val="Normal"/>
        <w:numPr>
          <w:ilvl w:val="0"/>
          <w:numId w:val="7"/>
        </w:numPr>
        <w:tabs>
          <w:tab w:val="clear" w:pos="720"/>
          <w:tab w:val="left" w:pos="993" w:leader="none"/>
        </w:tabs>
        <w:ind w:hanging="426" w:start="993" w:end="0"/>
        <w:jc w:val="both"/>
        <w:rPr>
          <w:sz w:val="22"/>
        </w:rPr>
      </w:pPr>
      <w:r>
        <w:rPr>
          <w:sz w:val="22"/>
        </w:rPr>
        <w:t>load the Source Code on a computer system in order to carry out the Verification Examination; and</w:t>
      </w:r>
    </w:p>
    <w:p>
      <w:pPr>
        <w:pStyle w:val="Normal"/>
        <w:numPr>
          <w:ilvl w:val="0"/>
          <w:numId w:val="7"/>
        </w:numPr>
        <w:tabs>
          <w:tab w:val="clear" w:pos="720"/>
          <w:tab w:val="left" w:pos="993" w:leader="none"/>
        </w:tabs>
        <w:ind w:hanging="426" w:start="993" w:end="0"/>
        <w:jc w:val="both"/>
        <w:rPr>
          <w:sz w:val="22"/>
        </w:rPr>
      </w:pPr>
      <w:r>
        <w:rPr>
          <w:sz w:val="22"/>
        </w:rPr>
        <w:t>deposit the Source Code and/or the Development Environment with Softcrow.</w:t>
      </w:r>
    </w:p>
    <w:p>
      <w:pPr>
        <w:pStyle w:val="Normal"/>
        <w:jc w:val="both"/>
        <w:rPr>
          <w:sz w:val="22"/>
        </w:rPr>
      </w:pPr>
      <w:r>
        <w:rPr>
          <w:sz w:val="22"/>
        </w:rPr>
      </w:r>
    </w:p>
    <w:p>
      <w:pPr>
        <w:pStyle w:val="Normal"/>
        <w:tabs>
          <w:tab w:val="clear" w:pos="720"/>
          <w:tab w:val="left" w:pos="567" w:leader="none"/>
        </w:tabs>
        <w:ind w:hanging="567" w:start="567" w:end="0"/>
        <w:jc w:val="both"/>
        <w:rPr>
          <w:sz w:val="22"/>
        </w:rPr>
      </w:pPr>
      <w:r>
        <w:rPr>
          <w:sz w:val="22"/>
        </w:rPr>
        <w:t>4.</w:t>
        <w:tab/>
        <w:t>The Auditor shall be competent to examine:</w:t>
      </w:r>
    </w:p>
    <w:p>
      <w:pPr>
        <w:pStyle w:val="Normal"/>
        <w:numPr>
          <w:ilvl w:val="0"/>
          <w:numId w:val="9"/>
        </w:numPr>
        <w:tabs>
          <w:tab w:val="clear" w:pos="720"/>
          <w:tab w:val="left" w:pos="993" w:leader="none"/>
        </w:tabs>
        <w:ind w:hanging="426" w:start="993" w:end="0"/>
        <w:jc w:val="both"/>
        <w:rPr>
          <w:sz w:val="22"/>
        </w:rPr>
      </w:pPr>
      <w:r>
        <w:rPr>
          <w:sz w:val="22"/>
        </w:rPr>
        <w:t>whether a correct machine version (object code) of the Software can be generated from the Source Code (either with or without modifications);</w:t>
      </w:r>
    </w:p>
    <w:p>
      <w:pPr>
        <w:pStyle w:val="Normal"/>
        <w:numPr>
          <w:ilvl w:val="0"/>
          <w:numId w:val="9"/>
        </w:numPr>
        <w:tabs>
          <w:tab w:val="clear" w:pos="720"/>
          <w:tab w:val="left" w:pos="993" w:leader="none"/>
        </w:tabs>
        <w:ind w:hanging="426" w:start="993" w:end="0"/>
        <w:jc w:val="both"/>
        <w:rPr>
          <w:sz w:val="22"/>
        </w:rPr>
      </w:pPr>
      <w:r>
        <w:rPr>
          <w:sz w:val="22"/>
        </w:rPr>
        <w:t xml:space="preserve">whether the hardware/software environment required for the Maintenance can be produced/reproduced from the Development Environment (either with or without modifications); </w:t>
      </w:r>
    </w:p>
    <w:p>
      <w:pPr>
        <w:pStyle w:val="Normal"/>
        <w:numPr>
          <w:ilvl w:val="0"/>
          <w:numId w:val="9"/>
        </w:numPr>
        <w:tabs>
          <w:tab w:val="clear" w:pos="720"/>
          <w:tab w:val="left" w:pos="993" w:leader="none"/>
        </w:tabs>
        <w:ind w:hanging="426" w:start="993" w:end="0"/>
        <w:jc w:val="both"/>
        <w:rPr>
          <w:sz w:val="22"/>
        </w:rPr>
      </w:pPr>
      <w:r>
        <w:rPr>
          <w:sz w:val="22"/>
        </w:rPr>
        <w:t>whether the Source Code is suitable to be continuously and efficiently used by a party other than the Supplier to carry out the Maintenance, always assuming that such other party has sufficient expertise and the correct hardware/software environment and relevant third party tools; and</w:t>
      </w:r>
    </w:p>
    <w:p>
      <w:pPr>
        <w:pStyle w:val="Normal"/>
        <w:numPr>
          <w:ilvl w:val="0"/>
          <w:numId w:val="9"/>
        </w:numPr>
        <w:tabs>
          <w:tab w:val="clear" w:pos="720"/>
          <w:tab w:val="left" w:pos="993" w:leader="none"/>
        </w:tabs>
        <w:ind w:hanging="426" w:start="993" w:end="0"/>
        <w:jc w:val="both"/>
        <w:rPr>
          <w:sz w:val="22"/>
        </w:rPr>
      </w:pPr>
      <w:r>
        <w:rPr>
          <w:sz w:val="22"/>
        </w:rPr>
        <w:t>whether the Source Code is free of computer viruses known at the time of the Verification Examination.</w:t>
      </w:r>
    </w:p>
    <w:p>
      <w:pPr>
        <w:pStyle w:val="Normal"/>
        <w:jc w:val="both"/>
        <w:rPr>
          <w:sz w:val="22"/>
        </w:rPr>
      </w:pPr>
      <w:r>
        <w:rPr>
          <w:sz w:val="22"/>
        </w:rPr>
      </w:r>
    </w:p>
    <w:p>
      <w:pPr>
        <w:pStyle w:val="Normal"/>
        <w:tabs>
          <w:tab w:val="clear" w:pos="720"/>
          <w:tab w:val="left" w:pos="567" w:leader="none"/>
        </w:tabs>
        <w:ind w:hanging="567" w:start="567" w:end="0"/>
        <w:jc w:val="both"/>
        <w:rPr>
          <w:sz w:val="22"/>
        </w:rPr>
      </w:pPr>
      <w:r>
        <w:rPr>
          <w:sz w:val="22"/>
        </w:rPr>
        <w:t>5.</w:t>
        <w:tab/>
        <w:t xml:space="preserve">If it appears from the Verification Examination that the Source Code is not suitable for generating the correct machine version of the Software or if it appears that the Source Code is not complete or not suitable for the purpose of continuous and efficient Maintenance or that the Development Environment is not suitable for the Maintenance and/or is not reproducible due to reasons other than a failure by the Auditor to conduct the Verification Examination in accordance with this agreement, the costs of the examination shall be borne by the Supplier. The Supplier shall in that case also bear the costs of replacing and/or supplementing the unusable parts or components of the Source Code and/or the Development Environment. The Supplier shall then as soon as reasonably practicable supply Softcrow with a complete and correct Source Code and/or Development Environment in duplicate, after which a new Verification Examination will be carried out. </w:t>
      </w:r>
    </w:p>
    <w:p>
      <w:pPr>
        <w:pStyle w:val="Normal"/>
        <w:jc w:val="both"/>
        <w:rPr>
          <w:sz w:val="22"/>
        </w:rPr>
      </w:pPr>
      <w:r>
        <w:rPr>
          <w:sz w:val="22"/>
        </w:rPr>
      </w:r>
    </w:p>
    <w:p>
      <w:pPr>
        <w:pStyle w:val="Normal"/>
        <w:tabs>
          <w:tab w:val="clear" w:pos="720"/>
          <w:tab w:val="left" w:pos="567" w:leader="none"/>
        </w:tabs>
        <w:ind w:hanging="567" w:start="567" w:end="0"/>
        <w:jc w:val="both"/>
        <w:rPr>
          <w:sz w:val="22"/>
        </w:rPr>
      </w:pPr>
      <w:r>
        <w:rPr>
          <w:sz w:val="22"/>
        </w:rPr>
        <w:t>6.</w:t>
        <w:tab/>
        <w:t>The instruction to the Auditor to verify the Source Code and/or the Development Environment shall also confer on the Auditor a power and a duty, in cases where the Source Code or Development Environment proves suitable, to duplicate the digital component by recording it on an unwritten (magnetically/electronically accessible) information carrier. The information carrier(s) shall be made available to the Auditor by the Supplier.</w:t>
      </w:r>
    </w:p>
    <w:p>
      <w:pPr>
        <w:pStyle w:val="Normal"/>
        <w:tabs>
          <w:tab w:val="clear" w:pos="720"/>
          <w:tab w:val="left" w:pos="567" w:leader="none"/>
        </w:tabs>
        <w:ind w:hanging="567" w:start="567" w:end="0"/>
        <w:jc w:val="both"/>
        <w:rPr>
          <w:sz w:val="22"/>
        </w:rPr>
      </w:pPr>
      <w:r>
        <w:rPr>
          <w:sz w:val="22"/>
        </w:rPr>
      </w:r>
    </w:p>
    <w:p>
      <w:pPr>
        <w:pStyle w:val="Normal"/>
        <w:tabs>
          <w:tab w:val="clear" w:pos="720"/>
          <w:tab w:val="left" w:pos="567" w:leader="none"/>
        </w:tabs>
        <w:ind w:hanging="567" w:start="567" w:end="0"/>
        <w:jc w:val="both"/>
        <w:rPr/>
      </w:pPr>
      <w:r>
        <w:rPr>
          <w:sz w:val="22"/>
        </w:rPr>
        <w:t>7.</w:t>
        <w:tab/>
        <w:t>Further to the Verification Examination referred to in this article, the Beneficiary is entitled at any time to arrange for a Verification Examination where required by a regulatory authority appointed by central government (e.g. the Dutch central bank), by a party designated by the regulatory authority concerned, including an accountant/expert working for the internal auditing department of the regulatory authority concerned or working for the internal auditing department of the Beneficiary. The provisions of paragraphs 2, 3 4 and 5 of this article shall apply by analogy in this connection.  For the avoidance of doubt, nothing in this agreement shall require the Supplier to make any changes to the specifications of the Software.  If any regulatory authority requires or suggests any changes to the specifications of the Software as a consequence of a Verification Examination, the requirement or suggestion will be addressed in accordance with the Master Services Agreement.</w:t>
      </w:r>
    </w:p>
    <w:p>
      <w:pPr>
        <w:pStyle w:val="Normal"/>
        <w:jc w:val="both"/>
        <w:rPr>
          <w:b/>
          <w:bCs/>
          <w:sz w:val="22"/>
        </w:rPr>
      </w:pPr>
      <w:r>
        <w:rPr>
          <w:b/>
          <w:bCs/>
          <w:sz w:val="22"/>
        </w:rPr>
      </w:r>
    </w:p>
    <w:p>
      <w:pPr>
        <w:pStyle w:val="Heading3"/>
        <w:ind w:hanging="0" w:start="0"/>
        <w:rPr/>
      </w:pPr>
      <w:bookmarkStart w:id="2" w:name="__RefHeading___Toc153674993"/>
      <w:bookmarkEnd w:id="2"/>
      <w:r>
        <w:rPr>
          <w:sz w:val="22"/>
          <w:szCs w:val="22"/>
        </w:rPr>
        <w:t>Art. 3.</w:t>
        <w:tab/>
        <w:tab/>
        <w:t>Deposit</w:t>
      </w:r>
    </w:p>
    <w:p>
      <w:pPr>
        <w:pStyle w:val="Normal"/>
        <w:numPr>
          <w:ilvl w:val="0"/>
          <w:numId w:val="0"/>
        </w:numPr>
        <w:jc w:val="both"/>
        <w:outlineLvl w:val="0"/>
        <w:rPr>
          <w:sz w:val="22"/>
          <w:szCs w:val="22"/>
        </w:rPr>
      </w:pPr>
      <w:r>
        <w:rPr>
          <w:sz w:val="22"/>
          <w:szCs w:val="22"/>
        </w:rPr>
      </w:r>
    </w:p>
    <w:p>
      <w:pPr>
        <w:pStyle w:val="Normal"/>
        <w:tabs>
          <w:tab w:val="clear" w:pos="720"/>
          <w:tab w:val="left" w:pos="567" w:leader="none"/>
        </w:tabs>
        <w:ind w:hanging="567" w:start="567" w:end="0"/>
        <w:jc w:val="both"/>
        <w:rPr>
          <w:sz w:val="22"/>
        </w:rPr>
      </w:pPr>
      <w:r>
        <w:rPr>
          <w:sz w:val="22"/>
        </w:rPr>
        <w:t>1.</w:t>
        <w:tab/>
        <w:t>At the Beneficiary's expense Softcrow shall make available the cases required for the Deposit. The cases shall remain Softcrow's property.</w:t>
      </w:r>
    </w:p>
    <w:p>
      <w:pPr>
        <w:pStyle w:val="Normal"/>
        <w:jc w:val="both"/>
        <w:rPr>
          <w:sz w:val="22"/>
        </w:rPr>
      </w:pPr>
      <w:r>
        <w:rPr>
          <w:sz w:val="22"/>
        </w:rPr>
      </w:r>
    </w:p>
    <w:p>
      <w:pPr>
        <w:pStyle w:val="Normal"/>
        <w:tabs>
          <w:tab w:val="clear" w:pos="720"/>
          <w:tab w:val="left" w:pos="567" w:leader="none"/>
        </w:tabs>
        <w:ind w:hanging="567" w:start="567" w:end="0"/>
        <w:jc w:val="both"/>
        <w:rPr>
          <w:sz w:val="22"/>
        </w:rPr>
      </w:pPr>
      <w:r>
        <w:rPr>
          <w:sz w:val="22"/>
        </w:rPr>
        <w:t>2.</w:t>
        <w:tab/>
        <w:t xml:space="preserve">The provisions of article 4.2 shall apply to the failure by the Supplier to make the Deposit in accordance with article 1.6, either initially or at any other time as required by this agreement.  </w:t>
      </w:r>
    </w:p>
    <w:p>
      <w:pPr>
        <w:pStyle w:val="Normal"/>
        <w:tabs>
          <w:tab w:val="clear" w:pos="720"/>
          <w:tab w:val="left" w:pos="567" w:leader="none"/>
        </w:tabs>
        <w:ind w:hanging="567" w:start="567" w:end="0"/>
        <w:jc w:val="both"/>
        <w:rPr>
          <w:sz w:val="22"/>
        </w:rPr>
      </w:pPr>
      <w:r>
        <w:rPr>
          <w:sz w:val="22"/>
        </w:rPr>
      </w:r>
    </w:p>
    <w:p>
      <w:pPr>
        <w:pStyle w:val="Normal"/>
        <w:tabs>
          <w:tab w:val="clear" w:pos="720"/>
          <w:tab w:val="left" w:pos="567" w:leader="none"/>
        </w:tabs>
        <w:ind w:hanging="567" w:start="567" w:end="0"/>
        <w:jc w:val="both"/>
        <w:rPr/>
      </w:pPr>
      <w:r>
        <w:rPr>
          <w:sz w:val="22"/>
        </w:rPr>
        <w:t>3.</w:t>
        <w:tab/>
        <w:t xml:space="preserve">If the Beneficiary has requested a Verification Examination, the Auditor shall, after the Verification Examination has been completed successfully, deliver the Source Code and/or the Development Environment and the version of the Software generated on that occasion </w:t>
      </w:r>
      <w:r>
        <w:rPr>
          <w:spacing w:val="-2"/>
          <w:sz w:val="22"/>
        </w:rPr>
        <w:t>in a sealed case</w:t>
      </w:r>
      <w:r>
        <w:rPr>
          <w:sz w:val="22"/>
        </w:rPr>
        <w:t xml:space="preserve"> to Softcrow for Deposit.</w:t>
      </w:r>
    </w:p>
    <w:p>
      <w:pPr>
        <w:pStyle w:val="Normal"/>
        <w:tabs>
          <w:tab w:val="clear" w:pos="720"/>
          <w:tab w:val="left" w:pos="567" w:leader="none"/>
        </w:tabs>
        <w:ind w:hanging="567" w:start="567" w:end="0"/>
        <w:jc w:val="both"/>
        <w:rPr>
          <w:sz w:val="22"/>
        </w:rPr>
      </w:pPr>
      <w:r>
        <w:rPr>
          <w:sz w:val="22"/>
        </w:rPr>
      </w:r>
    </w:p>
    <w:p>
      <w:pPr>
        <w:pStyle w:val="Normal"/>
        <w:tabs>
          <w:tab w:val="clear" w:pos="720"/>
          <w:tab w:val="left" w:pos="567" w:leader="none"/>
        </w:tabs>
        <w:ind w:hanging="567" w:start="567" w:end="0"/>
        <w:jc w:val="both"/>
        <w:rPr>
          <w:sz w:val="22"/>
        </w:rPr>
      </w:pPr>
      <w:r>
        <w:rPr>
          <w:sz w:val="22"/>
        </w:rPr>
        <w:t>4.</w:t>
        <w:tab/>
        <w:t>The Auditor shall, at the request of the Beneficiary, make an extra copy of the Software generated in the Verification Examination and make this copy available, in a sealed cover, to the Beneficiary exclusively for the purpose of having the Beneficiary establish, either in cooperation with the Auditor or otherwise (and in the presence of the Supplier if he so desires, provided that if the Supplier has been given notice and has either declined to attend, failed to respond or, having indicated to the Beneficiary that it will have a representative attend, fails to procure the representative’s attendance then the Supplier’s attendance will not be required), that this copy corresponds with the software installed by the Beneficiary. If it transpires that this copy does not correspond with the software installed by the Beneficiary, a new Verification Examination shall be carried out in accordance with the provisions of articles 2 and 3. The costs of such examination shall be borne by the Supplier.</w:t>
      </w:r>
    </w:p>
    <w:p>
      <w:pPr>
        <w:pStyle w:val="Normal"/>
        <w:tabs>
          <w:tab w:val="clear" w:pos="720"/>
          <w:tab w:val="left" w:pos="567" w:leader="none"/>
        </w:tabs>
        <w:ind w:hanging="567" w:start="567" w:end="0"/>
        <w:jc w:val="both"/>
        <w:rPr>
          <w:sz w:val="22"/>
        </w:rPr>
      </w:pPr>
      <w:r>
        <w:rPr>
          <w:sz w:val="22"/>
        </w:rPr>
      </w:r>
    </w:p>
    <w:p>
      <w:pPr>
        <w:pStyle w:val="Normal"/>
        <w:tabs>
          <w:tab w:val="clear" w:pos="720"/>
          <w:tab w:val="left" w:pos="567" w:leader="none"/>
        </w:tabs>
        <w:ind w:hanging="567" w:start="567" w:end="0"/>
        <w:jc w:val="both"/>
        <w:rPr>
          <w:sz w:val="22"/>
        </w:rPr>
      </w:pPr>
      <w:r>
        <w:rPr>
          <w:sz w:val="22"/>
        </w:rPr>
        <w:t>5.</w:t>
        <w:tab/>
        <w:t>The Supplier hereby transfers to Softcrow ownership of the information carriers required for the Deposit, which transfer of ownership is hereby accepted by Softcrow.</w:t>
      </w:r>
    </w:p>
    <w:p>
      <w:pPr>
        <w:pStyle w:val="Normal"/>
        <w:tabs>
          <w:tab w:val="clear" w:pos="720"/>
          <w:tab w:val="left" w:pos="567" w:leader="none"/>
        </w:tabs>
        <w:ind w:hanging="567" w:start="567" w:end="0"/>
        <w:jc w:val="both"/>
        <w:rPr>
          <w:sz w:val="22"/>
        </w:rPr>
      </w:pPr>
      <w:r>
        <w:rPr>
          <w:sz w:val="22"/>
        </w:rPr>
      </w:r>
    </w:p>
    <w:p>
      <w:pPr>
        <w:pStyle w:val="Normal"/>
        <w:tabs>
          <w:tab w:val="clear" w:pos="720"/>
          <w:tab w:val="left" w:pos="567" w:leader="none"/>
        </w:tabs>
        <w:ind w:hanging="567" w:start="567" w:end="0"/>
        <w:jc w:val="both"/>
        <w:rPr>
          <w:sz w:val="22"/>
        </w:rPr>
      </w:pPr>
      <w:r>
        <w:rPr>
          <w:sz w:val="22"/>
        </w:rPr>
        <w:t>6.</w:t>
        <w:tab/>
        <w:t>The risk of loss of and/or damage to the Deposited Material during transport shall be borne by the Supplier. After receipt of the Source Code, Softcrow shall immediately notify the Beneficiary and the Supplier in writing of such receipt.</w:t>
      </w:r>
    </w:p>
    <w:p>
      <w:pPr>
        <w:pStyle w:val="Normal"/>
        <w:tabs>
          <w:tab w:val="clear" w:pos="720"/>
          <w:tab w:val="left" w:pos="567" w:leader="none"/>
        </w:tabs>
        <w:ind w:hanging="567" w:start="567" w:end="0"/>
        <w:jc w:val="both"/>
        <w:rPr>
          <w:sz w:val="22"/>
        </w:rPr>
      </w:pPr>
      <w:r>
        <w:rPr>
          <w:sz w:val="22"/>
        </w:rPr>
      </w:r>
    </w:p>
    <w:p>
      <w:pPr>
        <w:pStyle w:val="Normal"/>
        <w:tabs>
          <w:tab w:val="clear" w:pos="720"/>
          <w:tab w:val="left" w:pos="567" w:leader="none"/>
        </w:tabs>
        <w:ind w:hanging="567" w:start="567" w:end="0"/>
        <w:jc w:val="both"/>
        <w:rPr>
          <w:sz w:val="22"/>
        </w:rPr>
      </w:pPr>
      <w:r>
        <w:rPr>
          <w:sz w:val="22"/>
        </w:rPr>
        <w:t>7.</w:t>
        <w:tab/>
        <w:t>In so far as third party software is provided for Deposit by the Supplier, the software in question shall be exclusively a reserve copy and it is clear to the Beneficiary and Softcrow that no further rights are granted by the Supplier. If the Beneficiary intends to use this third party software, it shall first conclude a licence agreement for this purpose with the third party supplier concerned.</w:t>
      </w:r>
    </w:p>
    <w:p>
      <w:pPr>
        <w:pStyle w:val="Normal"/>
        <w:jc w:val="both"/>
        <w:rPr>
          <w:b/>
          <w:bCs/>
          <w:sz w:val="22"/>
        </w:rPr>
      </w:pPr>
      <w:r>
        <w:rPr>
          <w:b/>
          <w:bCs/>
          <w:sz w:val="22"/>
        </w:rPr>
      </w:r>
    </w:p>
    <w:p>
      <w:pPr>
        <w:pStyle w:val="Heading3"/>
        <w:ind w:hanging="0" w:start="0"/>
        <w:rPr/>
      </w:pPr>
      <w:bookmarkStart w:id="3" w:name="__RefHeading___Toc153674994"/>
      <w:bookmarkEnd w:id="3"/>
      <w:r>
        <w:rPr>
          <w:sz w:val="22"/>
          <w:szCs w:val="22"/>
        </w:rPr>
        <w:t>Art. 4.</w:t>
        <w:tab/>
        <w:tab/>
        <w:t>Alterations to the Deposit</w:t>
      </w:r>
    </w:p>
    <w:p>
      <w:pPr>
        <w:pStyle w:val="TOC1"/>
        <w:rPr>
          <w:sz w:val="22"/>
          <w:szCs w:val="22"/>
        </w:rPr>
      </w:pPr>
      <w:r>
        <w:rPr>
          <w:sz w:val="22"/>
          <w:szCs w:val="22"/>
        </w:rPr>
      </w:r>
    </w:p>
    <w:p>
      <w:pPr>
        <w:pStyle w:val="Normal"/>
        <w:tabs>
          <w:tab w:val="clear" w:pos="720"/>
          <w:tab w:val="left" w:pos="567" w:leader="none"/>
        </w:tabs>
        <w:ind w:hanging="567" w:start="567" w:end="0"/>
        <w:jc w:val="both"/>
        <w:rPr>
          <w:sz w:val="22"/>
        </w:rPr>
      </w:pPr>
      <w:r>
        <w:rPr>
          <w:sz w:val="22"/>
        </w:rPr>
        <w:t>1.</w:t>
        <w:tab/>
        <w:t>If alterations are made to the Software during the Deposit and are accepted by the Beneficiary, the Supplier shall, at the request of the Beneficiary, deliver the modified material to Softcrow for Deposit on the first day of the next calendar quarter. A Verification Examination shall be carried out at the request of the Beneficiary.</w:t>
      </w:r>
    </w:p>
    <w:p>
      <w:pPr>
        <w:pStyle w:val="Normal"/>
        <w:jc w:val="both"/>
        <w:rPr>
          <w:sz w:val="22"/>
        </w:rPr>
      </w:pPr>
      <w:r>
        <w:rPr>
          <w:sz w:val="22"/>
        </w:rPr>
      </w:r>
    </w:p>
    <w:p>
      <w:pPr>
        <w:pStyle w:val="Normal"/>
        <w:tabs>
          <w:tab w:val="clear" w:pos="720"/>
          <w:tab w:val="left" w:pos="567" w:leader="none"/>
        </w:tabs>
        <w:ind w:hanging="567" w:start="567" w:end="0"/>
        <w:jc w:val="both"/>
        <w:rPr>
          <w:b/>
          <w:bCs/>
          <w:i/>
          <w:i/>
          <w:iCs/>
          <w:sz w:val="22"/>
        </w:rPr>
      </w:pPr>
      <w:r>
        <w:rPr>
          <w:sz w:val="22"/>
        </w:rPr>
        <w:t>2.</w:t>
        <w:tab/>
        <w:t>If the Supplier has not delivered the modified material to Softcrow for Deposit within 40 Business Days of the signature of this agreement (or within 40 Business Days of the date of the parties’ agreement to amend Schedule 1 with respect to Software the parties subsequently agree to deposit under this agreement), the Supplier shall promptly pay to the Beneficiary a penalty of € 10,000 per day, which is not liable to set-off, for each day during which the default lasts. This provision is without prejudice to the other rights of the Beneficiary and Softcrow. Article 6:92 paragraph 1 of the Dutch Civil Code is excluded.</w:t>
      </w:r>
    </w:p>
    <w:p>
      <w:pPr>
        <w:pStyle w:val="Normal"/>
        <w:tabs>
          <w:tab w:val="clear" w:pos="720"/>
          <w:tab w:val="left" w:pos="567" w:leader="none"/>
        </w:tabs>
        <w:ind w:hanging="567" w:start="567" w:end="0"/>
        <w:jc w:val="both"/>
        <w:rPr>
          <w:b/>
          <w:bCs/>
          <w:i/>
          <w:i/>
          <w:iCs/>
          <w:sz w:val="22"/>
        </w:rPr>
      </w:pPr>
      <w:r>
        <w:rPr>
          <w:b/>
          <w:bCs/>
          <w:i/>
          <w:iCs/>
          <w:sz w:val="22"/>
        </w:rPr>
      </w:r>
    </w:p>
    <w:p>
      <w:pPr>
        <w:pStyle w:val="Normal"/>
        <w:tabs>
          <w:tab w:val="clear" w:pos="720"/>
          <w:tab w:val="left" w:pos="567" w:leader="none"/>
        </w:tabs>
        <w:ind w:hanging="567" w:start="567" w:end="0"/>
        <w:jc w:val="both"/>
        <w:rPr>
          <w:sz w:val="22"/>
        </w:rPr>
      </w:pPr>
      <w:r>
        <w:rPr>
          <w:sz w:val="22"/>
        </w:rPr>
        <w:t>3.</w:t>
        <w:tab/>
        <w:t>Softcrow shall use two deposit cases for the benefit of the Beneficiary, in which the material for Deposit will be placed in a sealed covers (possibly after verification (or partial verification) by the Auditor).</w:t>
      </w:r>
    </w:p>
    <w:p>
      <w:pPr>
        <w:pStyle w:val="Normal"/>
        <w:tabs>
          <w:tab w:val="clear" w:pos="720"/>
          <w:tab w:val="left" w:pos="567" w:leader="none"/>
        </w:tabs>
        <w:ind w:hanging="567" w:start="567" w:end="0"/>
        <w:jc w:val="both"/>
        <w:rPr>
          <w:sz w:val="22"/>
        </w:rPr>
      </w:pPr>
      <w:r>
        <w:rPr>
          <w:sz w:val="22"/>
        </w:rPr>
      </w:r>
    </w:p>
    <w:p>
      <w:pPr>
        <w:pStyle w:val="Normal"/>
        <w:tabs>
          <w:tab w:val="clear" w:pos="720"/>
          <w:tab w:val="left" w:pos="567" w:leader="none"/>
        </w:tabs>
        <w:ind w:hanging="567" w:start="567" w:end="0"/>
        <w:jc w:val="both"/>
        <w:rPr>
          <w:sz w:val="22"/>
        </w:rPr>
      </w:pPr>
      <w:r>
        <w:rPr>
          <w:sz w:val="22"/>
        </w:rPr>
        <w:t>4.</w:t>
        <w:tab/>
        <w:t>If material that has been modified on two or more occasions is deposited, Softcrow shall return the previously Deposited Material by registered post to the Supplier, except where the Beneficiary has indicated in writing that the Software belonging with the relevant Deposited Material is still in use by it.</w:t>
      </w:r>
    </w:p>
    <w:p>
      <w:pPr>
        <w:pStyle w:val="Normal"/>
        <w:tabs>
          <w:tab w:val="clear" w:pos="720"/>
          <w:tab w:val="left" w:pos="567" w:leader="none"/>
        </w:tabs>
        <w:ind w:hanging="567" w:start="567" w:end="0"/>
        <w:jc w:val="both"/>
        <w:rPr>
          <w:sz w:val="22"/>
        </w:rPr>
      </w:pPr>
      <w:r>
        <w:rPr>
          <w:sz w:val="22"/>
        </w:rPr>
      </w:r>
    </w:p>
    <w:p>
      <w:pPr>
        <w:pStyle w:val="Normal"/>
        <w:tabs>
          <w:tab w:val="clear" w:pos="720"/>
          <w:tab w:val="left" w:pos="567" w:leader="none"/>
        </w:tabs>
        <w:ind w:hanging="567" w:start="567" w:end="0"/>
        <w:jc w:val="both"/>
        <w:rPr>
          <w:sz w:val="22"/>
        </w:rPr>
      </w:pPr>
      <w:r>
        <w:rPr>
          <w:sz w:val="22"/>
        </w:rPr>
        <w:t>5.</w:t>
        <w:tab/>
        <w:t xml:space="preserve">If the Deposited Material is no longer required for Deposit, Softcrow shall return it by registered post to the Supplier. </w:t>
      </w:r>
    </w:p>
    <w:p>
      <w:pPr>
        <w:pStyle w:val="Normal"/>
        <w:tabs>
          <w:tab w:val="clear" w:pos="720"/>
          <w:tab w:val="left" w:pos="567" w:leader="none"/>
        </w:tabs>
        <w:ind w:hanging="567" w:start="567" w:end="0"/>
        <w:jc w:val="both"/>
        <w:rPr>
          <w:sz w:val="22"/>
        </w:rPr>
      </w:pPr>
      <w:r>
        <w:rPr>
          <w:sz w:val="22"/>
        </w:rPr>
      </w:r>
    </w:p>
    <w:p>
      <w:pPr>
        <w:pStyle w:val="Normal"/>
        <w:tabs>
          <w:tab w:val="clear" w:pos="720"/>
          <w:tab w:val="left" w:pos="567" w:leader="none"/>
        </w:tabs>
        <w:ind w:hanging="567" w:start="567" w:end="0"/>
        <w:jc w:val="both"/>
        <w:rPr>
          <w:sz w:val="22"/>
        </w:rPr>
      </w:pPr>
      <w:r>
        <w:rPr>
          <w:sz w:val="22"/>
        </w:rPr>
        <w:t>6.</w:t>
        <w:tab/>
        <w:t xml:space="preserve">The parties shall have the same rights and duties under this agreement in respect of both the original Deposited Material and subsequent deposits of the modified Deposited Material. </w:t>
      </w:r>
    </w:p>
    <w:p>
      <w:pPr>
        <w:pStyle w:val="Normal"/>
        <w:jc w:val="both"/>
        <w:rPr>
          <w:b/>
          <w:bCs/>
          <w:sz w:val="22"/>
        </w:rPr>
      </w:pPr>
      <w:r>
        <w:rPr>
          <w:b/>
          <w:bCs/>
          <w:sz w:val="22"/>
        </w:rPr>
      </w:r>
    </w:p>
    <w:p>
      <w:pPr>
        <w:pStyle w:val="Heading3"/>
        <w:ind w:hanging="0" w:start="0"/>
        <w:rPr/>
      </w:pPr>
      <w:bookmarkStart w:id="4" w:name="__RefHeading___Toc153674995"/>
      <w:bookmarkEnd w:id="4"/>
      <w:r>
        <w:rPr>
          <w:sz w:val="22"/>
          <w:szCs w:val="22"/>
        </w:rPr>
        <w:t>Art. 5.</w:t>
        <w:tab/>
        <w:tab/>
        <w:t>Deposit Management</w:t>
      </w:r>
    </w:p>
    <w:p>
      <w:pPr>
        <w:pStyle w:val="Normal"/>
        <w:jc w:val="both"/>
        <w:rPr>
          <w:sz w:val="22"/>
          <w:szCs w:val="22"/>
        </w:rPr>
      </w:pPr>
      <w:r>
        <w:rPr>
          <w:sz w:val="22"/>
          <w:szCs w:val="22"/>
        </w:rPr>
      </w:r>
    </w:p>
    <w:p>
      <w:pPr>
        <w:pStyle w:val="Normal"/>
        <w:tabs>
          <w:tab w:val="clear" w:pos="720"/>
          <w:tab w:val="left" w:pos="567" w:leader="none"/>
        </w:tabs>
        <w:ind w:hanging="567" w:start="567" w:end="0"/>
        <w:jc w:val="both"/>
        <w:rPr>
          <w:sz w:val="22"/>
        </w:rPr>
      </w:pPr>
      <w:r>
        <w:rPr>
          <w:sz w:val="22"/>
        </w:rPr>
        <w:t>1.</w:t>
        <w:tab/>
        <w:t>Softcrow shall request the Supplier quarterly (or more frequently where reasonably requested by the Beneficiary in connection with any significant alterations to the Software) for information about any alterations to the Software. If it is found that the Software has been altered in the preceding period Softcrow shall, in consultation with the Beneficiary and in accordance with the provisions of article 4, initiate a new Deposit.</w:t>
      </w:r>
    </w:p>
    <w:p>
      <w:pPr>
        <w:pStyle w:val="Normal"/>
        <w:jc w:val="both"/>
        <w:rPr>
          <w:sz w:val="22"/>
        </w:rPr>
      </w:pPr>
      <w:r>
        <w:rPr>
          <w:sz w:val="22"/>
        </w:rPr>
      </w:r>
    </w:p>
    <w:p>
      <w:pPr>
        <w:pStyle w:val="Normal"/>
        <w:tabs>
          <w:tab w:val="clear" w:pos="720"/>
          <w:tab w:val="left" w:pos="567" w:leader="none"/>
        </w:tabs>
        <w:ind w:hanging="567" w:start="567" w:end="0"/>
        <w:jc w:val="both"/>
        <w:rPr>
          <w:sz w:val="22"/>
        </w:rPr>
      </w:pPr>
      <w:r>
        <w:rPr>
          <w:sz w:val="22"/>
        </w:rPr>
        <w:t>2.</w:t>
        <w:tab/>
        <w:t>The Supplier shall be obliged to reply in writing to Softcrow's requests for information within 5 working days of their receipt. Softcrow shall make available to the Beneficiary the written reply of the Supplier pursuant to paragraph 1. In the absence of a written reply of the Supplier within the prescribed period, Softcrow shall inform the Beneficiary of this.</w:t>
      </w:r>
    </w:p>
    <w:p>
      <w:pPr>
        <w:pStyle w:val="Normal"/>
        <w:jc w:val="both"/>
        <w:rPr>
          <w:b/>
          <w:bCs/>
          <w:sz w:val="22"/>
        </w:rPr>
      </w:pPr>
      <w:r>
        <w:rPr>
          <w:b/>
          <w:bCs/>
          <w:sz w:val="22"/>
        </w:rPr>
      </w:r>
    </w:p>
    <w:p>
      <w:pPr>
        <w:pStyle w:val="Heading3"/>
        <w:ind w:hanging="0" w:start="0"/>
        <w:rPr/>
      </w:pPr>
      <w:bookmarkStart w:id="5" w:name="__RefHeading___Toc153674996"/>
      <w:bookmarkEnd w:id="5"/>
      <w:r>
        <w:rPr>
          <w:sz w:val="22"/>
          <w:szCs w:val="22"/>
        </w:rPr>
        <w:t>Art. 6.</w:t>
        <w:tab/>
        <w:tab/>
        <w:t>Deposit back-up</w:t>
      </w:r>
    </w:p>
    <w:p>
      <w:pPr>
        <w:pStyle w:val="Normal"/>
        <w:numPr>
          <w:ilvl w:val="0"/>
          <w:numId w:val="0"/>
        </w:numPr>
        <w:jc w:val="both"/>
        <w:outlineLvl w:val="0"/>
        <w:rPr>
          <w:sz w:val="22"/>
          <w:szCs w:val="22"/>
        </w:rPr>
      </w:pPr>
      <w:r>
        <w:rPr>
          <w:sz w:val="22"/>
          <w:szCs w:val="22"/>
        </w:rPr>
      </w:r>
    </w:p>
    <w:p>
      <w:pPr>
        <w:pStyle w:val="Normal"/>
        <w:tabs>
          <w:tab w:val="clear" w:pos="720"/>
          <w:tab w:val="left" w:pos="567" w:leader="none"/>
        </w:tabs>
        <w:ind w:hanging="567" w:start="567" w:end="0"/>
        <w:jc w:val="both"/>
        <w:rPr>
          <w:sz w:val="22"/>
        </w:rPr>
      </w:pPr>
      <w:r>
        <w:rPr>
          <w:sz w:val="22"/>
        </w:rPr>
        <w:t>1.</w:t>
        <w:tab/>
        <w:t xml:space="preserve">The Supplier shall keep available under its own control a Back-up of the Deposited Material. </w:t>
      </w:r>
    </w:p>
    <w:p>
      <w:pPr>
        <w:pStyle w:val="Normal"/>
        <w:jc w:val="both"/>
        <w:rPr>
          <w:sz w:val="22"/>
        </w:rPr>
      </w:pPr>
      <w:r>
        <w:rPr>
          <w:sz w:val="22"/>
        </w:rPr>
      </w:r>
    </w:p>
    <w:p>
      <w:pPr>
        <w:pStyle w:val="Normal"/>
        <w:tabs>
          <w:tab w:val="clear" w:pos="720"/>
          <w:tab w:val="left" w:pos="567" w:leader="none"/>
        </w:tabs>
        <w:ind w:hanging="567" w:start="567" w:end="0"/>
        <w:jc w:val="both"/>
        <w:rPr>
          <w:sz w:val="22"/>
        </w:rPr>
      </w:pPr>
      <w:r>
        <w:rPr>
          <w:sz w:val="22"/>
        </w:rPr>
        <w:t>2.</w:t>
        <w:tab/>
        <w:t>If the release of the Back-up is necessary in the course of the performance of this agreement, the Supplier shall immediately make available to Softcrow, without charge, a copy of the Back-up on information carriers supplied by Softcrow.</w:t>
      </w:r>
    </w:p>
    <w:p>
      <w:pPr>
        <w:pStyle w:val="Normal"/>
        <w:jc w:val="both"/>
        <w:rPr>
          <w:b/>
          <w:bCs/>
          <w:sz w:val="22"/>
        </w:rPr>
      </w:pPr>
      <w:r>
        <w:rPr>
          <w:b/>
          <w:bCs/>
          <w:sz w:val="22"/>
        </w:rPr>
      </w:r>
    </w:p>
    <w:p>
      <w:pPr>
        <w:pStyle w:val="Heading3"/>
        <w:ind w:hanging="0" w:start="0"/>
        <w:rPr/>
      </w:pPr>
      <w:bookmarkStart w:id="6" w:name="__RefHeading___Toc153674997"/>
      <w:bookmarkEnd w:id="6"/>
      <w:r>
        <w:rPr>
          <w:sz w:val="22"/>
          <w:szCs w:val="22"/>
        </w:rPr>
        <w:t>Art. 7.</w:t>
        <w:tab/>
        <w:tab/>
        <w:t>Release and use</w:t>
      </w:r>
    </w:p>
    <w:p>
      <w:pPr>
        <w:pStyle w:val="Normal"/>
        <w:jc w:val="both"/>
        <w:rPr>
          <w:sz w:val="22"/>
          <w:szCs w:val="22"/>
        </w:rPr>
      </w:pPr>
      <w:r>
        <w:rPr>
          <w:sz w:val="22"/>
          <w:szCs w:val="22"/>
        </w:rPr>
      </w:r>
    </w:p>
    <w:p>
      <w:pPr>
        <w:pStyle w:val="Normal"/>
        <w:tabs>
          <w:tab w:val="clear" w:pos="720"/>
          <w:tab w:val="left" w:pos="567" w:leader="none"/>
        </w:tabs>
        <w:ind w:hanging="567" w:start="567" w:end="0"/>
        <w:jc w:val="both"/>
        <w:rPr>
          <w:sz w:val="22"/>
        </w:rPr>
      </w:pPr>
      <w:r>
        <w:rPr>
          <w:sz w:val="22"/>
        </w:rPr>
        <w:t>1.</w:t>
        <w:tab/>
        <w:t>The Supplier hereby confers in advance on Softcrow the irrevocable right to release the Deposited Material to the Beneficiary if one or more of the circumstances referred to in article 8 of this agreement occur.</w:t>
      </w:r>
    </w:p>
    <w:p>
      <w:pPr>
        <w:pStyle w:val="Normal"/>
        <w:tabs>
          <w:tab w:val="clear" w:pos="720"/>
          <w:tab w:val="left" w:pos="567" w:leader="none"/>
        </w:tabs>
        <w:ind w:hanging="567" w:start="567" w:end="0"/>
        <w:jc w:val="both"/>
        <w:rPr>
          <w:sz w:val="22"/>
        </w:rPr>
      </w:pPr>
      <w:r>
        <w:rPr>
          <w:sz w:val="22"/>
        </w:rPr>
      </w:r>
    </w:p>
    <w:p>
      <w:pPr>
        <w:pStyle w:val="Normal"/>
        <w:tabs>
          <w:tab w:val="clear" w:pos="720"/>
          <w:tab w:val="left" w:pos="567" w:leader="none"/>
        </w:tabs>
        <w:ind w:hanging="567" w:start="567" w:end="0"/>
        <w:jc w:val="both"/>
        <w:rPr>
          <w:sz w:val="22"/>
        </w:rPr>
      </w:pPr>
      <w:r>
        <w:rPr>
          <w:sz w:val="22"/>
        </w:rPr>
        <w:t>2.</w:t>
        <w:tab/>
        <w:t>The release by Softcrow shall be effected by the handing over of the sealed case/covers to the Beneficiary.</w:t>
      </w:r>
    </w:p>
    <w:p>
      <w:pPr>
        <w:pStyle w:val="Normal"/>
        <w:tabs>
          <w:tab w:val="clear" w:pos="720"/>
          <w:tab w:val="left" w:pos="567" w:leader="none"/>
        </w:tabs>
        <w:ind w:hanging="567" w:start="567" w:end="0"/>
        <w:jc w:val="both"/>
        <w:rPr>
          <w:sz w:val="22"/>
        </w:rPr>
      </w:pPr>
      <w:r>
        <w:rPr>
          <w:sz w:val="22"/>
        </w:rPr>
      </w:r>
    </w:p>
    <w:p>
      <w:pPr>
        <w:pStyle w:val="Normal"/>
        <w:tabs>
          <w:tab w:val="clear" w:pos="720"/>
          <w:tab w:val="left" w:pos="567" w:leader="none"/>
        </w:tabs>
        <w:ind w:hanging="567" w:start="567" w:end="0"/>
        <w:jc w:val="both"/>
        <w:rPr>
          <w:sz w:val="22"/>
        </w:rPr>
      </w:pPr>
      <w:r>
        <w:rPr>
          <w:sz w:val="22"/>
        </w:rPr>
        <w:t>3.</w:t>
        <w:tab/>
        <w:t>If the Deposited Material has been released by Softcrow to the Beneficiary in accordance with the provisions of this agreement, the Supplier hereby grants to the Beneficiary, besides the existing right to use the Software, the Source Code Licence free of charge, which right is hereby accepted by the Beneficiary in advance.</w:t>
      </w:r>
    </w:p>
    <w:p>
      <w:pPr>
        <w:pStyle w:val="Normal"/>
        <w:tabs>
          <w:tab w:val="clear" w:pos="720"/>
          <w:tab w:val="left" w:pos="567" w:leader="none"/>
        </w:tabs>
        <w:ind w:hanging="567" w:start="567" w:end="0"/>
        <w:jc w:val="both"/>
        <w:rPr>
          <w:sz w:val="22"/>
        </w:rPr>
      </w:pPr>
      <w:r>
        <w:rPr>
          <w:sz w:val="22"/>
        </w:rPr>
      </w:r>
    </w:p>
    <w:p>
      <w:pPr>
        <w:pStyle w:val="Normal"/>
        <w:tabs>
          <w:tab w:val="clear" w:pos="720"/>
          <w:tab w:val="left" w:pos="567" w:leader="none"/>
        </w:tabs>
        <w:ind w:hanging="567" w:start="567" w:end="0"/>
        <w:jc w:val="both"/>
        <w:rPr>
          <w:sz w:val="22"/>
        </w:rPr>
      </w:pPr>
      <w:r>
        <w:rPr>
          <w:sz w:val="22"/>
        </w:rPr>
        <w:t>4.</w:t>
        <w:tab/>
        <w:t>In the case referred to in paragraph 3 of this article the Beneficiary shall also be entitled to contract out the Maintenance of the Software to a third party, provided that such third party assents in writing to the provisions of this agreement and enters into a confidentiality agreement on terms reasonably acceptable to the Supplier.</w:t>
      </w:r>
    </w:p>
    <w:p>
      <w:pPr>
        <w:pStyle w:val="Normal"/>
        <w:jc w:val="both"/>
        <w:rPr>
          <w:sz w:val="22"/>
        </w:rPr>
      </w:pPr>
      <w:r>
        <w:rPr>
          <w:sz w:val="22"/>
        </w:rPr>
      </w:r>
    </w:p>
    <w:p>
      <w:pPr>
        <w:pStyle w:val="Normal"/>
        <w:tabs>
          <w:tab w:val="clear" w:pos="720"/>
          <w:tab w:val="left" w:pos="567" w:leader="none"/>
        </w:tabs>
        <w:ind w:hanging="567" w:start="567" w:end="0"/>
        <w:jc w:val="both"/>
        <w:rPr>
          <w:sz w:val="22"/>
        </w:rPr>
      </w:pPr>
      <w:r>
        <w:rPr>
          <w:sz w:val="22"/>
        </w:rPr>
        <w:t>5.</w:t>
        <w:tab/>
        <w:t>The parties hereby record that after the release of the Deposited Material in accordance with this agreement they will have no further claims against one another under this agreement. The parties undertake to acquiesce in the (legal) relationship then obtaining and not to endeavour to alter in any way, by any form of legal redress whatever, the release of the Deposited Material and the Source Code Licence granted by the Supplier.</w:t>
      </w:r>
    </w:p>
    <w:p>
      <w:pPr>
        <w:pStyle w:val="Normal"/>
        <w:jc w:val="both"/>
        <w:rPr>
          <w:b/>
          <w:bCs/>
          <w:sz w:val="22"/>
        </w:rPr>
      </w:pPr>
      <w:r>
        <w:rPr>
          <w:b/>
          <w:bCs/>
          <w:sz w:val="22"/>
        </w:rPr>
      </w:r>
    </w:p>
    <w:p>
      <w:pPr>
        <w:pStyle w:val="Heading3"/>
        <w:ind w:hanging="0" w:start="0"/>
        <w:rPr/>
      </w:pPr>
      <w:bookmarkStart w:id="7" w:name="__RefHeading___Toc153674998"/>
      <w:bookmarkEnd w:id="7"/>
      <w:r>
        <w:rPr>
          <w:sz w:val="22"/>
          <w:szCs w:val="22"/>
        </w:rPr>
        <w:t>Art. 8.</w:t>
        <w:tab/>
        <w:tab/>
        <w:t>Conditions of release of the Deposited Material to the Beneficiary</w:t>
      </w:r>
    </w:p>
    <w:p>
      <w:pPr>
        <w:pStyle w:val="Normal"/>
        <w:jc w:val="both"/>
        <w:rPr>
          <w:sz w:val="22"/>
          <w:szCs w:val="22"/>
        </w:rPr>
      </w:pPr>
      <w:r>
        <w:rPr>
          <w:sz w:val="22"/>
          <w:szCs w:val="22"/>
        </w:rPr>
      </w:r>
    </w:p>
    <w:p>
      <w:pPr>
        <w:pStyle w:val="Normal"/>
        <w:jc w:val="both"/>
        <w:rPr>
          <w:sz w:val="22"/>
        </w:rPr>
      </w:pPr>
      <w:r>
        <w:rPr>
          <w:sz w:val="22"/>
        </w:rPr>
        <w:t>Softcrow shall release the Deposited Material to the Beneficiary if one of the following events occurs:</w:t>
      </w:r>
    </w:p>
    <w:p>
      <w:pPr>
        <w:pStyle w:val="Normal"/>
        <w:jc w:val="both"/>
        <w:rPr>
          <w:sz w:val="22"/>
        </w:rPr>
      </w:pPr>
      <w:r>
        <w:rPr>
          <w:sz w:val="22"/>
        </w:rPr>
      </w:r>
    </w:p>
    <w:p>
      <w:pPr>
        <w:pStyle w:val="Normal"/>
        <w:tabs>
          <w:tab w:val="clear" w:pos="720"/>
          <w:tab w:val="left" w:pos="567" w:leader="none"/>
        </w:tabs>
        <w:ind w:hanging="567" w:start="567" w:end="0"/>
        <w:jc w:val="both"/>
        <w:rPr>
          <w:sz w:val="22"/>
        </w:rPr>
      </w:pPr>
      <w:r>
        <w:rPr>
          <w:sz w:val="22"/>
        </w:rPr>
        <w:t>(a)</w:t>
        <w:tab/>
        <w:t>a written request to this effect is submitted by the Supplier;</w:t>
      </w:r>
    </w:p>
    <w:p>
      <w:pPr>
        <w:pStyle w:val="Normal"/>
        <w:tabs>
          <w:tab w:val="clear" w:pos="720"/>
          <w:tab w:val="left" w:pos="-720" w:leader="none"/>
          <w:tab w:val="left" w:pos="567" w:leader="none"/>
        </w:tabs>
        <w:suppressAutoHyphens w:val="true"/>
        <w:ind w:hanging="567" w:start="567" w:end="0"/>
        <w:jc w:val="both"/>
        <w:rPr>
          <w:spacing w:val="-2"/>
          <w:sz w:val="22"/>
        </w:rPr>
      </w:pPr>
      <w:r>
        <w:rPr>
          <w:spacing w:val="-2"/>
          <w:sz w:val="22"/>
        </w:rPr>
        <w:t>(b)</w:t>
        <w:tab/>
        <w:t xml:space="preserve">the Supplier is declared bankrupt or enters into liquidation;  </w:t>
      </w:r>
    </w:p>
    <w:p>
      <w:pPr>
        <w:pStyle w:val="Normal"/>
        <w:tabs>
          <w:tab w:val="clear" w:pos="720"/>
          <w:tab w:val="left" w:pos="-720" w:leader="none"/>
          <w:tab w:val="left" w:pos="567" w:leader="none"/>
        </w:tabs>
        <w:suppressAutoHyphens w:val="true"/>
        <w:ind w:hanging="567" w:start="567" w:end="0"/>
        <w:jc w:val="both"/>
        <w:rPr/>
      </w:pPr>
      <w:r>
        <w:rPr>
          <w:spacing w:val="-2"/>
          <w:sz w:val="22"/>
        </w:rPr>
        <w:t>(c)</w:t>
        <w:tab/>
        <w:t>the Supplier does not perform or is unable or unwilling to perform the Maintenance or is otherwise materially impeding the agreed and licensed use of the Software by the Beneficiary and does not remedy this situation within 20 Business Days after having received written notice from the Beneficiary;</w:t>
      </w:r>
    </w:p>
    <w:p>
      <w:pPr>
        <w:pStyle w:val="Normal"/>
        <w:tabs>
          <w:tab w:val="clear" w:pos="720"/>
          <w:tab w:val="left" w:pos="-720" w:leader="none"/>
          <w:tab w:val="left" w:pos="567" w:leader="none"/>
        </w:tabs>
        <w:suppressAutoHyphens w:val="true"/>
        <w:ind w:hanging="567" w:start="567" w:end="0"/>
        <w:jc w:val="both"/>
        <w:rPr/>
      </w:pPr>
      <w:r>
        <w:rPr>
          <w:spacing w:val="-2"/>
          <w:sz w:val="22"/>
        </w:rPr>
        <w:t>(d)</w:t>
        <w:tab/>
        <w:t>without limiting sub-clause (c), the Supplier fails to perform the Maintenance due to a Force Majeure Event as defined under the Master Services Agreement for a period longer then 20 Business Days;</w:t>
      </w:r>
    </w:p>
    <w:p>
      <w:pPr>
        <w:pStyle w:val="Normal"/>
        <w:tabs>
          <w:tab w:val="clear" w:pos="720"/>
          <w:tab w:val="left" w:pos="-720" w:leader="none"/>
          <w:tab w:val="left" w:pos="567" w:leader="none"/>
        </w:tabs>
        <w:suppressAutoHyphens w:val="true"/>
        <w:ind w:hanging="567" w:start="567" w:end="0"/>
        <w:jc w:val="both"/>
        <w:rPr>
          <w:sz w:val="22"/>
        </w:rPr>
      </w:pPr>
      <w:r>
        <w:rPr>
          <w:spacing w:val="-2"/>
          <w:sz w:val="22"/>
        </w:rPr>
        <w:t>(f)</w:t>
        <w:tab/>
        <w:t>the Beneficiary terminates the Master Services Agreement pursuant to clause 16.2 for a default with respect to its Maintenance obligations under the Master Services Agreement</w:t>
      </w:r>
    </w:p>
    <w:p>
      <w:pPr>
        <w:pStyle w:val="Normal"/>
        <w:tabs>
          <w:tab w:val="clear" w:pos="720"/>
          <w:tab w:val="left" w:pos="567" w:leader="none"/>
        </w:tabs>
        <w:ind w:hanging="567" w:start="567" w:end="0"/>
        <w:jc w:val="both"/>
        <w:rPr>
          <w:sz w:val="22"/>
        </w:rPr>
      </w:pPr>
      <w:r>
        <w:rPr>
          <w:sz w:val="22"/>
        </w:rPr>
      </w:r>
    </w:p>
    <w:p>
      <w:pPr>
        <w:pStyle w:val="Heading3"/>
        <w:ind w:hanging="0" w:start="0"/>
        <w:rPr/>
      </w:pPr>
      <w:bookmarkStart w:id="8" w:name="__RefHeading___Toc153674999"/>
      <w:bookmarkEnd w:id="8"/>
      <w:r>
        <w:rPr>
          <w:sz w:val="22"/>
          <w:szCs w:val="22"/>
        </w:rPr>
        <w:t>Art. 9.</w:t>
        <w:tab/>
        <w:tab/>
        <w:t>Conditions of release of the Deposited Material to the Supplier</w:t>
      </w:r>
    </w:p>
    <w:p>
      <w:pPr>
        <w:pStyle w:val="Normal"/>
        <w:jc w:val="both"/>
        <w:rPr>
          <w:sz w:val="22"/>
          <w:szCs w:val="22"/>
        </w:rPr>
      </w:pPr>
      <w:r>
        <w:rPr>
          <w:sz w:val="22"/>
          <w:szCs w:val="22"/>
        </w:rPr>
      </w:r>
    </w:p>
    <w:p>
      <w:pPr>
        <w:pStyle w:val="Normal"/>
        <w:jc w:val="both"/>
        <w:rPr>
          <w:sz w:val="22"/>
        </w:rPr>
      </w:pPr>
      <w:r>
        <w:rPr>
          <w:sz w:val="22"/>
        </w:rPr>
        <w:t>Softcrow shall release the Deposited Material to the Supplier if one of the following events occurs:</w:t>
      </w:r>
    </w:p>
    <w:p>
      <w:pPr>
        <w:pStyle w:val="Normal"/>
        <w:jc w:val="both"/>
        <w:rPr>
          <w:sz w:val="22"/>
        </w:rPr>
      </w:pPr>
      <w:r>
        <w:rPr>
          <w:sz w:val="22"/>
        </w:rPr>
      </w:r>
    </w:p>
    <w:p>
      <w:pPr>
        <w:pStyle w:val="Normal"/>
        <w:tabs>
          <w:tab w:val="clear" w:pos="720"/>
          <w:tab w:val="left" w:pos="567" w:leader="none"/>
        </w:tabs>
        <w:ind w:hanging="567" w:start="567" w:end="0"/>
        <w:jc w:val="both"/>
        <w:rPr>
          <w:sz w:val="22"/>
        </w:rPr>
      </w:pPr>
      <w:r>
        <w:rPr>
          <w:sz w:val="22"/>
        </w:rPr>
        <w:t>(a)</w:t>
        <w:tab/>
        <w:t>a written request to this effect is submitted by the Beneficiary; or</w:t>
      </w:r>
    </w:p>
    <w:p>
      <w:pPr>
        <w:pStyle w:val="Normal"/>
        <w:tabs>
          <w:tab w:val="clear" w:pos="720"/>
          <w:tab w:val="left" w:pos="567" w:leader="none"/>
        </w:tabs>
        <w:ind w:hanging="567" w:start="567" w:end="0"/>
        <w:jc w:val="both"/>
        <w:rPr>
          <w:sz w:val="22"/>
        </w:rPr>
      </w:pPr>
      <w:r>
        <w:rPr>
          <w:sz w:val="22"/>
        </w:rPr>
        <w:t>(b)</w:t>
        <w:tab/>
        <w:t>the licence to EuroBank to use the Software under the Master Services Agreement expires or terminates.</w:t>
      </w:r>
    </w:p>
    <w:p>
      <w:pPr>
        <w:pStyle w:val="Normal"/>
        <w:jc w:val="both"/>
        <w:rPr>
          <w:b/>
          <w:bCs/>
          <w:sz w:val="22"/>
        </w:rPr>
      </w:pPr>
      <w:r>
        <w:rPr>
          <w:b/>
          <w:bCs/>
          <w:sz w:val="22"/>
        </w:rPr>
      </w:r>
    </w:p>
    <w:p>
      <w:pPr>
        <w:pStyle w:val="Heading3"/>
        <w:ind w:hanging="0" w:start="0"/>
        <w:rPr/>
      </w:pPr>
      <w:bookmarkStart w:id="9" w:name="__RefHeading___Toc153675000"/>
      <w:bookmarkEnd w:id="9"/>
      <w:r>
        <w:rPr>
          <w:sz w:val="22"/>
          <w:szCs w:val="22"/>
        </w:rPr>
        <w:t>Art. 10.</w:t>
        <w:tab/>
        <w:tab/>
        <w:t>Release procedure for Deposited Material</w:t>
      </w:r>
    </w:p>
    <w:p>
      <w:pPr>
        <w:pStyle w:val="Normal"/>
        <w:jc w:val="both"/>
        <w:rPr>
          <w:sz w:val="22"/>
          <w:szCs w:val="22"/>
        </w:rPr>
      </w:pPr>
      <w:r>
        <w:rPr>
          <w:sz w:val="22"/>
          <w:szCs w:val="22"/>
        </w:rPr>
      </w:r>
    </w:p>
    <w:p>
      <w:pPr>
        <w:pStyle w:val="Normal"/>
        <w:tabs>
          <w:tab w:val="clear" w:pos="720"/>
          <w:tab w:val="left" w:pos="567" w:leader="none"/>
        </w:tabs>
        <w:ind w:hanging="567" w:start="567" w:end="0"/>
        <w:jc w:val="both"/>
        <w:rPr>
          <w:sz w:val="22"/>
        </w:rPr>
      </w:pPr>
      <w:r>
        <w:rPr>
          <w:sz w:val="22"/>
        </w:rPr>
        <w:t>1.</w:t>
        <w:tab/>
        <w:t>If the Supplier is declared bankrupt, Softcrow shall immediately release the Deposited Material to the Beneficiary, subject to the provisions of article 12.</w:t>
      </w:r>
    </w:p>
    <w:p>
      <w:pPr>
        <w:pStyle w:val="Normal"/>
        <w:tabs>
          <w:tab w:val="clear" w:pos="720"/>
          <w:tab w:val="left" w:pos="567" w:leader="none"/>
        </w:tabs>
        <w:ind w:hanging="567" w:start="567" w:end="0"/>
        <w:jc w:val="both"/>
        <w:rPr>
          <w:sz w:val="22"/>
        </w:rPr>
      </w:pPr>
      <w:r>
        <w:rPr>
          <w:sz w:val="22"/>
        </w:rPr>
      </w:r>
    </w:p>
    <w:p>
      <w:pPr>
        <w:pStyle w:val="Normal"/>
        <w:tabs>
          <w:tab w:val="clear" w:pos="720"/>
          <w:tab w:val="left" w:pos="567" w:leader="none"/>
        </w:tabs>
        <w:ind w:hanging="567" w:start="567" w:end="0"/>
        <w:jc w:val="both"/>
        <w:rPr>
          <w:sz w:val="22"/>
        </w:rPr>
      </w:pPr>
      <w:r>
        <w:rPr>
          <w:sz w:val="22"/>
        </w:rPr>
        <w:t>2.</w:t>
        <w:tab/>
        <w:t>If, without prejudice to the provisions of article 10 paragraph 1, one of the circumstances referred to in Articles 8 or 9 is adjudged to have occurred by the Beneficiary or the Supplier and such party believes that the release of the Deposited Material is necessary as a result of such circumstance, it shall immediately request Softcrow in writing for release.</w:t>
      </w:r>
    </w:p>
    <w:p>
      <w:pPr>
        <w:pStyle w:val="Normal"/>
        <w:tabs>
          <w:tab w:val="clear" w:pos="720"/>
          <w:tab w:val="left" w:pos="567" w:leader="none"/>
        </w:tabs>
        <w:ind w:hanging="567" w:start="567" w:end="0"/>
        <w:jc w:val="both"/>
        <w:rPr>
          <w:sz w:val="22"/>
        </w:rPr>
      </w:pPr>
      <w:r>
        <w:rPr>
          <w:sz w:val="22"/>
        </w:rPr>
      </w:r>
    </w:p>
    <w:p>
      <w:pPr>
        <w:pStyle w:val="Normal"/>
        <w:tabs>
          <w:tab w:val="clear" w:pos="720"/>
          <w:tab w:val="left" w:pos="567" w:leader="none"/>
        </w:tabs>
        <w:ind w:hanging="567" w:start="567" w:end="0"/>
        <w:jc w:val="both"/>
        <w:rPr>
          <w:sz w:val="22"/>
        </w:rPr>
      </w:pPr>
      <w:r>
        <w:rPr>
          <w:sz w:val="22"/>
        </w:rPr>
        <w:t>3.</w:t>
        <w:tab/>
        <w:t>After receipt of the written request, Softcrow shall immediately notify the other party of this in writing. If the other party does not inform Softcrow and the requesting party of its objections and the reasons therefore by registered letter within five working days of receipt of this notification, Softcrow shall release the Deposited Material to the requesting party, subject to the provisions of article 12.</w:t>
      </w:r>
    </w:p>
    <w:p>
      <w:pPr>
        <w:pStyle w:val="Normal"/>
        <w:jc w:val="both"/>
        <w:rPr>
          <w:b/>
          <w:bCs/>
          <w:sz w:val="22"/>
        </w:rPr>
      </w:pPr>
      <w:r>
        <w:rPr>
          <w:b/>
          <w:bCs/>
          <w:sz w:val="22"/>
        </w:rPr>
      </w:r>
    </w:p>
    <w:p>
      <w:pPr>
        <w:pStyle w:val="Heading3"/>
        <w:ind w:hanging="0" w:start="0"/>
        <w:rPr/>
      </w:pPr>
      <w:bookmarkStart w:id="10" w:name="__RefHeading___Toc153675001"/>
      <w:bookmarkEnd w:id="10"/>
      <w:r>
        <w:rPr>
          <w:sz w:val="22"/>
          <w:szCs w:val="22"/>
        </w:rPr>
        <w:t>Art. 11.</w:t>
        <w:tab/>
        <w:tab/>
        <w:t>Dispute resolution article 8</w:t>
      </w:r>
    </w:p>
    <w:p>
      <w:pPr>
        <w:pStyle w:val="Normal"/>
        <w:jc w:val="both"/>
        <w:rPr>
          <w:sz w:val="22"/>
          <w:szCs w:val="22"/>
        </w:rPr>
      </w:pPr>
      <w:r>
        <w:rPr>
          <w:sz w:val="22"/>
          <w:szCs w:val="22"/>
        </w:rPr>
      </w:r>
    </w:p>
    <w:p>
      <w:pPr>
        <w:pStyle w:val="Normal"/>
        <w:tabs>
          <w:tab w:val="clear" w:pos="720"/>
          <w:tab w:val="left" w:pos="567" w:leader="none"/>
        </w:tabs>
        <w:ind w:hanging="567" w:start="567" w:end="0"/>
        <w:jc w:val="both"/>
        <w:rPr>
          <w:sz w:val="22"/>
        </w:rPr>
      </w:pPr>
      <w:r>
        <w:rPr>
          <w:sz w:val="22"/>
        </w:rPr>
        <w:t>1.</w:t>
        <w:tab/>
        <w:t>If the either party objects to cooperating in the granting of the request for release of the Deposited Material in the manner referred to in article 10, paragraphs 2 and 3, the other party may have the dispute resolved, as between the Supplier and the Beneficiary, in accordance with the Escalation and Dispute Resolution Procedures set out in the Master Services Agreement.</w:t>
      </w:r>
    </w:p>
    <w:p>
      <w:pPr>
        <w:pStyle w:val="Normal"/>
        <w:tabs>
          <w:tab w:val="clear" w:pos="720"/>
          <w:tab w:val="left" w:pos="567" w:leader="none"/>
        </w:tabs>
        <w:ind w:hanging="567" w:start="567" w:end="0"/>
        <w:jc w:val="both"/>
        <w:rPr>
          <w:sz w:val="22"/>
        </w:rPr>
      </w:pPr>
      <w:r>
        <w:rPr>
          <w:sz w:val="22"/>
        </w:rPr>
      </w:r>
    </w:p>
    <w:p>
      <w:pPr>
        <w:pStyle w:val="Normal"/>
        <w:tabs>
          <w:tab w:val="clear" w:pos="720"/>
          <w:tab w:val="left" w:pos="567" w:leader="none"/>
        </w:tabs>
        <w:ind w:hanging="567" w:start="567" w:end="0"/>
        <w:jc w:val="both"/>
        <w:rPr>
          <w:sz w:val="22"/>
        </w:rPr>
      </w:pPr>
      <w:r>
        <w:rPr>
          <w:sz w:val="22"/>
        </w:rPr>
        <w:t>2.</w:t>
        <w:tab/>
        <w:t xml:space="preserve">The relevant party shall notify Softcrow in writing if the procedures referred to in paragraph 1 of this article are invoked. During such procedure(s) Softcrow shall not release the Deposited Material.  </w:t>
      </w:r>
    </w:p>
    <w:p>
      <w:pPr>
        <w:pStyle w:val="Normal"/>
        <w:jc w:val="both"/>
        <w:rPr>
          <w:sz w:val="22"/>
        </w:rPr>
      </w:pPr>
      <w:r>
        <w:rPr>
          <w:sz w:val="22"/>
        </w:rPr>
      </w:r>
    </w:p>
    <w:p>
      <w:pPr>
        <w:pStyle w:val="Heading3"/>
        <w:ind w:hanging="0" w:start="0"/>
        <w:rPr/>
      </w:pPr>
      <w:bookmarkStart w:id="11" w:name="__RefHeading___Toc153675002"/>
      <w:bookmarkEnd w:id="11"/>
      <w:r>
        <w:rPr>
          <w:sz w:val="22"/>
          <w:szCs w:val="22"/>
        </w:rPr>
        <w:t>Art. 12.</w:t>
        <w:tab/>
        <w:tab/>
        <w:t>Safekeeping of the Deposited Material after release</w:t>
      </w:r>
    </w:p>
    <w:p>
      <w:pPr>
        <w:pStyle w:val="Normal"/>
        <w:jc w:val="both"/>
        <w:rPr>
          <w:sz w:val="22"/>
          <w:szCs w:val="22"/>
        </w:rPr>
      </w:pPr>
      <w:r>
        <w:rPr>
          <w:sz w:val="22"/>
          <w:szCs w:val="22"/>
        </w:rPr>
      </w:r>
    </w:p>
    <w:p>
      <w:pPr>
        <w:pStyle w:val="Normal"/>
        <w:tabs>
          <w:tab w:val="clear" w:pos="720"/>
          <w:tab w:val="left" w:pos="567" w:leader="none"/>
        </w:tabs>
        <w:ind w:hanging="567" w:start="567" w:end="0"/>
        <w:jc w:val="both"/>
        <w:rPr>
          <w:sz w:val="22"/>
        </w:rPr>
      </w:pPr>
      <w:r>
        <w:rPr>
          <w:sz w:val="22"/>
        </w:rPr>
        <w:t>1.</w:t>
        <w:tab/>
        <w:t xml:space="preserve">If it has been established that the Beneficiary is entitled under the provisions of this agreement to the release of the Deposited Material and that this escrow agreement is therefore terminated under article 18, paragraph 5, the Beneficiary hereby requests Softcrow in advance to take the Deposited Material into its safekeeping, which request Softcrow hereby accepts in advance. The cost of such safekeeping shall be borne by the Beneficiary. </w:t>
      </w:r>
    </w:p>
    <w:p>
      <w:pPr>
        <w:pStyle w:val="Normal"/>
        <w:tabs>
          <w:tab w:val="clear" w:pos="720"/>
          <w:tab w:val="left" w:pos="567" w:leader="none"/>
        </w:tabs>
        <w:ind w:hanging="567" w:start="567" w:end="0"/>
        <w:jc w:val="both"/>
        <w:rPr>
          <w:sz w:val="22"/>
        </w:rPr>
      </w:pPr>
      <w:r>
        <w:rPr>
          <w:sz w:val="22"/>
        </w:rPr>
      </w:r>
    </w:p>
    <w:p>
      <w:pPr>
        <w:pStyle w:val="Normal"/>
        <w:tabs>
          <w:tab w:val="clear" w:pos="720"/>
          <w:tab w:val="left" w:pos="567" w:leader="none"/>
        </w:tabs>
        <w:ind w:hanging="567" w:start="567" w:end="0"/>
        <w:jc w:val="both"/>
        <w:rPr>
          <w:sz w:val="22"/>
        </w:rPr>
      </w:pPr>
      <w:r>
        <w:rPr>
          <w:sz w:val="22"/>
        </w:rPr>
        <w:t>2.</w:t>
        <w:tab/>
        <w:t>Softcrow shall subsequently release the Deposited Material to the Beneficiary on mere receipt of a single written communication from the Beneficiary to Softcrow that the release of the Deposited Material is necessary for the Maintenance.</w:t>
      </w:r>
    </w:p>
    <w:p>
      <w:pPr>
        <w:pStyle w:val="Normal"/>
        <w:jc w:val="both"/>
        <w:rPr>
          <w:b/>
          <w:bCs/>
          <w:sz w:val="22"/>
        </w:rPr>
      </w:pPr>
      <w:r>
        <w:rPr>
          <w:b/>
          <w:bCs/>
          <w:sz w:val="22"/>
        </w:rPr>
      </w:r>
    </w:p>
    <w:p>
      <w:pPr>
        <w:pStyle w:val="Heading3"/>
        <w:ind w:hanging="0" w:start="0"/>
        <w:rPr/>
      </w:pPr>
      <w:bookmarkStart w:id="12" w:name="__RefHeading___Toc153675003"/>
      <w:bookmarkEnd w:id="12"/>
      <w:r>
        <w:rPr>
          <w:sz w:val="22"/>
          <w:szCs w:val="22"/>
        </w:rPr>
        <w:t>Art. 13.</w:t>
        <w:tab/>
        <w:tab/>
        <w:t>Warranties</w:t>
      </w:r>
    </w:p>
    <w:p>
      <w:pPr>
        <w:pStyle w:val="Normal"/>
        <w:jc w:val="both"/>
        <w:rPr>
          <w:sz w:val="22"/>
          <w:szCs w:val="22"/>
        </w:rPr>
      </w:pPr>
      <w:r>
        <w:rPr>
          <w:sz w:val="22"/>
          <w:szCs w:val="22"/>
        </w:rPr>
      </w:r>
    </w:p>
    <w:p>
      <w:pPr>
        <w:pStyle w:val="Normal"/>
        <w:tabs>
          <w:tab w:val="clear" w:pos="720"/>
          <w:tab w:val="left" w:pos="567" w:leader="none"/>
        </w:tabs>
        <w:ind w:hanging="567" w:start="567" w:end="0"/>
        <w:jc w:val="both"/>
        <w:rPr>
          <w:sz w:val="22"/>
        </w:rPr>
      </w:pPr>
      <w:r>
        <w:rPr>
          <w:sz w:val="22"/>
        </w:rPr>
        <w:t>1.</w:t>
        <w:tab/>
        <w:t>Softcrow shall keep the Deposited Material during the Deposit in a fireproof and secure place and declares that it will devote the utmost care to ensuring that the information carriers on which the Deposited Material is deposited are kept safely and adequately and will release the same only on the conditions of this agreement.</w:t>
      </w:r>
    </w:p>
    <w:p>
      <w:pPr>
        <w:pStyle w:val="Normal"/>
        <w:tabs>
          <w:tab w:val="clear" w:pos="720"/>
          <w:tab w:val="left" w:pos="567" w:leader="none"/>
        </w:tabs>
        <w:ind w:hanging="567" w:start="567" w:end="0"/>
        <w:jc w:val="both"/>
        <w:rPr>
          <w:sz w:val="22"/>
        </w:rPr>
      </w:pPr>
      <w:r>
        <w:rPr>
          <w:sz w:val="22"/>
        </w:rPr>
      </w:r>
    </w:p>
    <w:p>
      <w:pPr>
        <w:pStyle w:val="Normal"/>
        <w:tabs>
          <w:tab w:val="clear" w:pos="720"/>
          <w:tab w:val="left" w:pos="567" w:leader="none"/>
        </w:tabs>
        <w:ind w:hanging="567" w:start="567" w:end="0"/>
        <w:jc w:val="both"/>
        <w:rPr>
          <w:sz w:val="22"/>
        </w:rPr>
      </w:pPr>
      <w:r>
        <w:rPr>
          <w:sz w:val="22"/>
        </w:rPr>
        <w:t>2.</w:t>
        <w:tab/>
        <w:t>The Supplier warrants that it is entitled to all rights of intellectual property to the Software (and hence to the Source Code) or that it is competent to conclude this agreement on behalf of the person legally entitled and that the Source Code as deposited with Softcrow (expressly including any alteration) is suitable for the Maintenance by a third party, provided that sufficient expertise and the correct hardware/software environment are used.</w:t>
      </w:r>
    </w:p>
    <w:p>
      <w:pPr>
        <w:pStyle w:val="Normal"/>
        <w:jc w:val="both"/>
        <w:rPr>
          <w:b/>
          <w:bCs/>
          <w:sz w:val="22"/>
        </w:rPr>
      </w:pPr>
      <w:r>
        <w:rPr>
          <w:b/>
          <w:bCs/>
          <w:sz w:val="22"/>
        </w:rPr>
      </w:r>
    </w:p>
    <w:p>
      <w:pPr>
        <w:pStyle w:val="Heading3"/>
        <w:ind w:hanging="0" w:start="0"/>
        <w:rPr/>
      </w:pPr>
      <w:bookmarkStart w:id="13" w:name="__RefHeading___Toc153675004"/>
      <w:bookmarkEnd w:id="13"/>
      <w:r>
        <w:rPr>
          <w:sz w:val="22"/>
          <w:szCs w:val="22"/>
        </w:rPr>
        <w:t>Art. 14.</w:t>
        <w:tab/>
        <w:tab/>
        <w:t>Secrecy</w:t>
      </w:r>
    </w:p>
    <w:p>
      <w:pPr>
        <w:pStyle w:val="Normal"/>
        <w:jc w:val="both"/>
        <w:rPr>
          <w:sz w:val="22"/>
          <w:szCs w:val="22"/>
        </w:rPr>
      </w:pPr>
      <w:r>
        <w:rPr>
          <w:sz w:val="22"/>
          <w:szCs w:val="22"/>
        </w:rPr>
      </w:r>
    </w:p>
    <w:p>
      <w:pPr>
        <w:pStyle w:val="Normal"/>
        <w:tabs>
          <w:tab w:val="clear" w:pos="720"/>
          <w:tab w:val="left" w:pos="567" w:leader="none"/>
        </w:tabs>
        <w:ind w:hanging="567" w:start="567" w:end="0"/>
        <w:jc w:val="both"/>
        <w:rPr>
          <w:sz w:val="22"/>
        </w:rPr>
      </w:pPr>
      <w:r>
        <w:rPr>
          <w:sz w:val="22"/>
        </w:rPr>
        <w:t>1.</w:t>
        <w:tab/>
        <w:t>Each of the parties undertakes to observe secrecy with regard to all information about and knowledge of the business affairs of the other party to this agreement that come to its attention when this agreement comes into being and/or during its implementation.</w:t>
      </w:r>
    </w:p>
    <w:p>
      <w:pPr>
        <w:pStyle w:val="Normal"/>
        <w:tabs>
          <w:tab w:val="clear" w:pos="720"/>
          <w:tab w:val="left" w:pos="567" w:leader="none"/>
        </w:tabs>
        <w:ind w:hanging="567" w:start="567" w:end="0"/>
        <w:jc w:val="both"/>
        <w:rPr>
          <w:sz w:val="22"/>
        </w:rPr>
      </w:pPr>
      <w:r>
        <w:rPr>
          <w:sz w:val="22"/>
        </w:rPr>
      </w:r>
    </w:p>
    <w:p>
      <w:pPr>
        <w:pStyle w:val="Normal"/>
        <w:tabs>
          <w:tab w:val="clear" w:pos="720"/>
          <w:tab w:val="left" w:pos="567" w:leader="none"/>
        </w:tabs>
        <w:ind w:hanging="567" w:start="567" w:end="0"/>
        <w:jc w:val="both"/>
        <w:rPr>
          <w:sz w:val="22"/>
        </w:rPr>
      </w:pPr>
      <w:r>
        <w:rPr>
          <w:sz w:val="22"/>
        </w:rPr>
        <w:t>2.</w:t>
        <w:tab/>
        <w:t>The Beneficiary warrants that after the Deposited Material has been released by Softcrow this version will be accessible only to the Beneficiary and will not be given to any other party for inspection, except in so far as necessary for the Maintenance of the Software or is permitted under the Master Services Agreement.</w:t>
      </w:r>
    </w:p>
    <w:p>
      <w:pPr>
        <w:pStyle w:val="Normal"/>
        <w:tabs>
          <w:tab w:val="clear" w:pos="720"/>
          <w:tab w:val="left" w:pos="567" w:leader="none"/>
        </w:tabs>
        <w:ind w:hanging="567" w:start="567" w:end="0"/>
        <w:jc w:val="both"/>
        <w:rPr>
          <w:sz w:val="22"/>
        </w:rPr>
      </w:pPr>
      <w:r>
        <w:rPr>
          <w:sz w:val="22"/>
        </w:rPr>
      </w:r>
    </w:p>
    <w:p>
      <w:pPr>
        <w:pStyle w:val="Normal"/>
        <w:tabs>
          <w:tab w:val="clear" w:pos="720"/>
          <w:tab w:val="left" w:pos="567" w:leader="none"/>
        </w:tabs>
        <w:ind w:hanging="567" w:start="567" w:end="0"/>
        <w:jc w:val="both"/>
        <w:rPr>
          <w:sz w:val="22"/>
        </w:rPr>
      </w:pPr>
      <w:r>
        <w:rPr>
          <w:sz w:val="22"/>
        </w:rPr>
        <w:t>3.</w:t>
        <w:tab/>
        <w:t xml:space="preserve">Softcrow shall conclude a non-disclosure agreement with the Auditor in the context of the performance by the Auditor of a Verification Examination. Softcrow shall submit this agreement to the Beneficiary for inspection at the first request of the Beneficiary. </w:t>
      </w:r>
    </w:p>
    <w:p>
      <w:pPr>
        <w:pStyle w:val="Normal"/>
        <w:jc w:val="both"/>
        <w:rPr>
          <w:b/>
          <w:bCs/>
          <w:sz w:val="22"/>
        </w:rPr>
      </w:pPr>
      <w:r>
        <w:rPr>
          <w:b/>
          <w:bCs/>
          <w:sz w:val="22"/>
        </w:rPr>
      </w:r>
    </w:p>
    <w:p>
      <w:pPr>
        <w:pStyle w:val="Heading3"/>
        <w:ind w:hanging="0" w:start="0"/>
        <w:rPr/>
      </w:pPr>
      <w:bookmarkStart w:id="14" w:name="__RefHeading___Toc153675005"/>
      <w:bookmarkEnd w:id="14"/>
      <w:r>
        <w:rPr>
          <w:sz w:val="22"/>
          <w:szCs w:val="22"/>
        </w:rPr>
        <w:t>Art. 15.</w:t>
        <w:tab/>
        <w:tab/>
        <w:t>Liability and indemnification</w:t>
      </w:r>
    </w:p>
    <w:p>
      <w:pPr>
        <w:pStyle w:val="Normal"/>
        <w:jc w:val="both"/>
        <w:rPr>
          <w:sz w:val="22"/>
          <w:szCs w:val="22"/>
        </w:rPr>
      </w:pPr>
      <w:r>
        <w:rPr>
          <w:sz w:val="22"/>
          <w:szCs w:val="22"/>
        </w:rPr>
      </w:r>
    </w:p>
    <w:p>
      <w:pPr>
        <w:pStyle w:val="Normal"/>
        <w:tabs>
          <w:tab w:val="clear" w:pos="720"/>
          <w:tab w:val="left" w:pos="567" w:leader="none"/>
        </w:tabs>
        <w:ind w:hanging="567" w:start="567" w:end="0"/>
        <w:jc w:val="both"/>
        <w:rPr/>
      </w:pPr>
      <w:r>
        <w:rPr>
          <w:sz w:val="22"/>
        </w:rPr>
        <w:t>1.</w:t>
        <w:tab/>
        <w:t>The liability of Softcrow for failures in the performance of the agreement that are not intentional or not due to gross negligence shall be limited to an amount of € 10,000 per occurrence.</w:t>
      </w:r>
    </w:p>
    <w:p>
      <w:pPr>
        <w:pStyle w:val="Normal"/>
        <w:tabs>
          <w:tab w:val="clear" w:pos="720"/>
          <w:tab w:val="left" w:pos="567" w:leader="none"/>
        </w:tabs>
        <w:ind w:hanging="567" w:start="567" w:end="0"/>
        <w:jc w:val="both"/>
        <w:rPr>
          <w:sz w:val="22"/>
        </w:rPr>
      </w:pPr>
      <w:r>
        <w:rPr>
          <w:sz w:val="22"/>
        </w:rPr>
      </w:r>
    </w:p>
    <w:p>
      <w:pPr>
        <w:pStyle w:val="Normal"/>
        <w:tabs>
          <w:tab w:val="clear" w:pos="720"/>
          <w:tab w:val="left" w:pos="567" w:leader="none"/>
        </w:tabs>
        <w:ind w:hanging="567" w:start="567" w:end="0"/>
        <w:jc w:val="both"/>
        <w:rPr/>
      </w:pPr>
      <w:r>
        <w:rPr>
          <w:sz w:val="22"/>
        </w:rPr>
        <w:t>2.</w:t>
        <w:tab/>
        <w:t>The party requesting Softcrow for the release of the Deposited Material shall indemnify Softcrow against claims which the other party and/or third parties may make against Softcrow, unless the claim is the result of a failure imputable to Softcrow.</w:t>
      </w:r>
    </w:p>
    <w:p>
      <w:pPr>
        <w:pStyle w:val="Normal"/>
        <w:tabs>
          <w:tab w:val="clear" w:pos="720"/>
          <w:tab w:val="left" w:pos="567" w:leader="none"/>
        </w:tabs>
        <w:ind w:hanging="567" w:start="567" w:end="0"/>
        <w:jc w:val="both"/>
        <w:rPr>
          <w:sz w:val="22"/>
        </w:rPr>
      </w:pPr>
      <w:r>
        <w:rPr>
          <w:sz w:val="22"/>
        </w:rPr>
      </w:r>
    </w:p>
    <w:p>
      <w:pPr>
        <w:pStyle w:val="Normal"/>
        <w:tabs>
          <w:tab w:val="clear" w:pos="720"/>
          <w:tab w:val="left" w:pos="567" w:leader="none"/>
        </w:tabs>
        <w:ind w:hanging="567" w:start="567" w:end="0"/>
        <w:jc w:val="both"/>
        <w:rPr>
          <w:sz w:val="22"/>
        </w:rPr>
      </w:pPr>
      <w:r>
        <w:rPr>
          <w:sz w:val="22"/>
        </w:rPr>
        <w:t>3.</w:t>
        <w:tab/>
        <w:t>The Supplier shall indemnify each of the other parties against every claim by third parties with regard to any right or any power in respect of the Deposited Material granted by it under this agreement.</w:t>
      </w:r>
    </w:p>
    <w:p>
      <w:pPr>
        <w:pStyle w:val="Normal"/>
        <w:tabs>
          <w:tab w:val="clear" w:pos="720"/>
          <w:tab w:val="left" w:pos="567" w:leader="none"/>
        </w:tabs>
        <w:ind w:hanging="567" w:start="567" w:end="0"/>
        <w:jc w:val="both"/>
        <w:rPr/>
      </w:pPr>
      <w:r>
        <w:rPr>
          <w:sz w:val="22"/>
        </w:rPr>
        <w:t>4.</w:t>
        <w:tab/>
        <w:t>As between the Beneficiary and the Supplier, the provisions of clause 13 of the Master Services Agreement shall apply, and the provisions of clause 13 are hereby incorporated into this agreement by reference.</w:t>
      </w:r>
    </w:p>
    <w:p>
      <w:pPr>
        <w:pStyle w:val="Normal"/>
        <w:tabs>
          <w:tab w:val="clear" w:pos="720"/>
          <w:tab w:val="left" w:pos="567" w:leader="none"/>
        </w:tabs>
        <w:ind w:hanging="567" w:start="567" w:end="0"/>
        <w:jc w:val="both"/>
        <w:rPr>
          <w:b/>
          <w:bCs/>
          <w:sz w:val="22"/>
        </w:rPr>
      </w:pPr>
      <w:r>
        <w:rPr>
          <w:b/>
          <w:bCs/>
          <w:sz w:val="22"/>
        </w:rPr>
      </w:r>
    </w:p>
    <w:p>
      <w:pPr>
        <w:pStyle w:val="Heading3"/>
        <w:ind w:hanging="0" w:start="0"/>
        <w:rPr/>
      </w:pPr>
      <w:bookmarkStart w:id="15" w:name="__RefHeading___Toc153675006"/>
      <w:bookmarkEnd w:id="15"/>
      <w:r>
        <w:rPr>
          <w:sz w:val="22"/>
          <w:szCs w:val="22"/>
        </w:rPr>
        <w:t>Art. 16.</w:t>
        <w:tab/>
        <w:tab/>
        <w:t>Deposit fee</w:t>
      </w:r>
    </w:p>
    <w:p>
      <w:pPr>
        <w:pStyle w:val="Normal"/>
        <w:jc w:val="both"/>
        <w:rPr>
          <w:sz w:val="22"/>
          <w:szCs w:val="22"/>
        </w:rPr>
      </w:pPr>
      <w:r>
        <w:rPr>
          <w:sz w:val="22"/>
          <w:szCs w:val="22"/>
        </w:rPr>
      </w:r>
    </w:p>
    <w:p>
      <w:pPr>
        <w:pStyle w:val="Normal"/>
        <w:tabs>
          <w:tab w:val="clear" w:pos="720"/>
          <w:tab w:val="left" w:pos="567" w:leader="none"/>
        </w:tabs>
        <w:ind w:hanging="567" w:start="567" w:end="0"/>
        <w:jc w:val="both"/>
        <w:rPr/>
      </w:pPr>
      <w:r>
        <w:rPr>
          <w:sz w:val="22"/>
        </w:rPr>
        <w:t>1.</w:t>
        <w:tab/>
        <w:t xml:space="preserve">The Beneficiary shall owe Softcrow in advance a fee of € </w:t>
      </w:r>
      <w:r>
        <w:rPr>
          <w:rStyle w:val="Emphasis"/>
          <w:i w:val="false"/>
          <w:iCs w:val="false"/>
          <w:sz w:val="22"/>
          <w:szCs w:val="20"/>
        </w:rPr>
        <w:t>[</w:t>
      </w:r>
      <w:r>
        <w:rPr>
          <w:rStyle w:val="Emphasis"/>
          <w:rFonts w:eastAsia="Symbol" w:cs="Symbol" w:ascii="Symbol" w:hAnsi="Symbol"/>
          <w:i w:val="false"/>
          <w:iCs w:val="false"/>
          <w:sz w:val="22"/>
          <w:szCs w:val="20"/>
        </w:rPr>
        <w:sym w:font="Symbol" w:char="b7"/>
      </w:r>
      <w:r>
        <w:rPr>
          <w:rStyle w:val="Emphasis"/>
          <w:i w:val="false"/>
          <w:iCs w:val="false"/>
          <w:sz w:val="22"/>
          <w:szCs w:val="20"/>
        </w:rPr>
        <w:t>]</w:t>
      </w:r>
      <w:r>
        <w:rPr>
          <w:sz w:val="22"/>
        </w:rPr>
        <w:t>, excluding VAT, for the first year of this agreement. This includes the costs of making available a maximum of two deposit cases, receiving and keeping the Deposited Material, the cost of placing the Deposit updates up to a maximum of 10 a year, the costs of arranging and carrying out a standard Verification Examination as described in Schedule 2 and the cost of carrying out the Deposit Management. The costs of the Verification Examination are based on the expectation that a maximum of eight hours will be required in order to carry out the Verification Examination.</w:t>
      </w:r>
    </w:p>
    <w:p>
      <w:pPr>
        <w:pStyle w:val="Normal"/>
        <w:tabs>
          <w:tab w:val="clear" w:pos="720"/>
          <w:tab w:val="left" w:pos="567" w:leader="none"/>
        </w:tabs>
        <w:ind w:hanging="567" w:start="567" w:end="0"/>
        <w:jc w:val="both"/>
        <w:rPr/>
      </w:pPr>
      <w:r>
        <w:rPr>
          <w:sz w:val="22"/>
        </w:rPr>
        <w:br/>
        <w:t>This includes generating the correct machine version, drawing up the report of the Verification Examination, handing over the Deposited Material to Softcrow and the travelling time of the Auditor.  If it transpires that the period required annually to carry out a Verification Examination exceeds eight hours, Softcrow shall be entitled to charge the Beneficiary € 125 per hour for the excess hours. The travelling expenses incurred by the Auditor shall be borne by the Benificiary if this has been explicitly agreed.</w:t>
      </w:r>
    </w:p>
    <w:p>
      <w:pPr>
        <w:pStyle w:val="Normal"/>
        <w:jc w:val="both"/>
        <w:rPr>
          <w:sz w:val="22"/>
        </w:rPr>
      </w:pPr>
      <w:r>
        <w:rPr>
          <w:sz w:val="22"/>
        </w:rPr>
      </w:r>
    </w:p>
    <w:p>
      <w:pPr>
        <w:pStyle w:val="Normal"/>
        <w:tabs>
          <w:tab w:val="clear" w:pos="720"/>
          <w:tab w:val="left" w:pos="567" w:leader="none"/>
        </w:tabs>
        <w:ind w:hanging="567" w:start="567" w:end="0"/>
        <w:jc w:val="both"/>
        <w:rPr/>
      </w:pPr>
      <w:r>
        <w:rPr>
          <w:sz w:val="22"/>
        </w:rPr>
        <w:t>2.</w:t>
        <w:tab/>
        <w:t xml:space="preserve">The Beneficiary shall owe Softcrow in advance a fee of € </w:t>
      </w:r>
      <w:r>
        <w:rPr>
          <w:rStyle w:val="Emphasis"/>
          <w:i w:val="false"/>
          <w:iCs w:val="false"/>
          <w:sz w:val="22"/>
          <w:szCs w:val="20"/>
        </w:rPr>
        <w:t>[</w:t>
      </w:r>
      <w:r>
        <w:rPr>
          <w:rStyle w:val="Emphasis"/>
          <w:rFonts w:eastAsia="Symbol" w:cs="Symbol" w:ascii="Symbol" w:hAnsi="Symbol"/>
          <w:i w:val="false"/>
          <w:iCs w:val="false"/>
          <w:sz w:val="22"/>
          <w:szCs w:val="20"/>
        </w:rPr>
        <w:sym w:font="Symbol" w:char="b7"/>
      </w:r>
      <w:r>
        <w:rPr>
          <w:rStyle w:val="Emphasis"/>
          <w:i w:val="false"/>
          <w:iCs w:val="false"/>
          <w:sz w:val="22"/>
          <w:szCs w:val="20"/>
        </w:rPr>
        <w:t>]</w:t>
      </w:r>
      <w:r>
        <w:rPr>
          <w:sz w:val="22"/>
        </w:rPr>
        <w:t xml:space="preserve">, excluding VAT, for each subsequent year. This includes the costs of holding the Source Code on Deposit, the cost of placing the Deposit updates up to a maximum of 10 a year and the cost of carrying out the Deposit Management. Softcrow shall arrange for a Verification Examination to be carried out at the request of the Beneficiary. The related costs shall be charged separately to the Beneficiary. The applicable hourly rate is € 125. The hourly rate is fixed anew each year subject to and in accordance with article 17. </w:t>
      </w:r>
    </w:p>
    <w:p>
      <w:pPr>
        <w:pStyle w:val="Normal"/>
        <w:jc w:val="both"/>
        <w:rPr>
          <w:b/>
          <w:bCs/>
          <w:sz w:val="22"/>
        </w:rPr>
      </w:pPr>
      <w:r>
        <w:rPr>
          <w:b/>
          <w:bCs/>
          <w:sz w:val="22"/>
        </w:rPr>
      </w:r>
    </w:p>
    <w:p>
      <w:pPr>
        <w:pStyle w:val="Heading3"/>
        <w:ind w:hanging="0" w:start="0"/>
        <w:rPr/>
      </w:pPr>
      <w:bookmarkStart w:id="16" w:name="__RefHeading___Toc153675007"/>
      <w:r>
        <w:rPr>
          <w:sz w:val="22"/>
          <w:szCs w:val="22"/>
        </w:rPr>
        <w:t>Art. 17.</w:t>
        <w:tab/>
        <w:tab/>
        <w:t>Adjustments of Deposit fee</w:t>
      </w:r>
      <w:bookmarkEnd w:id="16"/>
      <w:r>
        <w:rPr>
          <w:sz w:val="22"/>
          <w:szCs w:val="22"/>
        </w:rPr>
        <w:t xml:space="preserve"> </w:t>
      </w:r>
    </w:p>
    <w:p>
      <w:pPr>
        <w:pStyle w:val="Normal"/>
        <w:jc w:val="both"/>
        <w:rPr>
          <w:sz w:val="22"/>
          <w:szCs w:val="22"/>
        </w:rPr>
      </w:pPr>
      <w:r>
        <w:rPr>
          <w:sz w:val="22"/>
          <w:szCs w:val="22"/>
        </w:rPr>
      </w:r>
    </w:p>
    <w:p>
      <w:pPr>
        <w:pStyle w:val="Normal"/>
        <w:ind w:start="540" w:end="0"/>
        <w:jc w:val="both"/>
        <w:rPr/>
      </w:pPr>
      <w:r>
        <w:rPr>
          <w:sz w:val="22"/>
        </w:rPr>
        <w:t xml:space="preserve">Softcrow shall be entitled to adjust annually on 1 January the fees recorded in article 16 based on and subject to a maximum of the rise in the price index known as the ‘Consumer Price Index – All Households’, as determined by Statistics Netherlands (CBS).   </w:t>
      </w:r>
    </w:p>
    <w:p>
      <w:pPr>
        <w:pStyle w:val="Normal"/>
        <w:jc w:val="both"/>
        <w:rPr>
          <w:sz w:val="22"/>
        </w:rPr>
      </w:pPr>
      <w:r>
        <w:rPr>
          <w:sz w:val="22"/>
        </w:rPr>
      </w:r>
    </w:p>
    <w:p>
      <w:pPr>
        <w:pStyle w:val="Heading3"/>
        <w:ind w:hanging="0" w:start="0"/>
        <w:rPr/>
      </w:pPr>
      <w:bookmarkStart w:id="17" w:name="__RefHeading___Toc153675008"/>
      <w:bookmarkEnd w:id="17"/>
      <w:r>
        <w:rPr>
          <w:sz w:val="22"/>
          <w:szCs w:val="22"/>
        </w:rPr>
        <w:t>Art. 18.</w:t>
        <w:tab/>
        <w:tab/>
        <w:t>Term of the agreement</w:t>
      </w:r>
    </w:p>
    <w:p>
      <w:pPr>
        <w:pStyle w:val="Normal"/>
        <w:jc w:val="both"/>
        <w:rPr>
          <w:sz w:val="22"/>
          <w:szCs w:val="22"/>
        </w:rPr>
      </w:pPr>
      <w:r>
        <w:rPr>
          <w:sz w:val="22"/>
          <w:szCs w:val="22"/>
        </w:rPr>
      </w:r>
    </w:p>
    <w:p>
      <w:pPr>
        <w:pStyle w:val="Normal"/>
        <w:tabs>
          <w:tab w:val="clear" w:pos="720"/>
          <w:tab w:val="left" w:pos="567" w:leader="none"/>
        </w:tabs>
        <w:ind w:hanging="567" w:start="567" w:end="0"/>
        <w:jc w:val="both"/>
        <w:rPr>
          <w:sz w:val="22"/>
        </w:rPr>
      </w:pPr>
      <w:r>
        <w:rPr>
          <w:sz w:val="22"/>
        </w:rPr>
        <w:t>1.</w:t>
        <w:tab/>
        <w:t>This agreement shall start on the day of signature by the parties and shall last for as long as the Beneficiary has a licence to use the Software (or may in future acquire such a licence pursuant to the Master Services Agreement).</w:t>
      </w:r>
    </w:p>
    <w:p>
      <w:pPr>
        <w:pStyle w:val="Normal"/>
        <w:jc w:val="both"/>
        <w:rPr>
          <w:sz w:val="22"/>
        </w:rPr>
      </w:pPr>
      <w:r>
        <w:rPr>
          <w:sz w:val="22"/>
        </w:rPr>
      </w:r>
    </w:p>
    <w:p>
      <w:pPr>
        <w:pStyle w:val="Normal"/>
        <w:tabs>
          <w:tab w:val="clear" w:pos="720"/>
          <w:tab w:val="left" w:pos="567" w:leader="none"/>
        </w:tabs>
        <w:ind w:hanging="567" w:start="567" w:end="0"/>
        <w:jc w:val="both"/>
        <w:rPr>
          <w:sz w:val="22"/>
        </w:rPr>
      </w:pPr>
      <w:r>
        <w:rPr>
          <w:sz w:val="22"/>
        </w:rPr>
        <w:t>2.</w:t>
        <w:tab/>
        <w:t>The agreement may be terminated by the Beneficiary and the Supplier together by means of three months’ notice to Softcrow with effect from the date of expiry of the period for which the Deposit fee has been paid. Such notice shall be given by registered letter in which both parties declare that they wish to end the escrow.</w:t>
      </w:r>
    </w:p>
    <w:p>
      <w:pPr>
        <w:pStyle w:val="Normal"/>
        <w:jc w:val="both"/>
        <w:rPr>
          <w:sz w:val="22"/>
        </w:rPr>
      </w:pPr>
      <w:r>
        <w:rPr>
          <w:sz w:val="22"/>
        </w:rPr>
      </w:r>
    </w:p>
    <w:p>
      <w:pPr>
        <w:pStyle w:val="Normal"/>
        <w:tabs>
          <w:tab w:val="clear" w:pos="720"/>
          <w:tab w:val="left" w:pos="567" w:leader="none"/>
        </w:tabs>
        <w:ind w:hanging="567" w:start="567" w:end="0"/>
        <w:jc w:val="both"/>
        <w:rPr>
          <w:sz w:val="22"/>
        </w:rPr>
      </w:pPr>
      <w:r>
        <w:rPr>
          <w:sz w:val="22"/>
        </w:rPr>
        <w:t>3.</w:t>
        <w:tab/>
        <w:t>The agreement may be terminated with immediate effect and without notice of default or judicial intervention being required:</w:t>
      </w:r>
    </w:p>
    <w:p>
      <w:pPr>
        <w:pStyle w:val="Normal"/>
        <w:tabs>
          <w:tab w:val="clear" w:pos="720"/>
          <w:tab w:val="left" w:pos="567" w:leader="none"/>
        </w:tabs>
        <w:ind w:hanging="567" w:start="567" w:end="0"/>
        <w:jc w:val="both"/>
        <w:rPr>
          <w:sz w:val="22"/>
        </w:rPr>
      </w:pPr>
      <w:r>
        <w:rPr>
          <w:sz w:val="22"/>
        </w:rPr>
      </w:r>
    </w:p>
    <w:p>
      <w:pPr>
        <w:pStyle w:val="Normal"/>
        <w:tabs>
          <w:tab w:val="clear" w:pos="720"/>
          <w:tab w:val="left" w:pos="993" w:leader="none"/>
        </w:tabs>
        <w:ind w:hanging="426" w:start="993" w:end="0"/>
        <w:jc w:val="both"/>
        <w:rPr>
          <w:sz w:val="22"/>
        </w:rPr>
      </w:pPr>
      <w:r>
        <w:rPr>
          <w:sz w:val="22"/>
        </w:rPr>
        <w:t>(a)</w:t>
        <w:tab/>
        <w:t>by either the Beneficiary or the Supplier together if Softcrow has been declared bankrupt;</w:t>
      </w:r>
    </w:p>
    <w:p>
      <w:pPr>
        <w:pStyle w:val="Normal"/>
        <w:tabs>
          <w:tab w:val="clear" w:pos="720"/>
          <w:tab w:val="left" w:pos="993" w:leader="none"/>
        </w:tabs>
        <w:ind w:hanging="426" w:start="993" w:end="0"/>
        <w:jc w:val="both"/>
        <w:rPr>
          <w:sz w:val="22"/>
        </w:rPr>
      </w:pPr>
      <w:r>
        <w:rPr>
          <w:sz w:val="22"/>
        </w:rPr>
        <w:t>(b)</w:t>
        <w:tab/>
        <w:t>by Softcrow if the fee referred to in article 16 has not been paid or has not been paid in time and neither the Supplier nor the Beneficiary has paid the fee within a reasonable period (of not less than 60 days) as specified in a written notice of default given by Softcrow.</w:t>
      </w:r>
    </w:p>
    <w:p>
      <w:pPr>
        <w:pStyle w:val="Normal"/>
        <w:jc w:val="both"/>
        <w:rPr>
          <w:sz w:val="22"/>
        </w:rPr>
      </w:pPr>
      <w:r>
        <w:rPr>
          <w:sz w:val="22"/>
        </w:rPr>
      </w:r>
    </w:p>
    <w:p>
      <w:pPr>
        <w:pStyle w:val="Normal"/>
        <w:tabs>
          <w:tab w:val="clear" w:pos="720"/>
          <w:tab w:val="left" w:pos="567" w:leader="none"/>
        </w:tabs>
        <w:ind w:hanging="567" w:start="567" w:end="0"/>
        <w:jc w:val="both"/>
        <w:rPr>
          <w:sz w:val="22"/>
        </w:rPr>
      </w:pPr>
      <w:r>
        <w:rPr>
          <w:sz w:val="22"/>
        </w:rPr>
        <w:t>4.</w:t>
        <w:tab/>
        <w:t>After the agreement has been terminated in the manner referred to in article 18, paragraph 2 and 3(b), Softcrow shall return the Deposited Material to the Supplier. The return of the Deposited Material to the Supplier shall not have any influence on the payment obligation of either the Supplier or the Beneficiary under article 16. If the agreement is terminated in the manner referred to in article 18, paragraph 3(a), Softcrow shall release the Deposited Material to a third party jointly designated by the Beneficiary and the Supplier.</w:t>
      </w:r>
    </w:p>
    <w:p>
      <w:pPr>
        <w:pStyle w:val="Normal"/>
        <w:jc w:val="both"/>
        <w:rPr>
          <w:sz w:val="22"/>
        </w:rPr>
      </w:pPr>
      <w:r>
        <w:rPr>
          <w:sz w:val="22"/>
        </w:rPr>
      </w:r>
    </w:p>
    <w:p>
      <w:pPr>
        <w:pStyle w:val="Normal"/>
        <w:tabs>
          <w:tab w:val="clear" w:pos="720"/>
          <w:tab w:val="left" w:pos="567" w:leader="none"/>
        </w:tabs>
        <w:ind w:hanging="567" w:start="567" w:end="0"/>
        <w:jc w:val="both"/>
        <w:rPr>
          <w:sz w:val="22"/>
        </w:rPr>
      </w:pPr>
      <w:r>
        <w:rPr>
          <w:sz w:val="22"/>
        </w:rPr>
        <w:t>5.</w:t>
        <w:tab/>
        <w:t xml:space="preserve">The agreement shall also be terminated after it has been established that the Beneficiary is entitled to the release of the Deposited Material in accordance with the provisions of this agreement. </w:t>
      </w:r>
    </w:p>
    <w:p>
      <w:pPr>
        <w:pStyle w:val="Normal"/>
        <w:jc w:val="both"/>
        <w:rPr>
          <w:sz w:val="22"/>
        </w:rPr>
      </w:pPr>
      <w:r>
        <w:rPr>
          <w:sz w:val="22"/>
        </w:rPr>
      </w:r>
    </w:p>
    <w:p>
      <w:pPr>
        <w:pStyle w:val="Normal"/>
        <w:tabs>
          <w:tab w:val="clear" w:pos="720"/>
          <w:tab w:val="left" w:pos="567" w:leader="none"/>
        </w:tabs>
        <w:ind w:hanging="567" w:start="567" w:end="0"/>
        <w:jc w:val="both"/>
        <w:rPr>
          <w:sz w:val="22"/>
        </w:rPr>
      </w:pPr>
      <w:r>
        <w:rPr>
          <w:sz w:val="22"/>
        </w:rPr>
        <w:t>6.</w:t>
        <w:tab/>
        <w:t>Upon termination of this agreement Softcrow shall not be obliged to refund fee(s) paid to it.</w:t>
      </w:r>
    </w:p>
    <w:p>
      <w:pPr>
        <w:pStyle w:val="Normal"/>
        <w:jc w:val="both"/>
        <w:rPr>
          <w:b/>
          <w:bCs/>
          <w:sz w:val="22"/>
        </w:rPr>
      </w:pPr>
      <w:r>
        <w:rPr>
          <w:b/>
          <w:bCs/>
          <w:sz w:val="22"/>
        </w:rPr>
      </w:r>
    </w:p>
    <w:p>
      <w:pPr>
        <w:pStyle w:val="Heading3"/>
        <w:ind w:hanging="0" w:start="0"/>
        <w:rPr/>
      </w:pPr>
      <w:bookmarkStart w:id="18" w:name="__RefHeading___Toc153675009"/>
      <w:bookmarkEnd w:id="18"/>
      <w:r>
        <w:rPr>
          <w:sz w:val="22"/>
          <w:szCs w:val="22"/>
        </w:rPr>
        <w:t>Art. 19.</w:t>
        <w:tab/>
        <w:tab/>
        <w:t>Transfer of rights</w:t>
      </w:r>
    </w:p>
    <w:p>
      <w:pPr>
        <w:pStyle w:val="Normal"/>
        <w:jc w:val="both"/>
        <w:rPr>
          <w:sz w:val="22"/>
          <w:szCs w:val="22"/>
        </w:rPr>
      </w:pPr>
      <w:r>
        <w:rPr>
          <w:sz w:val="22"/>
          <w:szCs w:val="22"/>
        </w:rPr>
      </w:r>
    </w:p>
    <w:p>
      <w:pPr>
        <w:pStyle w:val="Normal"/>
        <w:ind w:start="540" w:end="0"/>
        <w:jc w:val="both"/>
        <w:rPr>
          <w:sz w:val="22"/>
        </w:rPr>
      </w:pPr>
      <w:r>
        <w:rPr>
          <w:sz w:val="22"/>
        </w:rPr>
        <w:t>The Supplier undertakes to transfer its rights to the Software to third parties only if permitted to do so under the Master Services Agreement, and then after giving written notice to the Beneficiary and Softcrow, and ensuring that the provisions of this agreement and of the Master Services Agreement form part of any transfer of the rights to the Software to third parties.</w:t>
      </w:r>
    </w:p>
    <w:p>
      <w:pPr>
        <w:pStyle w:val="Normal"/>
        <w:jc w:val="both"/>
        <w:rPr>
          <w:b/>
          <w:bCs/>
          <w:sz w:val="22"/>
        </w:rPr>
      </w:pPr>
      <w:r>
        <w:rPr>
          <w:b/>
          <w:bCs/>
          <w:sz w:val="22"/>
        </w:rPr>
      </w:r>
    </w:p>
    <w:p>
      <w:pPr>
        <w:pStyle w:val="Heading3"/>
        <w:ind w:hanging="0" w:start="0"/>
        <w:rPr/>
      </w:pPr>
      <w:bookmarkStart w:id="19" w:name="__RefHeading___Toc153675010"/>
      <w:bookmarkEnd w:id="19"/>
      <w:r>
        <w:rPr>
          <w:sz w:val="22"/>
          <w:szCs w:val="22"/>
        </w:rPr>
        <w:t>Art. 20.</w:t>
        <w:tab/>
        <w:tab/>
        <w:t>Choice of law and forum</w:t>
      </w:r>
    </w:p>
    <w:p>
      <w:pPr>
        <w:pStyle w:val="Normal"/>
        <w:numPr>
          <w:ilvl w:val="0"/>
          <w:numId w:val="0"/>
        </w:numPr>
        <w:jc w:val="both"/>
        <w:outlineLvl w:val="0"/>
        <w:rPr>
          <w:b/>
          <w:bCs/>
          <w:sz w:val="22"/>
          <w:szCs w:val="22"/>
        </w:rPr>
      </w:pPr>
      <w:r>
        <w:rPr>
          <w:b/>
          <w:bCs/>
          <w:sz w:val="22"/>
          <w:szCs w:val="22"/>
        </w:rPr>
      </w:r>
    </w:p>
    <w:p>
      <w:pPr>
        <w:pStyle w:val="Normal"/>
        <w:tabs>
          <w:tab w:val="clear" w:pos="720"/>
          <w:tab w:val="left" w:pos="-720" w:leader="none"/>
          <w:tab w:val="left" w:pos="567" w:leader="none"/>
        </w:tabs>
        <w:suppressAutoHyphens w:val="true"/>
        <w:ind w:hanging="567" w:start="567" w:end="0"/>
        <w:jc w:val="both"/>
        <w:rPr>
          <w:spacing w:val="-2"/>
          <w:sz w:val="22"/>
        </w:rPr>
      </w:pPr>
      <w:r>
        <w:rPr>
          <w:spacing w:val="-2"/>
          <w:sz w:val="22"/>
        </w:rPr>
        <w:t>1.</w:t>
        <w:tab/>
        <w:t xml:space="preserve">This agreement shall be governed by the law of the Netherlands. </w:t>
      </w:r>
    </w:p>
    <w:p>
      <w:pPr>
        <w:pStyle w:val="Normal"/>
        <w:tabs>
          <w:tab w:val="clear" w:pos="720"/>
          <w:tab w:val="left" w:pos="-720" w:leader="none"/>
        </w:tabs>
        <w:suppressAutoHyphens w:val="true"/>
        <w:jc w:val="both"/>
        <w:rPr>
          <w:spacing w:val="-2"/>
          <w:sz w:val="22"/>
        </w:rPr>
      </w:pPr>
      <w:r>
        <w:rPr>
          <w:spacing w:val="-2"/>
          <w:sz w:val="22"/>
        </w:rPr>
      </w:r>
    </w:p>
    <w:p>
      <w:pPr>
        <w:pStyle w:val="Normal"/>
        <w:tabs>
          <w:tab w:val="clear" w:pos="720"/>
          <w:tab w:val="left" w:pos="-720" w:leader="none"/>
          <w:tab w:val="left" w:pos="567" w:leader="none"/>
        </w:tabs>
        <w:suppressAutoHyphens w:val="true"/>
        <w:ind w:hanging="567" w:start="567" w:end="0"/>
        <w:jc w:val="both"/>
        <w:rPr>
          <w:spacing w:val="-2"/>
          <w:sz w:val="22"/>
        </w:rPr>
      </w:pPr>
      <w:r>
        <w:rPr>
          <w:spacing w:val="-2"/>
          <w:sz w:val="22"/>
        </w:rPr>
        <w:t>2.</w:t>
        <w:tab/>
        <w:t xml:space="preserve">Subject to article 11, disputes between the parties shall be decided only </w:t>
      </w:r>
      <w:r>
        <w:rPr>
          <w:sz w:val="22"/>
        </w:rPr>
        <w:t>in accordance with the escalation and dispute resolution procedures set out in the Master Services Agreement.</w:t>
      </w:r>
    </w:p>
    <w:p>
      <w:pPr>
        <w:pStyle w:val="Normal"/>
        <w:tabs>
          <w:tab w:val="clear" w:pos="720"/>
          <w:tab w:val="left" w:pos="-720" w:leader="none"/>
          <w:tab w:val="left" w:pos="567" w:leader="none"/>
        </w:tabs>
        <w:suppressAutoHyphens w:val="true"/>
        <w:ind w:hanging="567" w:start="567" w:end="0"/>
        <w:jc w:val="both"/>
        <w:rPr>
          <w:spacing w:val="-2"/>
          <w:sz w:val="22"/>
        </w:rPr>
      </w:pPr>
      <w:r>
        <w:rPr>
          <w:spacing w:val="-2"/>
          <w:sz w:val="22"/>
        </w:rPr>
      </w:r>
    </w:p>
    <w:p>
      <w:pPr>
        <w:pStyle w:val="Normal"/>
        <w:tabs>
          <w:tab w:val="clear" w:pos="720"/>
          <w:tab w:val="left" w:pos="-720" w:leader="none"/>
          <w:tab w:val="left" w:pos="567" w:leader="none"/>
        </w:tabs>
        <w:suppressAutoHyphens w:val="true"/>
        <w:ind w:hanging="567" w:start="567" w:end="0"/>
        <w:jc w:val="both"/>
        <w:rPr>
          <w:spacing w:val="-2"/>
          <w:sz w:val="22"/>
        </w:rPr>
      </w:pPr>
      <w:r>
        <w:rPr>
          <w:spacing w:val="-2"/>
          <w:sz w:val="22"/>
        </w:rPr>
        <w:t>3.</w:t>
        <w:tab/>
        <w:t>If any provision of this agreement is declared unlawful, the parties shall endeavour to reach agreement on a replacement provision which is in keeping with the parties’ intention and is lawful.</w:t>
      </w:r>
    </w:p>
    <w:p>
      <w:pPr>
        <w:pStyle w:val="Normal"/>
        <w:jc w:val="both"/>
        <w:rPr>
          <w:b/>
          <w:bCs/>
          <w:spacing w:val="-2"/>
          <w:sz w:val="22"/>
        </w:rPr>
      </w:pPr>
      <w:r>
        <w:rPr>
          <w:b/>
          <w:bCs/>
          <w:spacing w:val="-2"/>
          <w:sz w:val="22"/>
        </w:rPr>
      </w:r>
    </w:p>
    <w:p>
      <w:pPr>
        <w:pStyle w:val="Heading3"/>
        <w:ind w:hanging="0" w:start="0"/>
        <w:rPr/>
      </w:pPr>
      <w:bookmarkStart w:id="20" w:name="__RefHeading___Toc153675011"/>
      <w:bookmarkEnd w:id="20"/>
      <w:r>
        <w:rPr>
          <w:sz w:val="22"/>
          <w:szCs w:val="22"/>
        </w:rPr>
        <w:t>Art. 21.</w:t>
        <w:tab/>
        <w:tab/>
        <w:t>General</w:t>
      </w:r>
    </w:p>
    <w:p>
      <w:pPr>
        <w:pStyle w:val="Normal"/>
        <w:jc w:val="both"/>
        <w:rPr>
          <w:sz w:val="22"/>
          <w:szCs w:val="22"/>
        </w:rPr>
      </w:pPr>
      <w:r>
        <w:rPr>
          <w:sz w:val="22"/>
          <w:szCs w:val="22"/>
        </w:rPr>
      </w:r>
    </w:p>
    <w:p>
      <w:pPr>
        <w:pStyle w:val="Normal"/>
        <w:tabs>
          <w:tab w:val="clear" w:pos="720"/>
          <w:tab w:val="left" w:pos="567" w:leader="none"/>
        </w:tabs>
        <w:ind w:hanging="567" w:start="567" w:end="0"/>
        <w:jc w:val="both"/>
        <w:rPr>
          <w:sz w:val="22"/>
        </w:rPr>
      </w:pPr>
      <w:r>
        <w:rPr>
          <w:sz w:val="22"/>
        </w:rPr>
        <w:t>1.</w:t>
        <w:tab/>
        <w:t>The standard conditions of delivery and payment of the Supplier, Softcrow and the Beneficiary or any other standard or special conditions shall not apply.</w:t>
      </w:r>
    </w:p>
    <w:p>
      <w:pPr>
        <w:pStyle w:val="Normal"/>
        <w:tabs>
          <w:tab w:val="clear" w:pos="720"/>
          <w:tab w:val="left" w:pos="567" w:leader="none"/>
        </w:tabs>
        <w:ind w:hanging="567" w:start="567" w:end="0"/>
        <w:jc w:val="both"/>
        <w:rPr>
          <w:sz w:val="22"/>
        </w:rPr>
      </w:pPr>
      <w:r>
        <w:rPr>
          <w:sz w:val="22"/>
        </w:rPr>
      </w:r>
    </w:p>
    <w:p>
      <w:pPr>
        <w:pStyle w:val="Normal"/>
        <w:tabs>
          <w:tab w:val="clear" w:pos="720"/>
          <w:tab w:val="left" w:pos="567" w:leader="none"/>
        </w:tabs>
        <w:ind w:hanging="567" w:start="567" w:end="0"/>
        <w:jc w:val="both"/>
        <w:rPr>
          <w:sz w:val="22"/>
        </w:rPr>
      </w:pPr>
      <w:r>
        <w:rPr>
          <w:sz w:val="22"/>
        </w:rPr>
        <w:t>2.</w:t>
        <w:tab/>
        <w:t>The Schedules to this agreement shall form part of this agreement. In the event of an inconsistency between the provisions of this agreement and the contents of the schedules, the provisions of this agreement shall prevail unless expressly provided otherwise.</w:t>
      </w:r>
    </w:p>
    <w:p>
      <w:pPr>
        <w:pStyle w:val="Normal"/>
        <w:tabs>
          <w:tab w:val="clear" w:pos="720"/>
          <w:tab w:val="left" w:pos="567" w:leader="none"/>
        </w:tabs>
        <w:ind w:hanging="567" w:start="567" w:end="0"/>
        <w:jc w:val="both"/>
        <w:rPr>
          <w:sz w:val="22"/>
        </w:rPr>
      </w:pPr>
      <w:r>
        <w:rPr>
          <w:sz w:val="22"/>
        </w:rPr>
      </w:r>
    </w:p>
    <w:p>
      <w:pPr>
        <w:pStyle w:val="Normal"/>
        <w:tabs>
          <w:tab w:val="clear" w:pos="720"/>
          <w:tab w:val="left" w:pos="567" w:leader="none"/>
        </w:tabs>
        <w:ind w:hanging="567" w:start="567" w:end="0"/>
        <w:jc w:val="both"/>
        <w:rPr>
          <w:sz w:val="22"/>
        </w:rPr>
      </w:pPr>
      <w:r>
        <w:rPr>
          <w:sz w:val="22"/>
        </w:rPr>
        <w:t>3.</w:t>
        <w:tab/>
        <w:t>Notices given by the parties to one another under this agreement shall be in writing. Oral communications, undertakings or arrangements shall not be valid in law.</w:t>
      </w:r>
    </w:p>
    <w:p>
      <w:pPr>
        <w:pStyle w:val="Normal"/>
        <w:tabs>
          <w:tab w:val="clear" w:pos="720"/>
          <w:tab w:val="left" w:pos="567" w:leader="none"/>
        </w:tabs>
        <w:ind w:hanging="567" w:start="567" w:end="0"/>
        <w:jc w:val="both"/>
        <w:rPr>
          <w:sz w:val="22"/>
        </w:rPr>
      </w:pPr>
      <w:r>
        <w:rPr>
          <w:sz w:val="22"/>
        </w:rPr>
      </w:r>
    </w:p>
    <w:p>
      <w:pPr>
        <w:pStyle w:val="Normal"/>
        <w:tabs>
          <w:tab w:val="clear" w:pos="720"/>
          <w:tab w:val="left" w:pos="567" w:leader="none"/>
        </w:tabs>
        <w:ind w:hanging="567" w:start="567" w:end="0"/>
        <w:jc w:val="both"/>
        <w:rPr>
          <w:sz w:val="22"/>
        </w:rPr>
      </w:pPr>
      <w:r>
        <w:rPr>
          <w:sz w:val="22"/>
        </w:rPr>
        <w:t>4.</w:t>
        <w:tab/>
        <w:t>A failure by one of the parties to require performance of any provision within a term specified in the agreement shall not affect the right subsequently to demand performance, unless the relevant party has expressly assented in writing to the non-performance.</w:t>
      </w:r>
    </w:p>
    <w:p>
      <w:pPr>
        <w:pStyle w:val="Normal"/>
        <w:tabs>
          <w:tab w:val="clear" w:pos="720"/>
          <w:tab w:val="left" w:pos="567" w:leader="none"/>
        </w:tabs>
        <w:ind w:hanging="567" w:start="567" w:end="0"/>
        <w:jc w:val="both"/>
        <w:rPr>
          <w:sz w:val="22"/>
        </w:rPr>
      </w:pPr>
      <w:r>
        <w:rPr>
          <w:sz w:val="22"/>
        </w:rPr>
      </w:r>
    </w:p>
    <w:p>
      <w:pPr>
        <w:pStyle w:val="Normal"/>
        <w:tabs>
          <w:tab w:val="clear" w:pos="720"/>
          <w:tab w:val="left" w:pos="567" w:leader="none"/>
        </w:tabs>
        <w:ind w:hanging="567" w:start="567" w:end="0"/>
        <w:jc w:val="both"/>
        <w:rPr>
          <w:sz w:val="22"/>
        </w:rPr>
      </w:pPr>
      <w:r>
        <w:rPr>
          <w:sz w:val="22"/>
        </w:rPr>
        <w:t>5.</w:t>
        <w:tab/>
        <w:t>All costs of a judicial or extrajudicial nature, including costs of legal assistance, which any party incurs as a result of the non-performance of this agreement by one of the other parties, shall be borne by the party in default.</w:t>
      </w:r>
    </w:p>
    <w:p>
      <w:pPr>
        <w:pStyle w:val="Normal"/>
        <w:jc w:val="both"/>
        <w:rPr>
          <w:sz w:val="22"/>
        </w:rPr>
      </w:pPr>
      <w:r>
        <w:rPr>
          <w:sz w:val="22"/>
        </w:rPr>
      </w:r>
    </w:p>
    <w:p>
      <w:pPr>
        <w:pStyle w:val="Normal"/>
        <w:tabs>
          <w:tab w:val="clear" w:pos="720"/>
          <w:tab w:val="left" w:pos="567" w:leader="none"/>
        </w:tabs>
        <w:ind w:hanging="567" w:start="567" w:end="0"/>
        <w:jc w:val="both"/>
        <w:rPr/>
      </w:pPr>
      <w:r>
        <w:rPr>
          <w:sz w:val="22"/>
        </w:rPr>
        <w:t>6.</w:t>
        <w:tab/>
        <w:t>This agreement consists of [</w:t>
      </w:r>
      <w:r>
        <w:rPr>
          <w:rFonts w:eastAsia="Symbol" w:cs="Symbol" w:ascii="Symbol" w:hAnsi="Symbol"/>
          <w:sz w:val="22"/>
        </w:rPr>
        <w:sym w:font="Symbol" w:char="b7"/>
      </w:r>
      <w:r>
        <w:rPr>
          <w:sz w:val="22"/>
        </w:rPr>
        <w:t>] pages and [</w:t>
      </w:r>
      <w:r>
        <w:rPr>
          <w:rFonts w:eastAsia="Symbol" w:cs="Symbol" w:ascii="Symbol" w:hAnsi="Symbol"/>
          <w:sz w:val="22"/>
        </w:rPr>
        <w:sym w:font="Symbol" w:char="b7"/>
      </w:r>
      <w:r>
        <w:rPr>
          <w:sz w:val="22"/>
        </w:rPr>
        <w:t>] schedules.</w:t>
      </w:r>
    </w:p>
    <w:p>
      <w:pPr>
        <w:pStyle w:val="Normal"/>
        <w:jc w:val="both"/>
        <w:rPr>
          <w:sz w:val="22"/>
        </w:rPr>
      </w:pPr>
      <w:r>
        <w:rPr>
          <w:sz w:val="22"/>
        </w:rPr>
      </w:r>
    </w:p>
    <w:p>
      <w:pPr>
        <w:pStyle w:val="Normal"/>
        <w:numPr>
          <w:ilvl w:val="0"/>
          <w:numId w:val="0"/>
        </w:numPr>
        <w:jc w:val="both"/>
        <w:outlineLvl w:val="0"/>
        <w:rPr>
          <w:sz w:val="22"/>
        </w:rPr>
      </w:pPr>
      <w:r>
        <w:rPr>
          <w:sz w:val="22"/>
        </w:rPr>
        <w:br/>
        <w:t>EuroBank N.V.</w:t>
      </w:r>
    </w:p>
    <w:p>
      <w:pPr>
        <w:pStyle w:val="Normal"/>
        <w:jc w:val="both"/>
        <w:rPr>
          <w:sz w:val="22"/>
        </w:rPr>
      </w:pPr>
      <w:r>
        <w:rPr>
          <w:sz w:val="22"/>
        </w:rPr>
      </w:r>
    </w:p>
    <w:p>
      <w:pPr>
        <w:pStyle w:val="Normal"/>
        <w:jc w:val="both"/>
        <w:rPr>
          <w:sz w:val="22"/>
        </w:rPr>
      </w:pPr>
      <w:r>
        <w:rPr>
          <w:sz w:val="22"/>
        </w:rPr>
      </w:r>
    </w:p>
    <w:p>
      <w:pPr>
        <w:pStyle w:val="Normal"/>
        <w:jc w:val="both"/>
        <w:rPr>
          <w:sz w:val="22"/>
        </w:rPr>
      </w:pPr>
      <w:r>
        <w:rPr>
          <w:sz w:val="22"/>
        </w:rPr>
      </w:r>
    </w:p>
    <w:p>
      <w:pPr>
        <w:pStyle w:val="Normal"/>
        <w:jc w:val="both"/>
        <w:rPr>
          <w:sz w:val="22"/>
        </w:rPr>
      </w:pPr>
      <w:r>
        <w:rPr>
          <w:sz w:val="22"/>
        </w:rPr>
        <w:t>Name:</w:t>
        <w:tab/>
        <w:tab/>
        <w:tab/>
        <w:tab/>
        <w:tab/>
        <w:t>Name:</w:t>
        <w:tab/>
        <w:tab/>
        <w:tab/>
        <w:tab/>
      </w:r>
    </w:p>
    <w:p>
      <w:pPr>
        <w:pStyle w:val="Normal"/>
        <w:jc w:val="both"/>
        <w:rPr>
          <w:sz w:val="22"/>
        </w:rPr>
      </w:pPr>
      <w:r>
        <w:rPr>
          <w:sz w:val="22"/>
        </w:rPr>
      </w:r>
    </w:p>
    <w:p>
      <w:pPr>
        <w:pStyle w:val="Normal"/>
        <w:jc w:val="both"/>
        <w:rPr>
          <w:sz w:val="22"/>
        </w:rPr>
      </w:pPr>
      <w:r>
        <w:rPr>
          <w:sz w:val="22"/>
        </w:rPr>
        <w:t>Date:</w:t>
        <w:tab/>
        <w:tab/>
        <w:tab/>
        <w:tab/>
        <w:tab/>
        <w:t>Date:</w:t>
        <w:tab/>
        <w:tab/>
        <w:tab/>
        <w:tab/>
      </w:r>
    </w:p>
    <w:p>
      <w:pPr>
        <w:pStyle w:val="Normal"/>
        <w:jc w:val="both"/>
        <w:rPr>
          <w:sz w:val="22"/>
        </w:rPr>
      </w:pPr>
      <w:r>
        <w:rPr>
          <w:sz w:val="22"/>
        </w:rPr>
      </w:r>
    </w:p>
    <w:p>
      <w:pPr>
        <w:pStyle w:val="Normal"/>
        <w:jc w:val="both"/>
        <w:rPr>
          <w:sz w:val="22"/>
        </w:rPr>
      </w:pPr>
      <w:r>
        <w:rPr>
          <w:sz w:val="22"/>
        </w:rPr>
      </w:r>
    </w:p>
    <w:p>
      <w:pPr>
        <w:pStyle w:val="Normal"/>
        <w:jc w:val="both"/>
        <w:rPr>
          <w:sz w:val="22"/>
        </w:rPr>
      </w:pPr>
      <w:r>
        <w:rPr>
          <w:sz w:val="22"/>
        </w:rPr>
      </w:r>
    </w:p>
    <w:p>
      <w:pPr>
        <w:pStyle w:val="Normal"/>
        <w:jc w:val="both"/>
        <w:rPr>
          <w:sz w:val="22"/>
        </w:rPr>
      </w:pPr>
      <w:r>
        <w:rPr>
          <w:sz w:val="22"/>
        </w:rPr>
      </w:r>
    </w:p>
    <w:p>
      <w:pPr>
        <w:pStyle w:val="Normal"/>
        <w:jc w:val="both"/>
        <w:rPr>
          <w:sz w:val="22"/>
        </w:rPr>
      </w:pPr>
      <w:r>
        <w:rPr>
          <w:sz w:val="22"/>
        </w:rPr>
      </w:r>
    </w:p>
    <w:p>
      <w:pPr>
        <w:pStyle w:val="Normal"/>
        <w:jc w:val="both"/>
        <w:rPr>
          <w:sz w:val="22"/>
        </w:rPr>
      </w:pPr>
      <w:r>
        <w:rPr>
          <w:sz w:val="22"/>
        </w:rPr>
        <w:t>Supplier</w:t>
        <w:tab/>
        <w:tab/>
        <w:tab/>
        <w:tab/>
        <w:t>Softcrow B.V.</w:t>
      </w:r>
    </w:p>
    <w:p>
      <w:pPr>
        <w:pStyle w:val="Normal"/>
        <w:jc w:val="both"/>
        <w:rPr>
          <w:sz w:val="22"/>
        </w:rPr>
      </w:pPr>
      <w:r>
        <w:rPr>
          <w:sz w:val="22"/>
        </w:rPr>
      </w:r>
    </w:p>
    <w:p>
      <w:pPr>
        <w:pStyle w:val="Normal"/>
        <w:jc w:val="both"/>
        <w:rPr>
          <w:sz w:val="22"/>
        </w:rPr>
      </w:pPr>
      <w:r>
        <w:rPr>
          <w:sz w:val="22"/>
        </w:rPr>
      </w:r>
    </w:p>
    <w:p>
      <w:pPr>
        <w:pStyle w:val="Normal"/>
        <w:jc w:val="both"/>
        <w:rPr>
          <w:sz w:val="22"/>
        </w:rPr>
      </w:pPr>
      <w:r>
        <w:rPr>
          <w:sz w:val="22"/>
        </w:rPr>
      </w:r>
    </w:p>
    <w:p>
      <w:pPr>
        <w:pStyle w:val="Normal"/>
        <w:jc w:val="both"/>
        <w:rPr>
          <w:sz w:val="22"/>
        </w:rPr>
      </w:pPr>
      <w:r>
        <w:rPr>
          <w:sz w:val="22"/>
        </w:rPr>
        <w:t>Name:</w:t>
        <w:tab/>
        <w:tab/>
        <w:tab/>
        <w:tab/>
        <w:tab/>
        <w:t>Name:</w:t>
        <w:tab/>
        <w:tab/>
        <w:tab/>
        <w:tab/>
      </w:r>
    </w:p>
    <w:p>
      <w:pPr>
        <w:pStyle w:val="Normal"/>
        <w:jc w:val="both"/>
        <w:rPr>
          <w:sz w:val="22"/>
        </w:rPr>
      </w:pPr>
      <w:r>
        <w:rPr>
          <w:sz w:val="22"/>
        </w:rPr>
      </w:r>
    </w:p>
    <w:p>
      <w:pPr>
        <w:pStyle w:val="Normal"/>
        <w:jc w:val="both"/>
        <w:rPr>
          <w:sz w:val="22"/>
        </w:rPr>
      </w:pPr>
      <w:r>
        <w:rPr>
          <w:sz w:val="22"/>
        </w:rPr>
        <w:t>Date:</w:t>
        <w:tab/>
        <w:tab/>
        <w:tab/>
        <w:tab/>
        <w:tab/>
        <w:t>Date:</w:t>
        <w:tab/>
        <w:tab/>
      </w:r>
    </w:p>
    <w:p>
      <w:pPr>
        <w:pStyle w:val="Normal"/>
        <w:jc w:val="both"/>
        <w:rPr>
          <w:sz w:val="22"/>
        </w:rPr>
      </w:pPr>
      <w:r>
        <w:rPr>
          <w:sz w:val="22"/>
        </w:rPr>
      </w:r>
    </w:p>
    <w:p>
      <w:pPr>
        <w:pStyle w:val="Normal"/>
        <w:jc w:val="both"/>
        <w:rPr>
          <w:sz w:val="22"/>
        </w:rPr>
      </w:pPr>
      <w:r>
        <w:rPr>
          <w:sz w:val="22"/>
        </w:rPr>
      </w:r>
    </w:p>
    <w:p>
      <w:pPr>
        <w:pStyle w:val="Normal"/>
        <w:jc w:val="both"/>
        <w:rPr>
          <w:b/>
          <w:bCs/>
          <w:sz w:val="22"/>
        </w:rPr>
      </w:pPr>
      <w:r>
        <w:rPr>
          <w:b/>
          <w:bCs/>
          <w:sz w:val="22"/>
        </w:rPr>
      </w:r>
    </w:p>
    <w:p>
      <w:pPr>
        <w:pStyle w:val="Normal"/>
        <w:jc w:val="both"/>
        <w:rPr>
          <w:b/>
          <w:bCs/>
          <w:sz w:val="22"/>
        </w:rPr>
      </w:pPr>
      <w:r>
        <w:rPr>
          <w:b/>
          <w:bCs/>
          <w:sz w:val="22"/>
        </w:rPr>
      </w:r>
    </w:p>
    <w:p>
      <w:pPr>
        <w:pStyle w:val="Heading3"/>
        <w:ind w:hanging="0" w:start="0"/>
        <w:rPr>
          <w:sz w:val="22"/>
          <w:szCs w:val="22"/>
        </w:rPr>
      </w:pPr>
      <w:bookmarkStart w:id="21" w:name="__RefHeading___Toc153675012"/>
      <w:bookmarkEnd w:id="21"/>
      <w:r>
        <w:rPr>
          <w:sz w:val="22"/>
          <w:szCs w:val="22"/>
        </w:rPr>
        <w:t>List of Schedules</w:t>
      </w:r>
    </w:p>
    <w:p>
      <w:pPr>
        <w:pStyle w:val="Normal"/>
        <w:jc w:val="both"/>
        <w:rPr>
          <w:sz w:val="22"/>
          <w:szCs w:val="22"/>
        </w:rPr>
      </w:pPr>
      <w:r>
        <w:rPr>
          <w:sz w:val="22"/>
          <w:szCs w:val="22"/>
        </w:rPr>
      </w:r>
    </w:p>
    <w:p>
      <w:pPr>
        <w:pStyle w:val="Normal"/>
        <w:jc w:val="both"/>
        <w:rPr>
          <w:sz w:val="22"/>
        </w:rPr>
      </w:pPr>
      <w:r>
        <w:rPr>
          <w:sz w:val="22"/>
        </w:rPr>
        <w:t>Schedule 1</w:t>
        <w:tab/>
        <w:t xml:space="preserve"> - Description of the Software, Master Services Agreement</w:t>
      </w:r>
    </w:p>
    <w:p>
      <w:pPr>
        <w:pStyle w:val="Normal"/>
        <w:jc w:val="both"/>
        <w:rPr>
          <w:sz w:val="22"/>
        </w:rPr>
      </w:pPr>
      <w:r>
        <w:rPr>
          <w:sz w:val="22"/>
        </w:rPr>
      </w:r>
    </w:p>
    <w:p>
      <w:pPr>
        <w:pStyle w:val="Normal"/>
        <w:jc w:val="both"/>
        <w:rPr>
          <w:sz w:val="22"/>
        </w:rPr>
      </w:pPr>
      <w:r>
        <w:rPr>
          <w:sz w:val="22"/>
        </w:rPr>
        <w:t>Schedule 2</w:t>
        <w:tab/>
        <w:t xml:space="preserve"> - Description of the standard Verification Examination</w:t>
      </w:r>
    </w:p>
    <w:p>
      <w:pPr>
        <w:pStyle w:val="Normal"/>
        <w:jc w:val="both"/>
        <w:rPr>
          <w:sz w:val="22"/>
        </w:rPr>
      </w:pPr>
      <w:r>
        <w:rPr>
          <w:sz w:val="22"/>
        </w:rPr>
      </w:r>
      <w:r>
        <w:br w:type="page"/>
      </w:r>
    </w:p>
    <w:p>
      <w:pPr>
        <w:pStyle w:val="Heading3"/>
        <w:ind w:hanging="0" w:start="0"/>
        <w:rPr>
          <w:sz w:val="22"/>
          <w:szCs w:val="22"/>
        </w:rPr>
      </w:pPr>
      <w:bookmarkStart w:id="22" w:name="__RefHeading___Toc153675013"/>
      <w:bookmarkEnd w:id="22"/>
      <w:r>
        <w:rPr>
          <w:sz w:val="22"/>
          <w:szCs w:val="22"/>
        </w:rPr>
        <w:t>Schedule 1</w:t>
      </w:r>
    </w:p>
    <w:p>
      <w:pPr>
        <w:pStyle w:val="Normal"/>
        <w:jc w:val="both"/>
        <w:rPr>
          <w:sz w:val="22"/>
          <w:szCs w:val="22"/>
        </w:rPr>
      </w:pPr>
      <w:r>
        <w:rPr>
          <w:sz w:val="22"/>
          <w:szCs w:val="22"/>
        </w:rPr>
      </w:r>
    </w:p>
    <w:p>
      <w:pPr>
        <w:pStyle w:val="Normal"/>
        <w:jc w:val="both"/>
        <w:rPr>
          <w:sz w:val="22"/>
        </w:rPr>
      </w:pPr>
      <w:r>
        <w:rPr>
          <w:sz w:val="22"/>
        </w:rPr>
      </w:r>
    </w:p>
    <w:p>
      <w:pPr>
        <w:pStyle w:val="Normal"/>
        <w:numPr>
          <w:ilvl w:val="0"/>
          <w:numId w:val="0"/>
        </w:numPr>
        <w:jc w:val="center"/>
        <w:outlineLvl w:val="0"/>
        <w:rPr>
          <w:b/>
          <w:bCs/>
          <w:sz w:val="22"/>
          <w:szCs w:val="36"/>
        </w:rPr>
      </w:pPr>
      <w:r>
        <w:rPr>
          <w:b/>
          <w:bCs/>
          <w:sz w:val="22"/>
          <w:szCs w:val="36"/>
        </w:rPr>
        <w:t>Description of the Software, Master Services Agreement</w:t>
      </w:r>
    </w:p>
    <w:p>
      <w:pPr>
        <w:pStyle w:val="Normal"/>
        <w:numPr>
          <w:ilvl w:val="0"/>
          <w:numId w:val="0"/>
        </w:numPr>
        <w:jc w:val="both"/>
        <w:outlineLvl w:val="0"/>
        <w:rPr>
          <w:b/>
          <w:bCs/>
          <w:sz w:val="22"/>
          <w:szCs w:val="36"/>
        </w:rPr>
      </w:pPr>
      <w:r>
        <w:rPr>
          <w:b/>
          <w:bCs/>
          <w:sz w:val="22"/>
          <w:szCs w:val="36"/>
        </w:rPr>
      </w:r>
    </w:p>
    <w:p>
      <w:pPr>
        <w:pStyle w:val="Normal"/>
        <w:numPr>
          <w:ilvl w:val="0"/>
          <w:numId w:val="0"/>
        </w:numPr>
        <w:jc w:val="both"/>
        <w:outlineLvl w:val="0"/>
        <w:rPr>
          <w:sz w:val="22"/>
        </w:rPr>
      </w:pPr>
      <w:r>
        <w:rPr>
          <w:sz w:val="22"/>
          <w:lang w:val="en-US"/>
        </w:rPr>
        <w:t>[</w:t>
      </w:r>
      <w:r>
        <w:rPr>
          <w:rFonts w:eastAsia="Symbol" w:cs="Symbol" w:ascii="Symbol" w:hAnsi="Symbol"/>
          <w:sz w:val="22"/>
          <w:lang w:val="en-US"/>
        </w:rPr>
        <w:sym w:font="Symbol" w:char="b7"/>
      </w:r>
      <w:r>
        <w:rPr>
          <w:sz w:val="22"/>
          <w:lang w:val="en-US"/>
        </w:rPr>
        <w:t>]</w:t>
      </w:r>
    </w:p>
    <w:p>
      <w:pPr>
        <w:pStyle w:val="Normal"/>
        <w:numPr>
          <w:ilvl w:val="0"/>
          <w:numId w:val="0"/>
        </w:numPr>
        <w:jc w:val="both"/>
        <w:outlineLvl w:val="0"/>
        <w:rPr>
          <w:sz w:val="22"/>
        </w:rPr>
      </w:pPr>
      <w:r>
        <w:rPr>
          <w:sz w:val="22"/>
        </w:rPr>
      </w:r>
      <w:r>
        <w:br w:type="page"/>
      </w:r>
    </w:p>
    <w:p>
      <w:pPr>
        <w:pStyle w:val="Normal"/>
        <w:numPr>
          <w:ilvl w:val="0"/>
          <w:numId w:val="0"/>
        </w:numPr>
        <w:jc w:val="both"/>
        <w:outlineLvl w:val="0"/>
        <w:rPr>
          <w:sz w:val="22"/>
        </w:rPr>
      </w:pPr>
      <w:r>
        <w:rPr>
          <w:sz w:val="22"/>
        </w:rPr>
      </w:r>
    </w:p>
    <w:p>
      <w:pPr>
        <w:pStyle w:val="Heading3"/>
        <w:ind w:hanging="0" w:start="0"/>
        <w:rPr>
          <w:sz w:val="22"/>
          <w:szCs w:val="22"/>
        </w:rPr>
      </w:pPr>
      <w:bookmarkStart w:id="23" w:name="__RefHeading___Toc153675014"/>
      <w:bookmarkEnd w:id="23"/>
      <w:r>
        <w:rPr>
          <w:sz w:val="22"/>
          <w:szCs w:val="22"/>
        </w:rPr>
        <w:t>Schedule 2</w:t>
      </w:r>
    </w:p>
    <w:p>
      <w:pPr>
        <w:pStyle w:val="Normal"/>
        <w:jc w:val="both"/>
        <w:rPr>
          <w:sz w:val="22"/>
          <w:szCs w:val="22"/>
        </w:rPr>
      </w:pPr>
      <w:r>
        <w:rPr>
          <w:sz w:val="22"/>
          <w:szCs w:val="22"/>
        </w:rPr>
      </w:r>
    </w:p>
    <w:p>
      <w:pPr>
        <w:pStyle w:val="Normal"/>
        <w:jc w:val="both"/>
        <w:rPr>
          <w:sz w:val="22"/>
        </w:rPr>
      </w:pPr>
      <w:r>
        <w:rPr>
          <w:sz w:val="22"/>
        </w:rPr>
      </w:r>
    </w:p>
    <w:p>
      <w:pPr>
        <w:pStyle w:val="Normal"/>
        <w:numPr>
          <w:ilvl w:val="0"/>
          <w:numId w:val="0"/>
        </w:numPr>
        <w:jc w:val="center"/>
        <w:outlineLvl w:val="0"/>
        <w:rPr>
          <w:b/>
          <w:bCs/>
          <w:sz w:val="22"/>
          <w:szCs w:val="36"/>
        </w:rPr>
      </w:pPr>
      <w:r>
        <w:rPr>
          <w:b/>
          <w:bCs/>
          <w:sz w:val="22"/>
          <w:szCs w:val="36"/>
        </w:rPr>
        <w:t>Description of standard Verification Examination</w:t>
      </w:r>
    </w:p>
    <w:p>
      <w:pPr>
        <w:pStyle w:val="Normal"/>
        <w:jc w:val="center"/>
        <w:rPr>
          <w:sz w:val="22"/>
        </w:rPr>
      </w:pPr>
      <w:r>
        <w:rPr>
          <w:b/>
          <w:bCs/>
          <w:sz w:val="22"/>
          <w:vertAlign w:val="superscript"/>
        </w:rPr>
        <w:t>2004</w:t>
      </w:r>
    </w:p>
    <w:p>
      <w:pPr>
        <w:pStyle w:val="Normal"/>
        <w:jc w:val="both"/>
        <w:rPr>
          <w:sz w:val="22"/>
        </w:rPr>
      </w:pPr>
      <w:r>
        <w:rPr>
          <w:sz w:val="22"/>
        </w:rPr>
      </w:r>
    </w:p>
    <w:p>
      <w:pPr>
        <w:pStyle w:val="Normal"/>
        <w:jc w:val="both"/>
        <w:rPr>
          <w:sz w:val="22"/>
        </w:rPr>
      </w:pPr>
      <w:r>
        <w:rPr>
          <w:sz w:val="22"/>
        </w:rPr>
      </w:r>
    </w:p>
    <w:p>
      <w:pPr>
        <w:pStyle w:val="Normal"/>
        <w:jc w:val="both"/>
        <w:rPr>
          <w:sz w:val="22"/>
        </w:rPr>
      </w:pPr>
      <w:r>
        <w:rPr>
          <w:sz w:val="22"/>
        </w:rPr>
        <w:t>Before the Verification Examination is carried out the Supplier shall make available the Deposited Material to the Auditor.</w:t>
      </w:r>
    </w:p>
    <w:p>
      <w:pPr>
        <w:pStyle w:val="Normal"/>
        <w:jc w:val="both"/>
        <w:rPr>
          <w:sz w:val="22"/>
        </w:rPr>
      </w:pPr>
      <w:r>
        <w:rPr>
          <w:sz w:val="22"/>
        </w:rPr>
      </w:r>
    </w:p>
    <w:p>
      <w:pPr>
        <w:pStyle w:val="Normal"/>
        <w:jc w:val="both"/>
        <w:rPr>
          <w:sz w:val="22"/>
        </w:rPr>
      </w:pPr>
      <w:r>
        <w:rPr>
          <w:sz w:val="22"/>
        </w:rPr>
        <w:t>The Supplier shall deliver the requisite information carriers on behalf of Softcrow. The related costs shall be borne by the Beneficiary.</w:t>
      </w:r>
    </w:p>
    <w:p>
      <w:pPr>
        <w:pStyle w:val="Normal"/>
        <w:jc w:val="both"/>
        <w:rPr>
          <w:sz w:val="22"/>
        </w:rPr>
      </w:pPr>
      <w:r>
        <w:rPr>
          <w:sz w:val="22"/>
        </w:rPr>
      </w:r>
    </w:p>
    <w:p>
      <w:pPr>
        <w:pStyle w:val="Normal"/>
        <w:jc w:val="both"/>
        <w:rPr>
          <w:sz w:val="22"/>
        </w:rPr>
      </w:pPr>
      <w:r>
        <w:rPr>
          <w:sz w:val="22"/>
        </w:rPr>
        <w:t>In the standard Verification Examination the Supplier shall, at the request of the Beneficiary and in the presence of the Auditor:</w:t>
      </w:r>
    </w:p>
    <w:p>
      <w:pPr>
        <w:pStyle w:val="Normal"/>
        <w:tabs>
          <w:tab w:val="clear" w:pos="720"/>
          <w:tab w:val="left" w:pos="567" w:leader="none"/>
        </w:tabs>
        <w:ind w:hanging="567" w:start="567" w:end="0"/>
        <w:jc w:val="both"/>
        <w:rPr>
          <w:sz w:val="22"/>
        </w:rPr>
      </w:pPr>
      <w:r>
        <w:rPr>
          <w:sz w:val="22"/>
        </w:rPr>
        <w:t>(a)</w:t>
        <w:tab/>
        <w:t xml:space="preserve">generate the Software from the deposited Source Code within an insulated environment, </w:t>
      </w:r>
      <w:r>
        <w:rPr>
          <w:sz w:val="22"/>
          <w:u w:val="single"/>
        </w:rPr>
        <w:t>or</w:t>
      </w:r>
    </w:p>
    <w:p>
      <w:pPr>
        <w:pStyle w:val="Normal"/>
        <w:tabs>
          <w:tab w:val="clear" w:pos="720"/>
          <w:tab w:val="left" w:pos="567" w:leader="none"/>
        </w:tabs>
        <w:ind w:hanging="567" w:start="567" w:end="0"/>
        <w:jc w:val="both"/>
        <w:rPr>
          <w:sz w:val="22"/>
        </w:rPr>
      </w:pPr>
      <w:r>
        <w:rPr>
          <w:sz w:val="22"/>
        </w:rPr>
        <w:t>(b)</w:t>
        <w:tab/>
        <w:t xml:space="preserve">check that the Development Environment and the documentation of the Development Environment are correct and complete and produce/reproduce any hardware/software environment needed for the Maintenance, </w:t>
      </w:r>
      <w:r>
        <w:rPr>
          <w:sz w:val="22"/>
          <w:u w:val="single"/>
        </w:rPr>
        <w:t>or</w:t>
      </w:r>
    </w:p>
    <w:p>
      <w:pPr>
        <w:pStyle w:val="Normal"/>
        <w:tabs>
          <w:tab w:val="clear" w:pos="720"/>
          <w:tab w:val="left" w:pos="567" w:leader="none"/>
        </w:tabs>
        <w:ind w:hanging="567" w:start="567" w:end="0"/>
        <w:jc w:val="both"/>
        <w:rPr>
          <w:sz w:val="22"/>
        </w:rPr>
      </w:pPr>
      <w:r>
        <w:rPr>
          <w:sz w:val="22"/>
        </w:rPr>
        <w:t>(c)</w:t>
        <w:tab/>
        <w:t>produce/reproduce within the Development Environment the hardware/software environment required for the Maintenance and generate the Software from the Source Code within the hardware/software environment generated in this way.</w:t>
      </w:r>
    </w:p>
    <w:p>
      <w:pPr>
        <w:pStyle w:val="Normal"/>
        <w:jc w:val="both"/>
        <w:rPr>
          <w:sz w:val="22"/>
        </w:rPr>
      </w:pPr>
      <w:r>
        <w:rPr>
          <w:sz w:val="22"/>
        </w:rPr>
      </w:r>
    </w:p>
    <w:p>
      <w:pPr>
        <w:pStyle w:val="Normal"/>
        <w:jc w:val="both"/>
        <w:rPr>
          <w:sz w:val="22"/>
        </w:rPr>
      </w:pPr>
      <w:r>
        <w:rPr>
          <w:sz w:val="22"/>
        </w:rPr>
        <w:t>Prior to the Verification Examination the Beneficiary shall be entitled:</w:t>
      </w:r>
    </w:p>
    <w:p>
      <w:pPr>
        <w:pStyle w:val="Normal"/>
        <w:numPr>
          <w:ilvl w:val="0"/>
          <w:numId w:val="13"/>
        </w:numPr>
        <w:ind w:hanging="567" w:start="567" w:end="0"/>
        <w:jc w:val="both"/>
        <w:rPr>
          <w:sz w:val="22"/>
        </w:rPr>
      </w:pPr>
      <w:r>
        <w:rPr>
          <w:sz w:val="22"/>
        </w:rPr>
        <w:t>on the basis of the powers to which the Auditor is entitled under Article 2.4, to adjust the scope of the instructions for the Verification Examination;</w:t>
      </w:r>
    </w:p>
    <w:p>
      <w:pPr>
        <w:pStyle w:val="Normal"/>
        <w:numPr>
          <w:ilvl w:val="0"/>
          <w:numId w:val="13"/>
        </w:numPr>
        <w:ind w:hanging="567" w:start="567" w:end="0"/>
        <w:jc w:val="both"/>
        <w:rPr>
          <w:sz w:val="22"/>
        </w:rPr>
      </w:pPr>
      <w:r>
        <w:rPr>
          <w:sz w:val="22"/>
        </w:rPr>
        <w:t>to request the Auditor to make an extra copy of the version of the Software generated by the Verification Examination exclusively in order to check that it corresponds with the Software installed at the premises of the Beneficiary.</w:t>
      </w:r>
    </w:p>
    <w:p>
      <w:pPr>
        <w:pStyle w:val="Normal"/>
        <w:jc w:val="both"/>
        <w:rPr>
          <w:sz w:val="22"/>
        </w:rPr>
      </w:pPr>
      <w:r>
        <w:rPr>
          <w:sz w:val="22"/>
        </w:rPr>
      </w:r>
    </w:p>
    <w:p>
      <w:pPr>
        <w:pStyle w:val="Normal"/>
        <w:jc w:val="center"/>
        <w:rPr>
          <w:sz w:val="22"/>
        </w:rPr>
      </w:pPr>
      <w:r>
        <w:rPr>
          <w:sz w:val="22"/>
        </w:rPr>
      </w:r>
    </w:p>
    <w:sectPr>
      <w:headerReference w:type="default" r:id="rId8"/>
      <w:headerReference w:type="first" r:id="rId9"/>
      <w:footerReference w:type="default" r:id="rId10"/>
      <w:footerReference w:type="first" r:id="rId11"/>
      <w:type w:val="nextPage"/>
      <w:pgSz w:w="11906" w:h="16838"/>
      <w:pgMar w:left="1797" w:right="1797" w:gutter="0" w:header="720" w:top="1440" w:footer="720" w:bottom="1797"/>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ourier New">
    <w:charset w:val="00" w:characterSet="windows-1252"/>
    <w:family w:val="modern"/>
    <w:pitch w:val="default"/>
  </w:font>
  <w:font w:name="Wingdings">
    <w:charset w:val="02"/>
    <w:family w:val="auto"/>
    <w:pitch w:val="variable"/>
  </w:font>
  <w:font w:name="Tahoma">
    <w:charset w:val="00" w:characterSet="windows-1252"/>
    <w:family w:val="swiss"/>
    <w:pitch w:val="variable"/>
  </w:font>
  <w:font w:name="Courier New">
    <w:charset w:val="00" w:characterSet="windows-1252"/>
    <w:family w:val="modern"/>
    <w:pitch w:val="fixed"/>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enter" w:pos="4140" w:leader="none"/>
        <w:tab w:val="right" w:pos="8280" w:leader="none"/>
      </w:tabs>
      <w:rPr/>
    </w:pPr>
    <w:r>
      <w:rPr/>
      <w:t>Ops &amp; IT Banking Confidential</w:t>
      <w:tab/>
      <w:tab/>
      <w:t>30/11/06</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enter" w:pos="4140" w:leader="none"/>
        <w:tab w:val="right" w:pos="8280" w:leader="none"/>
      </w:tabs>
      <w:rPr/>
    </w:pPr>
    <w:r>
      <w:rPr/>
      <w:t>Ops &amp; IT Banking Confidential</w:t>
      <w:tab/>
    </w:r>
    <w:r>
      <w:rPr>
        <w:rStyle w:val="PageNumber"/>
      </w:rPr>
      <w:fldChar w:fldCharType="begin"/>
    </w:r>
    <w:r>
      <w:rPr>
        <w:rStyle w:val="PageNumber"/>
      </w:rPr>
      <w:instrText xml:space="preserve"> PAGE </w:instrText>
    </w:r>
    <w:r>
      <w:rPr>
        <w:rStyle w:val="PageNumber"/>
      </w:rPr>
      <w:fldChar w:fldCharType="separate"/>
    </w:r>
    <w:r>
      <w:rPr>
        <w:rStyle w:val="PageNumber"/>
      </w:rPr>
      <w:t>i</w:t>
    </w:r>
    <w:r>
      <w:rPr>
        <w:rStyle w:val="PageNumber"/>
      </w:rPr>
      <w:fldChar w:fldCharType="end"/>
    </w:r>
    <w:r>
      <w:rPr/>
      <w:tab/>
      <w:t>30/11/06</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enter" w:pos="4140" w:leader="none"/>
        <w:tab w:val="right" w:pos="8280" w:leader="none"/>
      </w:tabs>
      <w:rPr/>
    </w:pPr>
    <w:r>
      <w:rPr/>
      <w:t>Ops &amp; IT Banking Confidential</w:t>
      <w:tab/>
    </w:r>
    <w:r>
      <w:rPr>
        <w:rStyle w:val="PageNumber"/>
      </w:rPr>
      <w:fldChar w:fldCharType="begin"/>
    </w:r>
    <w:r>
      <w:rPr>
        <w:rStyle w:val="PageNumber"/>
      </w:rPr>
      <w:instrText xml:space="preserve"> PAGE </w:instrText>
    </w:r>
    <w:r>
      <w:rPr>
        <w:rStyle w:val="PageNumber"/>
      </w:rPr>
      <w:fldChar w:fldCharType="separate"/>
    </w:r>
    <w:r>
      <w:rPr>
        <w:rStyle w:val="PageNumber"/>
      </w:rPr>
      <w:t>14</w:t>
    </w:r>
    <w:r>
      <w:rPr>
        <w:rStyle w:val="PageNumber"/>
      </w:rPr>
      <w:fldChar w:fldCharType="end"/>
    </w:r>
    <w:r>
      <w:rPr>
        <w:rStyle w:val="PageNumber"/>
      </w:rPr>
      <w:tab/>
      <w:t>30/11/06</w:t>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enter" w:pos="4140" w:leader="none"/>
        <w:tab w:val="right" w:pos="8280" w:leader="none"/>
      </w:tabs>
      <w:rPr/>
    </w:pPr>
    <w:r>
      <w:rPr/>
      <w:drawing>
        <wp:inline distT="0" distB="0" distL="0" distR="0">
          <wp:extent cx="1149985" cy="344170"/>
          <wp:effectExtent l="0" t="0" r="0" b="0"/>
          <wp:docPr id="1"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 descr="" title=""/>
                  <pic:cNvPicPr>
                    <a:picLocks noChangeAspect="1" noChangeArrowheads="1"/>
                  </pic:cNvPicPr>
                </pic:nvPicPr>
                <pic:blipFill>
                  <a:blip r:embed="rId1"/>
                  <a:srcRect l="-31" t="-105" r="-31" b="-105"/>
                  <a:stretch>
                    <a:fillRect/>
                  </a:stretch>
                </pic:blipFill>
                <pic:spPr bwMode="auto">
                  <a:xfrm>
                    <a:off x="0" y="0"/>
                    <a:ext cx="1149985" cy="344170"/>
                  </a:xfrm>
                  <a:prstGeom prst="rect">
                    <a:avLst/>
                  </a:prstGeom>
                  <a:noFill/>
                </pic:spPr>
              </pic:pic>
            </a:graphicData>
          </a:graphic>
        </wp:inline>
      </w:drawing>
    </w:r>
    <w:r>
      <w:rPr/>
      <w:tab/>
      <w:tab/>
    </w:r>
    <w:r>
      <w:rPr/>
      <w:fldChar w:fldCharType="begin"/>
    </w:r>
    <w:r>
      <w:rPr/>
      <w:instrText xml:space="preserve"> FILENAME </w:instrText>
    </w:r>
    <w:r>
      <w:rPr/>
      <w:fldChar w:fldCharType="separate"/>
    </w:r>
    <w:r>
      <w:rPr/>
      <w:t>Exhibit 35 (Escrow Agreement Template) Final v1.2.DOC</w:t>
    </w:r>
    <w:r>
      <w:rPr/>
      <w:fldChar w:fldCharType="end"/>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enter" w:pos="4140" w:leader="none"/>
        <w:tab w:val="right" w:pos="8280" w:leader="none"/>
      </w:tabs>
      <w:rPr/>
    </w:pPr>
    <w:r>
      <w:rPr/>
      <w:drawing>
        <wp:inline distT="0" distB="0" distL="0" distR="0">
          <wp:extent cx="1149985" cy="344170"/>
          <wp:effectExtent l="0" t="0" r="0" b="0"/>
          <wp:docPr id="2"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 title=""/>
                  <pic:cNvPicPr>
                    <a:picLocks noChangeAspect="1" noChangeArrowheads="1"/>
                  </pic:cNvPicPr>
                </pic:nvPicPr>
                <pic:blipFill>
                  <a:blip r:embed="rId1"/>
                  <a:srcRect l="-31" t="-105" r="-31" b="-105"/>
                  <a:stretch>
                    <a:fillRect/>
                  </a:stretch>
                </pic:blipFill>
                <pic:spPr bwMode="auto">
                  <a:xfrm>
                    <a:off x="0" y="0"/>
                    <a:ext cx="1149985" cy="344170"/>
                  </a:xfrm>
                  <a:prstGeom prst="rect">
                    <a:avLst/>
                  </a:prstGeom>
                  <a:noFill/>
                </pic:spPr>
              </pic:pic>
            </a:graphicData>
          </a:graphic>
        </wp:inline>
      </w:drawing>
    </w:r>
    <w:r>
      <w:rPr/>
      <w:tab/>
      <w:tab/>
    </w:r>
    <w:r>
      <w:rPr/>
      <w:fldChar w:fldCharType="begin"/>
    </w:r>
    <w:r>
      <w:rPr/>
      <w:instrText xml:space="preserve"> FILENAME </w:instrText>
    </w:r>
    <w:r>
      <w:rPr/>
      <w:fldChar w:fldCharType="separate"/>
    </w:r>
    <w:r>
      <w:rPr/>
      <w:t>Exhibit 35 (Escrow Agreement Template) Final v1.2.DOC</w:t>
    </w:r>
    <w:r>
      <w:rPr/>
      <w:fldChar w:fldCharType="end"/>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enter" w:pos="4140" w:leader="none"/>
        <w:tab w:val="right" w:pos="8280" w:leader="none"/>
      </w:tabs>
      <w:rPr/>
    </w:pPr>
    <w:r>
      <w:rPr/>
      <w:drawing>
        <wp:inline distT="0" distB="0" distL="0" distR="0">
          <wp:extent cx="1149985" cy="344170"/>
          <wp:effectExtent l="0" t="0" r="0" b="0"/>
          <wp:docPr id="3" name="Image1 Copy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Copy 1" descr="" title=""/>
                  <pic:cNvPicPr>
                    <a:picLocks noChangeAspect="1" noChangeArrowheads="1"/>
                  </pic:cNvPicPr>
                </pic:nvPicPr>
                <pic:blipFill>
                  <a:blip r:embed="rId1"/>
                  <a:srcRect l="-31" t="-105" r="-31" b="-105"/>
                  <a:stretch>
                    <a:fillRect/>
                  </a:stretch>
                </pic:blipFill>
                <pic:spPr bwMode="auto">
                  <a:xfrm>
                    <a:off x="0" y="0"/>
                    <a:ext cx="1149985" cy="344170"/>
                  </a:xfrm>
                  <a:prstGeom prst="rect">
                    <a:avLst/>
                  </a:prstGeom>
                  <a:noFill/>
                </pic:spPr>
              </pic:pic>
            </a:graphicData>
          </a:graphic>
        </wp:inline>
      </w:drawing>
    </w:r>
    <w:r>
      <w:rPr/>
      <w:tab/>
      <w:tab/>
    </w:r>
    <w:r>
      <w:rPr/>
      <w:fldChar w:fldCharType="begin"/>
    </w:r>
    <w:r>
      <w:rPr/>
      <w:instrText xml:space="preserve"> FILENAME </w:instrText>
    </w:r>
    <w:r>
      <w:rPr/>
      <w:fldChar w:fldCharType="separate"/>
    </w:r>
    <w:r>
      <w:rPr/>
      <w:t>Exhibit 35 (Escrow Agreement Template) Final v1.2.DOC</w:t>
    </w:r>
    <w:r>
      <w:rPr/>
      <w:fldChar w:fldCharType="end"/>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pStyle w:val="Heading4"/>
      <w:numFmt w:val="none"/>
      <w:suff w:val="nothing"/>
      <w:lvlText w:val=""/>
      <w:lvlJc w:val="start"/>
      <w:pPr>
        <w:tabs>
          <w:tab w:val="num" w:pos="0"/>
        </w:tabs>
        <w:ind w:start="0" w:hanging="0"/>
      </w:pPr>
    </w:lvl>
    <w:lvl w:ilvl="4">
      <w:start w:val="1"/>
      <w:pStyle w:val="Heading5"/>
      <w:numFmt w:val="none"/>
      <w:suff w:val="nothing"/>
      <w:lvlText w:val=""/>
      <w:lvlJc w:val="start"/>
      <w:pPr>
        <w:tabs>
          <w:tab w:val="num" w:pos="0"/>
        </w:tabs>
        <w:ind w:start="0" w:hanging="0"/>
      </w:pPr>
    </w:lvl>
    <w:lvl w:ilvl="5">
      <w:start w:val="1"/>
      <w:pStyle w:val="Heading6"/>
      <w:numFmt w:val="none"/>
      <w:suff w:val="nothing"/>
      <w:lvlText w:val=""/>
      <w:lvlJc w:val="start"/>
      <w:pPr>
        <w:tabs>
          <w:tab w:val="num" w:pos="0"/>
        </w:tabs>
        <w:ind w:start="0" w:hanging="0"/>
      </w:pPr>
    </w:lvl>
    <w:lvl w:ilvl="6">
      <w:start w:val="1"/>
      <w:pStyle w:val="Heading7"/>
      <w:numFmt w:val="none"/>
      <w:suff w:val="nothing"/>
      <w:lvlText w:val=""/>
      <w:lvlJc w:val="start"/>
      <w:pPr>
        <w:tabs>
          <w:tab w:val="num" w:pos="0"/>
        </w:tabs>
        <w:ind w:start="0" w:hanging="0"/>
      </w:pPr>
    </w:lvl>
    <w:lvl w:ilvl="7">
      <w:start w:val="1"/>
      <w:pStyle w:val="Heading8"/>
      <w:numFmt w:val="none"/>
      <w:suff w:val="nothing"/>
      <w:lvlText w:val=""/>
      <w:lvlJc w:val="start"/>
      <w:pPr>
        <w:tabs>
          <w:tab w:val="num" w:pos="0"/>
        </w:tabs>
        <w:ind w:start="0" w:hanging="0"/>
      </w:pPr>
    </w:lvl>
    <w:lvl w:ilvl="8">
      <w:start w:val="1"/>
      <w:pStyle w:val="Heading9"/>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1492"/>
        </w:tabs>
        <w:ind w:start="1492" w:hanging="360"/>
      </w:pPr>
      <w:rPr>
        <w:rFonts w:ascii="Symbol" w:hAnsi="Symbol" w:cs="Symbol" w:hint="default"/>
      </w:rPr>
    </w:lvl>
  </w:abstractNum>
  <w:abstractNum w:abstractNumId="3">
    <w:lvl w:ilvl="0">
      <w:start w:val="1"/>
      <w:numFmt w:val="bullet"/>
      <w:lvlText w:val=""/>
      <w:lvlJc w:val="start"/>
      <w:pPr>
        <w:tabs>
          <w:tab w:val="num" w:pos="1209"/>
        </w:tabs>
        <w:ind w:start="1209" w:hanging="360"/>
      </w:pPr>
      <w:rPr>
        <w:rFonts w:ascii="Symbol" w:hAnsi="Symbol" w:cs="Symbol" w:hint="default"/>
      </w:rPr>
    </w:lvl>
  </w:abstractNum>
  <w:abstractNum w:abstractNumId="4">
    <w:lvl w:ilvl="0">
      <w:start w:val="1"/>
      <w:numFmt w:val="bullet"/>
      <w:lvlText w:val=""/>
      <w:lvlJc w:val="start"/>
      <w:pPr>
        <w:tabs>
          <w:tab w:val="num" w:pos="643"/>
        </w:tabs>
        <w:ind w:start="643" w:hanging="360"/>
      </w:pPr>
      <w:rPr>
        <w:rFonts w:ascii="Symbol" w:hAnsi="Symbol" w:cs="Symbol" w:hint="default"/>
      </w:rPr>
    </w:lvl>
  </w:abstractNum>
  <w:abstractNum w:abstractNumId="5">
    <w:lvl w:ilvl="0">
      <w:start w:val="1"/>
      <w:numFmt w:val="bullet"/>
      <w:lvlText w:val=""/>
      <w:lvlJc w:val="start"/>
      <w:pPr>
        <w:tabs>
          <w:tab w:val="num" w:pos="360"/>
        </w:tabs>
        <w:ind w:start="360" w:hanging="360"/>
      </w:pPr>
      <w:rPr>
        <w:rFonts w:ascii="Symbol" w:hAnsi="Symbol" w:cs="Symbol" w:hint="default"/>
      </w:rPr>
    </w:lvl>
  </w:abstractNum>
  <w:abstractNum w:abstractNumId="6">
    <w:lvl w:ilvl="0">
      <w:start w:val="1"/>
      <w:numFmt w:val="bullet"/>
      <w:lvlText w:val=""/>
      <w:lvlJc w:val="start"/>
      <w:pPr>
        <w:tabs>
          <w:tab w:val="num" w:pos="720"/>
        </w:tabs>
        <w:ind w:start="720" w:hanging="360"/>
      </w:pPr>
      <w:rPr>
        <w:rFonts w:ascii="Symbol" w:hAnsi="Symbol" w:cs="Symbol" w:hint="default"/>
      </w:rPr>
    </w:lvl>
    <w:lvl w:ilvl="1">
      <w:start w:val="1"/>
      <w:numFmt w:val="bullet"/>
      <w:lvlText w:val="o"/>
      <w:lvlJc w:val="start"/>
      <w:pPr>
        <w:tabs>
          <w:tab w:val="num" w:pos="1440"/>
        </w:tabs>
        <w:ind w:start="1440" w:hanging="360"/>
      </w:pPr>
      <w:rPr>
        <w:rFonts w:ascii="Courier New" w:hAnsi="Courier New" w:cs="Courier New" w:hint="default"/>
      </w:rPr>
    </w:lvl>
    <w:lvl w:ilvl="2">
      <w:start w:val="1"/>
      <w:numFmt w:val="bullet"/>
      <w:lvlText w:val=""/>
      <w:lvlJc w:val="start"/>
      <w:pPr>
        <w:tabs>
          <w:tab w:val="num" w:pos="2160"/>
        </w:tabs>
        <w:ind w:start="2160" w:hanging="360"/>
      </w:pPr>
      <w:rPr>
        <w:rFonts w:ascii="Wingdings" w:hAnsi="Wingdings" w:cs="Wingdings" w:hint="default"/>
      </w:rPr>
    </w:lvl>
    <w:lvl w:ilvl="3">
      <w:start w:val="1"/>
      <w:numFmt w:val="bullet"/>
      <w:lvlText w:val=""/>
      <w:lvlJc w:val="start"/>
      <w:pPr>
        <w:tabs>
          <w:tab w:val="num" w:pos="2880"/>
        </w:tabs>
        <w:ind w:start="2880" w:hanging="360"/>
      </w:pPr>
      <w:rPr>
        <w:rFonts w:ascii="Symbol" w:hAnsi="Symbol" w:cs="Symbol" w:hint="default"/>
      </w:rPr>
    </w:lvl>
    <w:lvl w:ilvl="4">
      <w:start w:val="1"/>
      <w:numFmt w:val="bullet"/>
      <w:lvlText w:val="o"/>
      <w:lvlJc w:val="start"/>
      <w:pPr>
        <w:tabs>
          <w:tab w:val="num" w:pos="3600"/>
        </w:tabs>
        <w:ind w:start="3600" w:hanging="360"/>
      </w:pPr>
      <w:rPr>
        <w:rFonts w:ascii="Courier New" w:hAnsi="Courier New" w:cs="Courier New" w:hint="default"/>
      </w:rPr>
    </w:lvl>
    <w:lvl w:ilvl="5">
      <w:start w:val="1"/>
      <w:numFmt w:val="bullet"/>
      <w:lvlText w:val=""/>
      <w:lvlJc w:val="start"/>
      <w:pPr>
        <w:tabs>
          <w:tab w:val="num" w:pos="4320"/>
        </w:tabs>
        <w:ind w:start="4320" w:hanging="360"/>
      </w:pPr>
      <w:rPr>
        <w:rFonts w:ascii="Wingdings" w:hAnsi="Wingdings" w:cs="Wingdings" w:hint="default"/>
      </w:rPr>
    </w:lvl>
    <w:lvl w:ilvl="6">
      <w:start w:val="1"/>
      <w:numFmt w:val="bullet"/>
      <w:lvlText w:val=""/>
      <w:lvlJc w:val="start"/>
      <w:pPr>
        <w:tabs>
          <w:tab w:val="num" w:pos="5040"/>
        </w:tabs>
        <w:ind w:start="5040" w:hanging="360"/>
      </w:pPr>
      <w:rPr>
        <w:rFonts w:ascii="Symbol" w:hAnsi="Symbol" w:cs="Symbol" w:hint="default"/>
      </w:rPr>
    </w:lvl>
    <w:lvl w:ilvl="7">
      <w:start w:val="1"/>
      <w:numFmt w:val="bullet"/>
      <w:lvlText w:val="o"/>
      <w:lvlJc w:val="start"/>
      <w:pPr>
        <w:tabs>
          <w:tab w:val="num" w:pos="5760"/>
        </w:tabs>
        <w:ind w:start="5760" w:hanging="360"/>
      </w:pPr>
      <w:rPr>
        <w:rFonts w:ascii="Courier New" w:hAnsi="Courier New" w:cs="Courier New" w:hint="default"/>
      </w:rPr>
    </w:lvl>
    <w:lvl w:ilvl="8">
      <w:start w:val="1"/>
      <w:numFmt w:val="bullet"/>
      <w:lvlText w:val=""/>
      <w:lvlJc w:val="start"/>
      <w:pPr>
        <w:tabs>
          <w:tab w:val="num" w:pos="6480"/>
        </w:tabs>
        <w:ind w:start="6480" w:hanging="360"/>
      </w:pPr>
      <w:rPr>
        <w:rFonts w:ascii="Wingdings" w:hAnsi="Wingdings" w:cs="Wingdings" w:hint="default"/>
      </w:rPr>
    </w:lvl>
  </w:abstractNum>
  <w:abstractNum w:abstractNumId="7">
    <w:lvl w:ilvl="0">
      <w:start w:val="1"/>
      <w:numFmt w:val="bullet"/>
      <w:lvlText w:val=""/>
      <w:lvlJc w:val="start"/>
      <w:pPr>
        <w:tabs>
          <w:tab w:val="num" w:pos="1287"/>
        </w:tabs>
        <w:ind w:start="1287" w:hanging="360"/>
      </w:pPr>
      <w:rPr>
        <w:rFonts w:ascii="Symbol" w:hAnsi="Symbol" w:cs="Symbol" w:hint="default"/>
      </w:rPr>
    </w:lvl>
    <w:lvl w:ilvl="1">
      <w:start w:val="1"/>
      <w:numFmt w:val="bullet"/>
      <w:lvlText w:val="o"/>
      <w:lvlJc w:val="start"/>
      <w:pPr>
        <w:tabs>
          <w:tab w:val="num" w:pos="2007"/>
        </w:tabs>
        <w:ind w:start="2007" w:hanging="360"/>
      </w:pPr>
      <w:rPr>
        <w:rFonts w:ascii="Courier New" w:hAnsi="Courier New" w:cs="Courier New" w:hint="default"/>
      </w:rPr>
    </w:lvl>
    <w:lvl w:ilvl="2">
      <w:start w:val="1"/>
      <w:numFmt w:val="bullet"/>
      <w:lvlText w:val=""/>
      <w:lvlJc w:val="start"/>
      <w:pPr>
        <w:tabs>
          <w:tab w:val="num" w:pos="2727"/>
        </w:tabs>
        <w:ind w:start="2727" w:hanging="360"/>
      </w:pPr>
      <w:rPr>
        <w:rFonts w:ascii="Wingdings" w:hAnsi="Wingdings" w:cs="Wingdings" w:hint="default"/>
      </w:rPr>
    </w:lvl>
    <w:lvl w:ilvl="3">
      <w:start w:val="1"/>
      <w:numFmt w:val="bullet"/>
      <w:lvlText w:val=""/>
      <w:lvlJc w:val="start"/>
      <w:pPr>
        <w:tabs>
          <w:tab w:val="num" w:pos="3447"/>
        </w:tabs>
        <w:ind w:start="3447" w:hanging="360"/>
      </w:pPr>
      <w:rPr>
        <w:rFonts w:ascii="Symbol" w:hAnsi="Symbol" w:cs="Symbol" w:hint="default"/>
      </w:rPr>
    </w:lvl>
    <w:lvl w:ilvl="4">
      <w:start w:val="1"/>
      <w:numFmt w:val="bullet"/>
      <w:lvlText w:val="o"/>
      <w:lvlJc w:val="start"/>
      <w:pPr>
        <w:tabs>
          <w:tab w:val="num" w:pos="4167"/>
        </w:tabs>
        <w:ind w:start="4167" w:hanging="360"/>
      </w:pPr>
      <w:rPr>
        <w:rFonts w:ascii="Courier New" w:hAnsi="Courier New" w:cs="Courier New" w:hint="default"/>
      </w:rPr>
    </w:lvl>
    <w:lvl w:ilvl="5">
      <w:start w:val="1"/>
      <w:numFmt w:val="bullet"/>
      <w:lvlText w:val=""/>
      <w:lvlJc w:val="start"/>
      <w:pPr>
        <w:tabs>
          <w:tab w:val="num" w:pos="4887"/>
        </w:tabs>
        <w:ind w:start="4887" w:hanging="360"/>
      </w:pPr>
      <w:rPr>
        <w:rFonts w:ascii="Wingdings" w:hAnsi="Wingdings" w:cs="Wingdings" w:hint="default"/>
      </w:rPr>
    </w:lvl>
    <w:lvl w:ilvl="6">
      <w:start w:val="1"/>
      <w:numFmt w:val="bullet"/>
      <w:lvlText w:val=""/>
      <w:lvlJc w:val="start"/>
      <w:pPr>
        <w:tabs>
          <w:tab w:val="num" w:pos="5607"/>
        </w:tabs>
        <w:ind w:start="5607" w:hanging="360"/>
      </w:pPr>
      <w:rPr>
        <w:rFonts w:ascii="Symbol" w:hAnsi="Symbol" w:cs="Symbol" w:hint="default"/>
      </w:rPr>
    </w:lvl>
    <w:lvl w:ilvl="7">
      <w:start w:val="1"/>
      <w:numFmt w:val="bullet"/>
      <w:lvlText w:val="o"/>
      <w:lvlJc w:val="start"/>
      <w:pPr>
        <w:tabs>
          <w:tab w:val="num" w:pos="6327"/>
        </w:tabs>
        <w:ind w:start="6327" w:hanging="360"/>
      </w:pPr>
      <w:rPr>
        <w:rFonts w:ascii="Courier New" w:hAnsi="Courier New" w:cs="Courier New" w:hint="default"/>
      </w:rPr>
    </w:lvl>
    <w:lvl w:ilvl="8">
      <w:start w:val="1"/>
      <w:numFmt w:val="bullet"/>
      <w:lvlText w:val=""/>
      <w:lvlJc w:val="start"/>
      <w:pPr>
        <w:tabs>
          <w:tab w:val="num" w:pos="7047"/>
        </w:tabs>
        <w:ind w:start="7047" w:hanging="360"/>
      </w:pPr>
      <w:rPr>
        <w:rFonts w:ascii="Wingdings" w:hAnsi="Wingdings" w:cs="Wingdings" w:hint="default"/>
      </w:rPr>
    </w:lvl>
  </w:abstractNum>
  <w:abstractNum w:abstractNumId="8">
    <w:lvl w:ilvl="0">
      <w:start w:val="1"/>
      <w:numFmt w:val="decimal"/>
      <w:lvlText w:val="(%1)"/>
      <w:lvlJc w:val="start"/>
      <w:pPr>
        <w:tabs>
          <w:tab w:val="num" w:pos="720"/>
        </w:tabs>
        <w:ind w:start="720" w:hanging="720"/>
      </w:pPr>
      <w:rPr/>
    </w:lvl>
  </w:abstractNum>
  <w:abstractNum w:abstractNumId="9">
    <w:lvl w:ilvl="0">
      <w:start w:val="1"/>
      <w:numFmt w:val="bullet"/>
      <w:lvlText w:val=""/>
      <w:lvlJc w:val="start"/>
      <w:pPr>
        <w:tabs>
          <w:tab w:val="num" w:pos="1287"/>
        </w:tabs>
        <w:ind w:start="1287" w:hanging="360"/>
      </w:pPr>
      <w:rPr>
        <w:rFonts w:ascii="Symbol" w:hAnsi="Symbol" w:cs="Symbol" w:hint="default"/>
      </w:rPr>
    </w:lvl>
    <w:lvl w:ilvl="1">
      <w:start w:val="0"/>
      <w:numFmt w:val="bullet"/>
      <w:lvlText w:val="-"/>
      <w:lvlJc w:val="start"/>
      <w:pPr>
        <w:tabs>
          <w:tab w:val="num" w:pos="2007"/>
        </w:tabs>
        <w:ind w:start="2007" w:hanging="360"/>
      </w:pPr>
      <w:rPr>
        <w:rFonts w:ascii="OpenSymbol" w:hAnsi="OpenSymbol" w:cs="OpenSymbol" w:hint="default"/>
      </w:rPr>
    </w:lvl>
    <w:lvl w:ilvl="2">
      <w:start w:val="1"/>
      <w:numFmt w:val="bullet"/>
      <w:lvlText w:val=""/>
      <w:lvlJc w:val="start"/>
      <w:pPr>
        <w:tabs>
          <w:tab w:val="num" w:pos="2727"/>
        </w:tabs>
        <w:ind w:start="2727" w:hanging="360"/>
      </w:pPr>
      <w:rPr>
        <w:rFonts w:ascii="Wingdings" w:hAnsi="Wingdings" w:cs="Wingdings" w:hint="default"/>
      </w:rPr>
    </w:lvl>
    <w:lvl w:ilvl="3">
      <w:start w:val="1"/>
      <w:numFmt w:val="bullet"/>
      <w:lvlText w:val=""/>
      <w:lvlJc w:val="start"/>
      <w:pPr>
        <w:tabs>
          <w:tab w:val="num" w:pos="3447"/>
        </w:tabs>
        <w:ind w:start="3447" w:hanging="360"/>
      </w:pPr>
      <w:rPr>
        <w:rFonts w:ascii="Symbol" w:hAnsi="Symbol" w:cs="Symbol" w:hint="default"/>
      </w:rPr>
    </w:lvl>
    <w:lvl w:ilvl="4">
      <w:start w:val="1"/>
      <w:numFmt w:val="bullet"/>
      <w:lvlText w:val="o"/>
      <w:lvlJc w:val="start"/>
      <w:pPr>
        <w:tabs>
          <w:tab w:val="num" w:pos="4167"/>
        </w:tabs>
        <w:ind w:start="4167" w:hanging="360"/>
      </w:pPr>
      <w:rPr>
        <w:rFonts w:ascii="Courier New" w:hAnsi="Courier New" w:cs="Courier New" w:hint="default"/>
      </w:rPr>
    </w:lvl>
    <w:lvl w:ilvl="5">
      <w:start w:val="1"/>
      <w:numFmt w:val="bullet"/>
      <w:lvlText w:val=""/>
      <w:lvlJc w:val="start"/>
      <w:pPr>
        <w:tabs>
          <w:tab w:val="num" w:pos="4887"/>
        </w:tabs>
        <w:ind w:start="4887" w:hanging="360"/>
      </w:pPr>
      <w:rPr>
        <w:rFonts w:ascii="Wingdings" w:hAnsi="Wingdings" w:cs="Wingdings" w:hint="default"/>
      </w:rPr>
    </w:lvl>
    <w:lvl w:ilvl="6">
      <w:start w:val="1"/>
      <w:numFmt w:val="bullet"/>
      <w:lvlText w:val=""/>
      <w:lvlJc w:val="start"/>
      <w:pPr>
        <w:tabs>
          <w:tab w:val="num" w:pos="5607"/>
        </w:tabs>
        <w:ind w:start="5607" w:hanging="360"/>
      </w:pPr>
      <w:rPr>
        <w:rFonts w:ascii="Symbol" w:hAnsi="Symbol" w:cs="Symbol" w:hint="default"/>
      </w:rPr>
    </w:lvl>
    <w:lvl w:ilvl="7">
      <w:start w:val="1"/>
      <w:numFmt w:val="bullet"/>
      <w:lvlText w:val="o"/>
      <w:lvlJc w:val="start"/>
      <w:pPr>
        <w:tabs>
          <w:tab w:val="num" w:pos="6327"/>
        </w:tabs>
        <w:ind w:start="6327" w:hanging="360"/>
      </w:pPr>
      <w:rPr>
        <w:rFonts w:ascii="Courier New" w:hAnsi="Courier New" w:cs="Courier New" w:hint="default"/>
      </w:rPr>
    </w:lvl>
    <w:lvl w:ilvl="8">
      <w:start w:val="1"/>
      <w:numFmt w:val="bullet"/>
      <w:lvlText w:val=""/>
      <w:lvlJc w:val="start"/>
      <w:pPr>
        <w:tabs>
          <w:tab w:val="num" w:pos="7047"/>
        </w:tabs>
        <w:ind w:start="7047" w:hanging="360"/>
      </w:pPr>
      <w:rPr>
        <w:rFonts w:ascii="Wingdings" w:hAnsi="Wingdings" w:cs="Wingdings" w:hint="default"/>
      </w:rPr>
    </w:lvl>
  </w:abstractNum>
  <w:abstractNum w:abstractNumId="10">
    <w:lvl w:ilvl="0">
      <w:start w:val="1"/>
      <w:numFmt w:val="bullet"/>
      <w:lvlText w:val=""/>
      <w:lvlJc w:val="start"/>
      <w:pPr>
        <w:tabs>
          <w:tab w:val="num" w:pos="1287"/>
        </w:tabs>
        <w:ind w:start="1287" w:hanging="360"/>
      </w:pPr>
      <w:rPr>
        <w:rFonts w:ascii="Symbol" w:hAnsi="Symbol" w:cs="Symbol" w:hint="default"/>
      </w:rPr>
    </w:lvl>
    <w:lvl w:ilvl="1">
      <w:start w:val="1"/>
      <w:numFmt w:val="bullet"/>
      <w:lvlText w:val="o"/>
      <w:lvlJc w:val="start"/>
      <w:pPr>
        <w:tabs>
          <w:tab w:val="num" w:pos="2007"/>
        </w:tabs>
        <w:ind w:start="2007" w:hanging="360"/>
      </w:pPr>
      <w:rPr>
        <w:rFonts w:ascii="Courier New" w:hAnsi="Courier New" w:cs="Courier New" w:hint="default"/>
      </w:rPr>
    </w:lvl>
    <w:lvl w:ilvl="2">
      <w:start w:val="1"/>
      <w:numFmt w:val="bullet"/>
      <w:lvlText w:val=""/>
      <w:lvlJc w:val="start"/>
      <w:pPr>
        <w:tabs>
          <w:tab w:val="num" w:pos="2727"/>
        </w:tabs>
        <w:ind w:start="2727" w:hanging="360"/>
      </w:pPr>
      <w:rPr>
        <w:rFonts w:ascii="Wingdings" w:hAnsi="Wingdings" w:cs="Wingdings" w:hint="default"/>
      </w:rPr>
    </w:lvl>
    <w:lvl w:ilvl="3">
      <w:start w:val="1"/>
      <w:numFmt w:val="bullet"/>
      <w:lvlText w:val=""/>
      <w:lvlJc w:val="start"/>
      <w:pPr>
        <w:tabs>
          <w:tab w:val="num" w:pos="3447"/>
        </w:tabs>
        <w:ind w:start="3447" w:hanging="360"/>
      </w:pPr>
      <w:rPr>
        <w:rFonts w:ascii="Symbol" w:hAnsi="Symbol" w:cs="Symbol" w:hint="default"/>
      </w:rPr>
    </w:lvl>
    <w:lvl w:ilvl="4">
      <w:start w:val="1"/>
      <w:numFmt w:val="bullet"/>
      <w:lvlText w:val="o"/>
      <w:lvlJc w:val="start"/>
      <w:pPr>
        <w:tabs>
          <w:tab w:val="num" w:pos="4167"/>
        </w:tabs>
        <w:ind w:start="4167" w:hanging="360"/>
      </w:pPr>
      <w:rPr>
        <w:rFonts w:ascii="Courier New" w:hAnsi="Courier New" w:cs="Courier New" w:hint="default"/>
      </w:rPr>
    </w:lvl>
    <w:lvl w:ilvl="5">
      <w:start w:val="1"/>
      <w:numFmt w:val="bullet"/>
      <w:lvlText w:val=""/>
      <w:lvlJc w:val="start"/>
      <w:pPr>
        <w:tabs>
          <w:tab w:val="num" w:pos="4887"/>
        </w:tabs>
        <w:ind w:start="4887" w:hanging="360"/>
      </w:pPr>
      <w:rPr>
        <w:rFonts w:ascii="Wingdings" w:hAnsi="Wingdings" w:cs="Wingdings" w:hint="default"/>
      </w:rPr>
    </w:lvl>
    <w:lvl w:ilvl="6">
      <w:start w:val="1"/>
      <w:numFmt w:val="bullet"/>
      <w:lvlText w:val=""/>
      <w:lvlJc w:val="start"/>
      <w:pPr>
        <w:tabs>
          <w:tab w:val="num" w:pos="5607"/>
        </w:tabs>
        <w:ind w:start="5607" w:hanging="360"/>
      </w:pPr>
      <w:rPr>
        <w:rFonts w:ascii="Symbol" w:hAnsi="Symbol" w:cs="Symbol" w:hint="default"/>
      </w:rPr>
    </w:lvl>
    <w:lvl w:ilvl="7">
      <w:start w:val="1"/>
      <w:numFmt w:val="bullet"/>
      <w:lvlText w:val="o"/>
      <w:lvlJc w:val="start"/>
      <w:pPr>
        <w:tabs>
          <w:tab w:val="num" w:pos="6327"/>
        </w:tabs>
        <w:ind w:start="6327" w:hanging="360"/>
      </w:pPr>
      <w:rPr>
        <w:rFonts w:ascii="Courier New" w:hAnsi="Courier New" w:cs="Courier New" w:hint="default"/>
      </w:rPr>
    </w:lvl>
    <w:lvl w:ilvl="8">
      <w:start w:val="1"/>
      <w:numFmt w:val="bullet"/>
      <w:lvlText w:val=""/>
      <w:lvlJc w:val="start"/>
      <w:pPr>
        <w:tabs>
          <w:tab w:val="num" w:pos="7047"/>
        </w:tabs>
        <w:ind w:start="7047" w:hanging="360"/>
      </w:pPr>
      <w:rPr>
        <w:rFonts w:ascii="Wingdings" w:hAnsi="Wingdings" w:cs="Wingdings" w:hint="default"/>
      </w:rPr>
    </w:lvl>
  </w:abstractNum>
  <w:abstractNum w:abstractNumId="11">
    <w:lvl w:ilvl="0">
      <w:start w:val="1"/>
      <w:numFmt w:val="bullet"/>
      <w:lvlText w:val=""/>
      <w:lvlJc w:val="start"/>
      <w:pPr>
        <w:tabs>
          <w:tab w:val="num" w:pos="780"/>
        </w:tabs>
        <w:ind w:start="780" w:hanging="360"/>
      </w:pPr>
      <w:rPr>
        <w:rFonts w:ascii="Symbol" w:hAnsi="Symbol" w:cs="Symbol" w:hint="default"/>
      </w:rPr>
    </w:lvl>
  </w:abstractNum>
  <w:abstractNum w:abstractNumId="12">
    <w:lvl w:ilvl="0">
      <w:start w:val="1"/>
      <w:numFmt w:val="bullet"/>
      <w:lvlText w:val=""/>
      <w:lvlJc w:val="start"/>
      <w:pPr>
        <w:tabs>
          <w:tab w:val="num" w:pos="720"/>
        </w:tabs>
        <w:ind w:start="720" w:hanging="360"/>
      </w:pPr>
      <w:rPr>
        <w:rFonts w:ascii="Symbol" w:hAnsi="Symbol" w:cs="Symbol" w:hint="default"/>
      </w:rPr>
    </w:lvl>
    <w:lvl w:ilvl="1">
      <w:start w:val="0"/>
      <w:numFmt w:val="bullet"/>
      <w:lvlText w:val="-"/>
      <w:lvlJc w:val="start"/>
      <w:pPr>
        <w:tabs>
          <w:tab w:val="num" w:pos="2220"/>
        </w:tabs>
        <w:ind w:start="2220" w:hanging="1140"/>
      </w:pPr>
      <w:rPr>
        <w:rFonts w:ascii="OpenSymbol" w:hAnsi="OpenSymbol" w:cs="OpenSymbol" w:hint="default"/>
      </w:rPr>
    </w:lvl>
    <w:lvl w:ilvl="2">
      <w:start w:val="1"/>
      <w:numFmt w:val="bullet"/>
      <w:lvlText w:val=""/>
      <w:lvlJc w:val="start"/>
      <w:pPr>
        <w:tabs>
          <w:tab w:val="num" w:pos="2160"/>
        </w:tabs>
        <w:ind w:start="2160" w:hanging="360"/>
      </w:pPr>
      <w:rPr>
        <w:rFonts w:ascii="Wingdings" w:hAnsi="Wingdings" w:cs="Wingdings" w:hint="default"/>
      </w:rPr>
    </w:lvl>
    <w:lvl w:ilvl="3">
      <w:start w:val="1"/>
      <w:numFmt w:val="bullet"/>
      <w:lvlText w:val=""/>
      <w:lvlJc w:val="start"/>
      <w:pPr>
        <w:tabs>
          <w:tab w:val="num" w:pos="2880"/>
        </w:tabs>
        <w:ind w:start="2880" w:hanging="360"/>
      </w:pPr>
      <w:rPr>
        <w:rFonts w:ascii="Symbol" w:hAnsi="Symbol" w:cs="Symbol" w:hint="default"/>
      </w:rPr>
    </w:lvl>
    <w:lvl w:ilvl="4">
      <w:start w:val="1"/>
      <w:numFmt w:val="bullet"/>
      <w:lvlText w:val="o"/>
      <w:lvlJc w:val="start"/>
      <w:pPr>
        <w:tabs>
          <w:tab w:val="num" w:pos="3600"/>
        </w:tabs>
        <w:ind w:start="3600" w:hanging="360"/>
      </w:pPr>
      <w:rPr>
        <w:rFonts w:ascii="Courier New" w:hAnsi="Courier New" w:cs="Courier New" w:hint="default"/>
      </w:rPr>
    </w:lvl>
    <w:lvl w:ilvl="5">
      <w:start w:val="1"/>
      <w:numFmt w:val="bullet"/>
      <w:lvlText w:val=""/>
      <w:lvlJc w:val="start"/>
      <w:pPr>
        <w:tabs>
          <w:tab w:val="num" w:pos="4320"/>
        </w:tabs>
        <w:ind w:start="4320" w:hanging="360"/>
      </w:pPr>
      <w:rPr>
        <w:rFonts w:ascii="Wingdings" w:hAnsi="Wingdings" w:cs="Wingdings" w:hint="default"/>
      </w:rPr>
    </w:lvl>
    <w:lvl w:ilvl="6">
      <w:start w:val="1"/>
      <w:numFmt w:val="bullet"/>
      <w:lvlText w:val=""/>
      <w:lvlJc w:val="start"/>
      <w:pPr>
        <w:tabs>
          <w:tab w:val="num" w:pos="5040"/>
        </w:tabs>
        <w:ind w:start="5040" w:hanging="360"/>
      </w:pPr>
      <w:rPr>
        <w:rFonts w:ascii="Symbol" w:hAnsi="Symbol" w:cs="Symbol" w:hint="default"/>
      </w:rPr>
    </w:lvl>
    <w:lvl w:ilvl="7">
      <w:start w:val="1"/>
      <w:numFmt w:val="bullet"/>
      <w:lvlText w:val="o"/>
      <w:lvlJc w:val="start"/>
      <w:pPr>
        <w:tabs>
          <w:tab w:val="num" w:pos="5760"/>
        </w:tabs>
        <w:ind w:start="5760" w:hanging="360"/>
      </w:pPr>
      <w:rPr>
        <w:rFonts w:ascii="Courier New" w:hAnsi="Courier New" w:cs="Courier New" w:hint="default"/>
      </w:rPr>
    </w:lvl>
    <w:lvl w:ilvl="8">
      <w:start w:val="1"/>
      <w:numFmt w:val="bullet"/>
      <w:lvlText w:val=""/>
      <w:lvlJc w:val="start"/>
      <w:pPr>
        <w:tabs>
          <w:tab w:val="num" w:pos="6480"/>
        </w:tabs>
        <w:ind w:start="6480" w:hanging="360"/>
      </w:pPr>
      <w:rPr>
        <w:rFonts w:ascii="Wingdings" w:hAnsi="Wingdings" w:cs="Wingdings" w:hint="default"/>
      </w:rPr>
    </w:lvl>
  </w:abstractNum>
  <w:abstractNum w:abstractNumId="13">
    <w:lvl w:ilvl="0">
      <w:start w:val="1"/>
      <w:numFmt w:val="bullet"/>
      <w:lvlText w:val=""/>
      <w:lvlJc w:val="start"/>
      <w:pPr>
        <w:tabs>
          <w:tab w:val="num" w:pos="720"/>
        </w:tabs>
        <w:ind w:start="720" w:hanging="360"/>
      </w:pPr>
      <w:rPr>
        <w:rFonts w:ascii="Symbol" w:hAnsi="Symbol" w:cs="Symbol" w:hint="default"/>
      </w:rPr>
    </w:lvl>
    <w:lvl w:ilvl="1">
      <w:start w:val="1"/>
      <w:numFmt w:val="bullet"/>
      <w:lvlText w:val="o"/>
      <w:lvlJc w:val="start"/>
      <w:pPr>
        <w:tabs>
          <w:tab w:val="num" w:pos="1440"/>
        </w:tabs>
        <w:ind w:start="1440" w:hanging="360"/>
      </w:pPr>
      <w:rPr>
        <w:rFonts w:ascii="Courier New" w:hAnsi="Courier New" w:cs="Courier New" w:hint="default"/>
      </w:rPr>
    </w:lvl>
    <w:lvl w:ilvl="2">
      <w:start w:val="1"/>
      <w:numFmt w:val="bullet"/>
      <w:lvlText w:val=""/>
      <w:lvlJc w:val="start"/>
      <w:pPr>
        <w:tabs>
          <w:tab w:val="num" w:pos="2160"/>
        </w:tabs>
        <w:ind w:start="2160" w:hanging="360"/>
      </w:pPr>
      <w:rPr>
        <w:rFonts w:ascii="Wingdings" w:hAnsi="Wingdings" w:cs="Wingdings" w:hint="default"/>
      </w:rPr>
    </w:lvl>
    <w:lvl w:ilvl="3">
      <w:start w:val="1"/>
      <w:numFmt w:val="bullet"/>
      <w:lvlText w:val=""/>
      <w:lvlJc w:val="start"/>
      <w:pPr>
        <w:tabs>
          <w:tab w:val="num" w:pos="2880"/>
        </w:tabs>
        <w:ind w:start="2880" w:hanging="360"/>
      </w:pPr>
      <w:rPr>
        <w:rFonts w:ascii="Symbol" w:hAnsi="Symbol" w:cs="Symbol" w:hint="default"/>
      </w:rPr>
    </w:lvl>
    <w:lvl w:ilvl="4">
      <w:start w:val="1"/>
      <w:numFmt w:val="bullet"/>
      <w:lvlText w:val="o"/>
      <w:lvlJc w:val="start"/>
      <w:pPr>
        <w:tabs>
          <w:tab w:val="num" w:pos="3600"/>
        </w:tabs>
        <w:ind w:start="3600" w:hanging="360"/>
      </w:pPr>
      <w:rPr>
        <w:rFonts w:ascii="Courier New" w:hAnsi="Courier New" w:cs="Courier New" w:hint="default"/>
      </w:rPr>
    </w:lvl>
    <w:lvl w:ilvl="5">
      <w:start w:val="1"/>
      <w:numFmt w:val="bullet"/>
      <w:lvlText w:val=""/>
      <w:lvlJc w:val="start"/>
      <w:pPr>
        <w:tabs>
          <w:tab w:val="num" w:pos="4320"/>
        </w:tabs>
        <w:ind w:start="4320" w:hanging="360"/>
      </w:pPr>
      <w:rPr>
        <w:rFonts w:ascii="Wingdings" w:hAnsi="Wingdings" w:cs="Wingdings" w:hint="default"/>
      </w:rPr>
    </w:lvl>
    <w:lvl w:ilvl="6">
      <w:start w:val="1"/>
      <w:numFmt w:val="bullet"/>
      <w:lvlText w:val=""/>
      <w:lvlJc w:val="start"/>
      <w:pPr>
        <w:tabs>
          <w:tab w:val="num" w:pos="5040"/>
        </w:tabs>
        <w:ind w:start="5040" w:hanging="360"/>
      </w:pPr>
      <w:rPr>
        <w:rFonts w:ascii="Symbol" w:hAnsi="Symbol" w:cs="Symbol" w:hint="default"/>
      </w:rPr>
    </w:lvl>
    <w:lvl w:ilvl="7">
      <w:start w:val="1"/>
      <w:numFmt w:val="bullet"/>
      <w:lvlText w:val="o"/>
      <w:lvlJc w:val="start"/>
      <w:pPr>
        <w:tabs>
          <w:tab w:val="num" w:pos="5760"/>
        </w:tabs>
        <w:ind w:start="5760" w:hanging="360"/>
      </w:pPr>
      <w:rPr>
        <w:rFonts w:ascii="Courier New" w:hAnsi="Courier New" w:cs="Courier New" w:hint="default"/>
      </w:rPr>
    </w:lvl>
    <w:lvl w:ilvl="8">
      <w:start w:val="1"/>
      <w:numFmt w:val="bullet"/>
      <w:lvlText w:val=""/>
      <w:lvlJc w:val="start"/>
      <w:pPr>
        <w:tabs>
          <w:tab w:val="num" w:pos="6480"/>
        </w:tabs>
        <w:ind w:start="6480" w:hanging="360"/>
      </w:pPr>
      <w:rPr>
        <w:rFonts w:ascii="Wingdings" w:hAnsi="Wingdings" w:cs="Wingdings" w:hint="default"/>
      </w:rPr>
    </w:lvl>
  </w:abstractNum>
  <w:abstractNum w:abstractNumId="14">
    <w:lvl w:ilvl="0">
      <w:start w:val="1"/>
      <w:numFmt w:val="decimal"/>
      <w:lvlText w:val="%1."/>
      <w:lvlJc w:val="start"/>
      <w:pPr>
        <w:tabs>
          <w:tab w:val="num" w:pos="720"/>
        </w:tabs>
        <w:ind w:start="0" w:hanging="0"/>
      </w:pPr>
      <w:rPr>
        <w:smallCaps w:val="false"/>
        <w:caps w:val="false"/>
        <w:i w:val="false"/>
        <w:u w:val="none"/>
        <w:b/>
        <w:rFonts w:ascii="Times New Roman" w:hAnsi="Times New Roman" w:cs="Times New Roman"/>
        <w:color w:val="000000"/>
      </w:rPr>
    </w:lvl>
    <w:lvl w:ilvl="1">
      <w:start w:val="1"/>
      <w:numFmt w:val="decimal"/>
      <w:lvlText w:val="%1.%2"/>
      <w:lvlJc w:val="start"/>
      <w:pPr>
        <w:tabs>
          <w:tab w:val="num" w:pos="720"/>
        </w:tabs>
        <w:ind w:start="0" w:hanging="0"/>
      </w:pPr>
      <w:rPr>
        <w:smallCaps w:val="false"/>
        <w:caps w:val="false"/>
        <w:i w:val="false"/>
        <w:u w:val="none"/>
        <w:b w:val="false"/>
        <w:rFonts w:ascii="Times New Roman" w:hAnsi="Times New Roman" w:cs="Times New Roman"/>
        <w:color w:val="000000"/>
      </w:rPr>
    </w:lvl>
    <w:lvl w:ilvl="2">
      <w:start w:val="1"/>
      <w:numFmt w:val="lowerLetter"/>
      <w:lvlText w:val="(%3)"/>
      <w:lvlJc w:val="start"/>
      <w:pPr>
        <w:tabs>
          <w:tab w:val="num" w:pos="720"/>
        </w:tabs>
        <w:ind w:start="720" w:hanging="720"/>
      </w:pPr>
      <w:rPr>
        <w:smallCaps w:val="false"/>
        <w:caps w:val="false"/>
        <w:i w:val="false"/>
        <w:u w:val="none"/>
        <w:b w:val="false"/>
        <w:rFonts w:ascii="Times New Roman" w:hAnsi="Times New Roman" w:cs="Times New Roman"/>
        <w:color w:val="000000"/>
      </w:rPr>
    </w:lvl>
    <w:lvl w:ilvl="3">
      <w:start w:val="1"/>
      <w:numFmt w:val="lowerRoman"/>
      <w:lvlText w:val="(%4)"/>
      <w:lvlJc w:val="end"/>
      <w:pPr>
        <w:tabs>
          <w:tab w:val="num" w:pos="1440"/>
        </w:tabs>
        <w:ind w:start="1440" w:hanging="216"/>
      </w:pPr>
      <w:rPr>
        <w:smallCaps w:val="false"/>
        <w:caps w:val="false"/>
        <w:i w:val="false"/>
        <w:u w:val="none"/>
        <w:b w:val="false"/>
        <w:rFonts w:ascii="Times New Roman" w:hAnsi="Times New Roman" w:cs="Times New Roman"/>
        <w:color w:val="000000"/>
      </w:rPr>
    </w:lvl>
    <w:lvl w:ilvl="4">
      <w:start w:val="1"/>
      <w:numFmt w:val="upperLetter"/>
      <w:lvlText w:val="(%5)"/>
      <w:lvlJc w:val="start"/>
      <w:pPr>
        <w:tabs>
          <w:tab w:val="num" w:pos="2160"/>
        </w:tabs>
        <w:ind w:start="2160" w:hanging="720"/>
      </w:pPr>
      <w:rPr>
        <w:smallCaps w:val="false"/>
        <w:caps w:val="false"/>
        <w:i w:val="false"/>
        <w:u w:val="none"/>
        <w:b w:val="false"/>
        <w:rFonts w:ascii="Times New Roman" w:hAnsi="Times New Roman" w:cs="Times New Roman"/>
        <w:color w:val="000000"/>
      </w:rPr>
    </w:lvl>
    <w:lvl w:ilvl="5">
      <w:start w:val="1"/>
      <w:numFmt w:val="upperRoman"/>
      <w:lvlText w:val="(%6)"/>
      <w:lvlJc w:val="end"/>
      <w:pPr>
        <w:tabs>
          <w:tab w:val="num" w:pos="2880"/>
        </w:tabs>
        <w:ind w:start="2880" w:hanging="216"/>
      </w:pPr>
      <w:rPr>
        <w:smallCaps w:val="false"/>
        <w:caps w:val="false"/>
        <w:i w:val="false"/>
        <w:u w:val="none"/>
        <w:b w:val="false"/>
        <w:rFonts w:ascii="Times New Roman" w:hAnsi="Times New Roman" w:cs="Times New Roman"/>
        <w:color w:val="000000"/>
      </w:rPr>
    </w:lvl>
    <w:lvl w:ilvl="6">
      <w:start w:val="27"/>
      <w:numFmt w:val="lowerLetter"/>
      <w:lvlText w:val="(%7)"/>
      <w:lvlJc w:val="start"/>
      <w:pPr>
        <w:tabs>
          <w:tab w:val="num" w:pos="3600"/>
        </w:tabs>
        <w:ind w:start="3600" w:hanging="720"/>
      </w:pPr>
      <w:rPr>
        <w:smallCaps w:val="false"/>
        <w:caps w:val="false"/>
        <w:i w:val="false"/>
        <w:u w:val="none"/>
        <w:b w:val="false"/>
        <w:rFonts w:ascii="Times New Roman" w:hAnsi="Times New Roman" w:cs="Times New Roman"/>
        <w:color w:val="000000"/>
      </w:rPr>
    </w:lvl>
    <w:lvl w:ilvl="7">
      <w:start w:val="1"/>
      <w:numFmt w:val="decimal"/>
      <w:lvlText w:val="(%8)"/>
      <w:lvlJc w:val="start"/>
      <w:pPr>
        <w:tabs>
          <w:tab w:val="num" w:pos="4320"/>
        </w:tabs>
        <w:ind w:start="4320" w:hanging="720"/>
      </w:pPr>
      <w:rPr>
        <w:smallCaps w:val="false"/>
        <w:caps w:val="false"/>
        <w:i w:val="false"/>
        <w:u w:val="none"/>
        <w:b w:val="false"/>
        <w:rFonts w:ascii="Times New Roman" w:hAnsi="Times New Roman" w:cs="Times New Roman"/>
        <w:color w:val="000000"/>
      </w:rPr>
    </w:lvl>
    <w:lvl w:ilvl="8">
      <w:start w:val="1"/>
      <w:numFmt w:val="lowerRoman"/>
      <w:lvlText w:val="%9)"/>
      <w:lvlJc w:val="start"/>
      <w:pPr>
        <w:tabs>
          <w:tab w:val="num" w:pos="5760"/>
        </w:tabs>
        <w:ind w:start="5760" w:hanging="720"/>
      </w:pPr>
      <w:rPr>
        <w:smallCaps w:val="false"/>
        <w:caps w:val="false"/>
        <w:i w:val="false"/>
        <w:u w:val="none"/>
        <w:b w:val="false"/>
        <w:rFonts w:ascii="Times New Roman" w:hAnsi="Times New Roman" w:cs="Times New Roman"/>
        <w:color w:val="000000"/>
      </w:rPr>
    </w:lvl>
  </w:abstractNum>
  <w:abstractNum w:abstractNumId="15">
    <w:lvl w:ilvl="0">
      <w:start w:val="1"/>
      <w:numFmt w:val="upperLetter"/>
      <w:lvlText w:val="(%1)"/>
      <w:lvlJc w:val="start"/>
      <w:pPr>
        <w:tabs>
          <w:tab w:val="num" w:pos="360"/>
        </w:tabs>
        <w:ind w:start="0" w:hanging="0"/>
      </w:pPr>
      <w:rPr/>
    </w:lvl>
  </w:abstractNum>
  <w:abstractNum w:abstractNumId="16">
    <w:lvl w:ilvl="0">
      <w:start w:val="1"/>
      <w:numFmt w:val="bullet"/>
      <w:lvlText w:val=""/>
      <w:lvlJc w:val="start"/>
      <w:pPr>
        <w:tabs>
          <w:tab w:val="num" w:pos="926"/>
        </w:tabs>
        <w:ind w:start="926"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w="http://schemas.openxmlformats.org/wordprocessingml/2006/main">
  <w:zoom w:percent="100"/>
  <w:defaultTabStop w:val="720"/>
  <w:autoHyphenation w:val="true"/>
  <w:hyphenationZone w:val="0"/>
  <w:compat>
    <w:doNotBreakWrappedTables/>
    <w:compatSetting w:name="compatibilityMode" w:uri="http://schemas.microsoft.com/office/word" w:val="11"/>
  </w:compat>
  <w:docVars>
    <w:docVar w:name="authClass" w:val="Fee Earner"/>
    <w:docVar w:name="authCorresp" w:val="Mark Parsons"/>
    <w:docVar w:name="authEmail" w:val="mark.parsons@freshfields.com"/>
    <w:docVar w:name="authExtension" w:val="4651"/>
    <w:docVar w:name="authFax" w:val="44 20 7108 4651"/>
    <w:docVar w:name="authId" w:val="MXPARSONS"/>
    <w:docVar w:name="authInitials" w:val="MP"/>
    <w:docVar w:name="authLocation" w:val="London"/>
    <w:docVar w:name="authName" w:val="Parsons, Mark"/>
    <w:docVar w:name="authPhone" w:val="44 20 7716 4651"/>
    <w:docVar w:name="ClientNum" w:val="80750"/>
    <w:docVar w:name="docClass" w:val="-NONE-"/>
    <w:docVar w:name="docClient" w:val="104955"/>
    <w:docVar w:name="docCliMat" w:val="104955-0076"/>
    <w:docVar w:name="docDesc" w:val="ING/SWS - 14.03 Escrow Agreement"/>
    <w:docVar w:name="docId" w:val="LC1459461"/>
    <w:docVar w:name="docIdVer" w:val="LC1459461/1"/>
    <w:docVar w:name="docLanguage" w:val="EN(UK)"/>
    <w:docVar w:name="docMatter" w:val="0076"/>
    <w:docVar w:name="DocName" w:val="Escrow agreement markup TRIMARAN 20 april"/>
    <w:docVar w:name="DocRef" w:val="AMIP:48156.1"/>
    <w:docVar w:name="docTemplate" w:val="lon-fre-eng-doc.dot"/>
    <w:docVar w:name="docType" w:val="Standard A4"/>
    <w:docVar w:name="docVersion" w:val="1"/>
    <w:docVar w:name="MatterNum" w:val="00002"/>
    <w:docVar w:name="operClass" w:val="Fee Earner"/>
    <w:docVar w:name="operCorresp" w:val="Mark Parsons"/>
    <w:docVar w:name="operEmail" w:val="mark.parsons@freshfields.com"/>
    <w:docVar w:name="operExtension" w:val="4651"/>
    <w:docVar w:name="operFax" w:val="44 20 7108 4651"/>
    <w:docVar w:name="operId" w:val="MXPARSONS"/>
    <w:docVar w:name="operInitials" w:val="MP"/>
    <w:docVar w:name="operLocation" w:val="London"/>
    <w:docVar w:name="operName" w:val="Parsons, Mark"/>
    <w:docVar w:name="operPhone" w:val="44 20 7716 4651"/>
    <w:docVar w:name="zzmpFixedCurScheme" w:val="FWB"/>
    <w:docVar w:name="zzmpFixedCurScheme_9.0" w:val="2zzmpFWB"/>
    <w:docVar w:name="zzmpFWB" w:val="||FW Body Text|2|3|0|1|0|49||1|0|32||1|0|32||1|0|32||1|0|32||1|0|32||1|0|32||1|0|32||mpNA||"/>
    <w:docVar w:name="zzmpLTFontsClean" w:val="True"/>
    <w:docVar w:name="zzmpnSession" w:val="0.9582941"/>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GB" w:bidi="ar-SA" w:eastAsia="zh-CN"/>
    </w:rPr>
  </w:style>
  <w:style w:type="paragraph" w:styleId="Heading1">
    <w:name w:val="heading 1"/>
    <w:basedOn w:val="BodyText"/>
    <w:next w:val="BodyText"/>
    <w:qFormat/>
    <w:pPr>
      <w:keepNext w:val="true"/>
      <w:keepLines/>
      <w:numPr>
        <w:ilvl w:val="0"/>
        <w:numId w:val="1"/>
      </w:numPr>
      <w:jc w:val="start"/>
      <w:outlineLvl w:val="0"/>
    </w:pPr>
    <w:rPr>
      <w:b/>
      <w:caps/>
    </w:rPr>
  </w:style>
  <w:style w:type="paragraph" w:styleId="Heading2">
    <w:name w:val="heading 2"/>
    <w:basedOn w:val="BodyText"/>
    <w:next w:val="BodyText"/>
    <w:qFormat/>
    <w:pPr>
      <w:keepNext w:val="true"/>
      <w:keepLines/>
      <w:numPr>
        <w:ilvl w:val="1"/>
        <w:numId w:val="1"/>
      </w:numPr>
      <w:jc w:val="start"/>
      <w:outlineLvl w:val="1"/>
    </w:pPr>
    <w:rPr>
      <w:b/>
      <w:smallCaps/>
    </w:rPr>
  </w:style>
  <w:style w:type="paragraph" w:styleId="Heading3">
    <w:name w:val="heading 3"/>
    <w:basedOn w:val="BodyText"/>
    <w:next w:val="BodyText"/>
    <w:qFormat/>
    <w:pPr>
      <w:keepNext w:val="true"/>
      <w:keepLines/>
      <w:numPr>
        <w:ilvl w:val="2"/>
        <w:numId w:val="1"/>
      </w:numPr>
      <w:jc w:val="start"/>
      <w:outlineLvl w:val="2"/>
    </w:pPr>
    <w:rPr>
      <w:b/>
    </w:rPr>
  </w:style>
  <w:style w:type="paragraph" w:styleId="Heading4">
    <w:name w:val="heading 4"/>
    <w:basedOn w:val="Heading3"/>
    <w:next w:val="BodyText"/>
    <w:qFormat/>
    <w:pPr>
      <w:numPr>
        <w:ilvl w:val="3"/>
        <w:numId w:val="1"/>
      </w:numPr>
      <w:outlineLvl w:val="3"/>
    </w:pPr>
    <w:rPr/>
  </w:style>
  <w:style w:type="paragraph" w:styleId="Heading5">
    <w:name w:val="heading 5"/>
    <w:basedOn w:val="BodyText"/>
    <w:next w:val="BodyText"/>
    <w:qFormat/>
    <w:pPr>
      <w:keepNext w:val="true"/>
      <w:keepLines/>
      <w:numPr>
        <w:ilvl w:val="4"/>
        <w:numId w:val="1"/>
      </w:numPr>
      <w:jc w:val="center"/>
      <w:outlineLvl w:val="4"/>
    </w:pPr>
    <w:rPr>
      <w:b/>
      <w:caps/>
    </w:rPr>
  </w:style>
  <w:style w:type="paragraph" w:styleId="Heading6">
    <w:name w:val="heading 6"/>
    <w:basedOn w:val="BodyText"/>
    <w:next w:val="BodyText"/>
    <w:qFormat/>
    <w:pPr>
      <w:keepNext w:val="true"/>
      <w:numPr>
        <w:ilvl w:val="5"/>
        <w:numId w:val="1"/>
      </w:numPr>
      <w:jc w:val="center"/>
      <w:outlineLvl w:val="5"/>
    </w:pPr>
    <w:rPr>
      <w:b/>
    </w:rPr>
  </w:style>
  <w:style w:type="paragraph" w:styleId="Heading7">
    <w:name w:val="heading 7"/>
    <w:basedOn w:val="BodyText"/>
    <w:next w:val="BodyText"/>
    <w:qFormat/>
    <w:pPr>
      <w:keepNext w:val="true"/>
      <w:keepLines/>
      <w:numPr>
        <w:ilvl w:val="6"/>
        <w:numId w:val="1"/>
      </w:numPr>
      <w:outlineLvl w:val="6"/>
    </w:pPr>
    <w:rPr/>
  </w:style>
  <w:style w:type="paragraph" w:styleId="Heading8">
    <w:name w:val="heading 8"/>
    <w:basedOn w:val="BodyText"/>
    <w:next w:val="BodyText"/>
    <w:qFormat/>
    <w:pPr>
      <w:numPr>
        <w:ilvl w:val="7"/>
        <w:numId w:val="1"/>
      </w:numPr>
      <w:jc w:val="start"/>
      <w:outlineLvl w:val="7"/>
    </w:pPr>
    <w:rPr/>
  </w:style>
  <w:style w:type="paragraph" w:styleId="Heading9">
    <w:name w:val="heading 9"/>
    <w:basedOn w:val="BodyText"/>
    <w:next w:val="Normal"/>
    <w:qFormat/>
    <w:pPr>
      <w:numPr>
        <w:ilvl w:val="8"/>
        <w:numId w:val="1"/>
      </w:numPr>
      <w:outlineLvl w:val="8"/>
    </w:pPr>
    <w:rPr>
      <w:rFonts w:cs="Arial"/>
      <w:szCs w:val="22"/>
    </w:rPr>
  </w:style>
  <w:style w:type="character" w:styleId="WW8Num1z0">
    <w:name w:val="WW8Num1z0"/>
    <w:qFormat/>
    <w:rPr>
      <w:rFonts w:ascii="Symbol" w:hAnsi="Symbol" w:cs="Symbol"/>
    </w:rPr>
  </w:style>
  <w:style w:type="character" w:styleId="WW8Num2z0">
    <w:name w:val="WW8Num2z0"/>
    <w:qFormat/>
    <w:rPr>
      <w:rFonts w:ascii="Symbol" w:hAnsi="Symbol" w:cs="Symbol"/>
    </w:rPr>
  </w:style>
  <w:style w:type="character" w:styleId="WW8Num3z0">
    <w:name w:val="WW8Num3z0"/>
    <w:qFormat/>
    <w:rPr>
      <w:rFonts w:ascii="Symbol" w:hAnsi="Symbol" w:cs="Symbol"/>
    </w:rPr>
  </w:style>
  <w:style w:type="character" w:styleId="WW8Num4z0">
    <w:name w:val="WW8Num4z0"/>
    <w:qFormat/>
    <w:rPr>
      <w:rFonts w:ascii="Symbol" w:hAnsi="Symbol" w:cs="Symbol"/>
    </w:rPr>
  </w:style>
  <w:style w:type="character" w:styleId="WW8Num5z0">
    <w:name w:val="WW8Num5z0"/>
    <w:qFormat/>
    <w:rPr>
      <w:rFonts w:ascii="Symbol" w:hAnsi="Symbol" w:cs="Symbol"/>
    </w:rPr>
  </w:style>
  <w:style w:type="character" w:styleId="WW8Num6z0">
    <w:name w:val="WW8Num6z0"/>
    <w:qFormat/>
    <w:rPr>
      <w:rFonts w:ascii="Symbol" w:hAnsi="Symbol" w:cs="Symbol"/>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7z0">
    <w:name w:val="WW8Num7z0"/>
    <w:qFormat/>
    <w:rPr>
      <w:rFonts w:ascii="Symbol" w:hAnsi="Symbol" w:cs="Symbol"/>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8z0">
    <w:name w:val="WW8Num8z0"/>
    <w:qFormat/>
    <w:rPr/>
  </w:style>
  <w:style w:type="character" w:styleId="WW8Num9z0">
    <w:name w:val="WW8Num9z0"/>
    <w:qFormat/>
    <w:rPr>
      <w:rFonts w:ascii="Symbol" w:hAnsi="Symbol" w:cs="Symbol"/>
    </w:rPr>
  </w:style>
  <w:style w:type="character" w:styleId="WW8Num9z2">
    <w:name w:val="WW8Num9z2"/>
    <w:qFormat/>
    <w:rPr>
      <w:rFonts w:ascii="Wingdings" w:hAnsi="Wingdings" w:cs="Wingdings"/>
    </w:rPr>
  </w:style>
  <w:style w:type="character" w:styleId="WW8Num9z4">
    <w:name w:val="WW8Num9z4"/>
    <w:qFormat/>
    <w:rPr>
      <w:rFonts w:ascii="Courier New" w:hAnsi="Courier New" w:cs="Courier New"/>
    </w:rPr>
  </w:style>
  <w:style w:type="character" w:styleId="WW8Num10z0">
    <w:name w:val="WW8Num10z0"/>
    <w:qFormat/>
    <w:rPr>
      <w:rFonts w:ascii="Times New Roman" w:hAnsi="Times New Roman" w:cs="Times New Roman"/>
      <w:b/>
      <w:i w:val="false"/>
      <w:caps w:val="false"/>
      <w:smallCaps w:val="false"/>
      <w:strike w:val="false"/>
      <w:dstrike w:val="false"/>
      <w:color w:val="000000"/>
      <w:sz w:val="22"/>
      <w:u w:val="none"/>
    </w:rPr>
  </w:style>
  <w:style w:type="character" w:styleId="WW8Num10z2">
    <w:name w:val="WW8Num10z2"/>
    <w:qFormat/>
    <w:rPr>
      <w:rFonts w:ascii="Times New Roman" w:hAnsi="Times New Roman" w:cs="Times New Roman"/>
      <w:b w:val="false"/>
      <w:i w:val="false"/>
      <w:caps w:val="false"/>
      <w:smallCaps w:val="false"/>
      <w:strike w:val="false"/>
      <w:dstrike w:val="false"/>
      <w:color w:val="000000"/>
      <w:sz w:val="22"/>
      <w:u w:val="none"/>
    </w:rPr>
  </w:style>
  <w:style w:type="character" w:styleId="WW8Num11z0">
    <w:name w:val="WW8Num11z0"/>
    <w:qFormat/>
    <w:rPr>
      <w:rFonts w:ascii="Symbol" w:hAnsi="Symbol" w:cs="Symbol"/>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WW8Num12z0">
    <w:name w:val="WW8Num12z0"/>
    <w:qFormat/>
    <w:rPr>
      <w:rFonts w:ascii="Times New Roman" w:hAnsi="Times New Roman" w:cs="Times New Roman"/>
      <w:b/>
      <w:i w:val="false"/>
      <w:caps/>
      <w:strike w:val="false"/>
      <w:dstrike w:val="false"/>
      <w:color w:val="000000"/>
      <w:sz w:val="24"/>
      <w:u w:val="none"/>
    </w:rPr>
  </w:style>
  <w:style w:type="character" w:styleId="WW8Num12z1">
    <w:name w:val="WW8Num12z1"/>
    <w:qFormat/>
    <w:rPr>
      <w:rFonts w:ascii="Times New Roman" w:hAnsi="Times New Roman" w:cs="Times New Roman"/>
      <w:b/>
      <w:i w:val="false"/>
      <w:caps w:val="false"/>
      <w:smallCaps w:val="false"/>
      <w:strike w:val="false"/>
      <w:dstrike w:val="false"/>
      <w:color w:val="000000"/>
      <w:sz w:val="24"/>
      <w:u w:val="none"/>
    </w:rPr>
  </w:style>
  <w:style w:type="character" w:styleId="WW8Num12z2">
    <w:name w:val="WW8Num12z2"/>
    <w:qFormat/>
    <w:rPr>
      <w:rFonts w:ascii="Times New Roman" w:hAnsi="Times New Roman" w:cs="Times New Roman"/>
      <w:b w:val="false"/>
      <w:i w:val="false"/>
      <w:caps w:val="false"/>
      <w:smallCaps w:val="false"/>
      <w:strike w:val="false"/>
      <w:dstrike w:val="false"/>
      <w:color w:val="000000"/>
      <w:sz w:val="24"/>
      <w:u w:val="none"/>
    </w:rPr>
  </w:style>
  <w:style w:type="character" w:styleId="WW8Num13z0">
    <w:name w:val="WW8Num13z0"/>
    <w:qFormat/>
    <w:rPr>
      <w:rFonts w:ascii="Times New Roman" w:hAnsi="Times New Roman" w:cs="Times New Roman"/>
      <w:b/>
      <w:i w:val="false"/>
      <w:caps/>
      <w:strike w:val="false"/>
      <w:dstrike w:val="false"/>
      <w:color w:val="000000"/>
      <w:sz w:val="24"/>
      <w:u w:val="none"/>
    </w:rPr>
  </w:style>
  <w:style w:type="character" w:styleId="WW8Num13z1">
    <w:name w:val="WW8Num13z1"/>
    <w:qFormat/>
    <w:rPr>
      <w:rFonts w:ascii="Times New Roman" w:hAnsi="Times New Roman" w:cs="Times New Roman"/>
      <w:b/>
      <w:i w:val="false"/>
      <w:caps w:val="false"/>
      <w:smallCaps w:val="false"/>
      <w:strike w:val="false"/>
      <w:dstrike w:val="false"/>
      <w:color w:val="000000"/>
      <w:sz w:val="24"/>
      <w:u w:val="none"/>
    </w:rPr>
  </w:style>
  <w:style w:type="character" w:styleId="WW8Num13z2">
    <w:name w:val="WW8Num13z2"/>
    <w:qFormat/>
    <w:rPr>
      <w:rFonts w:ascii="Times New Roman" w:hAnsi="Times New Roman" w:cs="Times New Roman"/>
      <w:b w:val="false"/>
      <w:i w:val="false"/>
      <w:caps w:val="false"/>
      <w:smallCaps w:val="false"/>
      <w:strike w:val="false"/>
      <w:dstrike w:val="false"/>
      <w:color w:val="000000"/>
      <w:sz w:val="24"/>
      <w:u w:val="none"/>
    </w:rPr>
  </w:style>
  <w:style w:type="character" w:styleId="WW8Num14z0">
    <w:name w:val="WW8Num14z0"/>
    <w:qFormat/>
    <w:rPr>
      <w:rFonts w:ascii="Symbol" w:hAnsi="Symbol" w:cs="Symbol"/>
    </w:rPr>
  </w:style>
  <w:style w:type="character" w:styleId="WW8Num14z1">
    <w:name w:val="WW8Num14z1"/>
    <w:qFormat/>
    <w:rPr>
      <w:rFonts w:ascii="Courier New" w:hAnsi="Courier New" w:cs="Courier New"/>
    </w:rPr>
  </w:style>
  <w:style w:type="character" w:styleId="WW8Num14z2">
    <w:name w:val="WW8Num14z2"/>
    <w:qFormat/>
    <w:rPr>
      <w:rFonts w:ascii="Wingdings" w:hAnsi="Wingdings" w:cs="Wingdings"/>
    </w:rPr>
  </w:style>
  <w:style w:type="character" w:styleId="WW8Num15z0">
    <w:name w:val="WW8Num15z0"/>
    <w:qFormat/>
    <w:rPr>
      <w:rFonts w:ascii="Symbol" w:hAnsi="Symbol" w:cs="Symbol"/>
    </w:rPr>
  </w:style>
  <w:style w:type="character" w:styleId="WW8Num15z2">
    <w:name w:val="WW8Num15z2"/>
    <w:qFormat/>
    <w:rPr>
      <w:rFonts w:ascii="Wingdings" w:hAnsi="Wingdings" w:cs="Wingdings"/>
    </w:rPr>
  </w:style>
  <w:style w:type="character" w:styleId="WW8Num15z4">
    <w:name w:val="WW8Num15z4"/>
    <w:qFormat/>
    <w:rPr>
      <w:rFonts w:ascii="Courier New" w:hAnsi="Courier New" w:cs="Courier New"/>
    </w:rPr>
  </w:style>
  <w:style w:type="character" w:styleId="WW8Num16z0">
    <w:name w:val="WW8Num16z0"/>
    <w:qFormat/>
    <w:rPr>
      <w:rFonts w:ascii="Symbol" w:hAnsi="Symbol" w:cs="Symbol"/>
    </w:rPr>
  </w:style>
  <w:style w:type="character" w:styleId="WW8Num16z1">
    <w:name w:val="WW8Num16z1"/>
    <w:qFormat/>
    <w:rPr>
      <w:rFonts w:ascii="Courier New" w:hAnsi="Courier New" w:cs="Courier New"/>
    </w:rPr>
  </w:style>
  <w:style w:type="character" w:styleId="WW8Num16z2">
    <w:name w:val="WW8Num16z2"/>
    <w:qFormat/>
    <w:rPr>
      <w:rFonts w:ascii="Wingdings" w:hAnsi="Wingdings" w:cs="Wingdings"/>
    </w:rPr>
  </w:style>
  <w:style w:type="character" w:styleId="WW8Num17z0">
    <w:name w:val="WW8Num17z0"/>
    <w:qFormat/>
    <w:rPr>
      <w:rFonts w:ascii="Times New Roman" w:hAnsi="Times New Roman" w:cs="Times New Roman"/>
      <w:b w:val="false"/>
      <w:i w:val="false"/>
      <w:caps w:val="false"/>
      <w:smallCaps w:val="false"/>
      <w:strike w:val="false"/>
      <w:dstrike w:val="false"/>
      <w:color w:val="000000"/>
      <w:sz w:val="24"/>
      <w:u w:val="none"/>
    </w:rPr>
  </w:style>
  <w:style w:type="character" w:styleId="WW8Num18z0">
    <w:name w:val="WW8Num18z0"/>
    <w:qFormat/>
    <w:rPr>
      <w:rFonts w:ascii="Times New Roman" w:hAnsi="Times New Roman" w:cs="Times New Roman"/>
      <w:b/>
      <w:i w:val="false"/>
      <w:caps w:val="false"/>
      <w:smallCaps w:val="false"/>
      <w:strike w:val="false"/>
      <w:dstrike w:val="false"/>
      <w:color w:val="000000"/>
      <w:sz w:val="24"/>
      <w:u w:val="none"/>
    </w:rPr>
  </w:style>
  <w:style w:type="character" w:styleId="WW8Num18z1">
    <w:name w:val="WW8Num18z1"/>
    <w:qFormat/>
    <w:rPr>
      <w:rFonts w:ascii="Times New Roman" w:hAnsi="Times New Roman" w:cs="Times New Roman"/>
      <w:b w:val="false"/>
      <w:i w:val="false"/>
      <w:caps w:val="false"/>
      <w:smallCaps w:val="false"/>
      <w:strike w:val="false"/>
      <w:dstrike w:val="false"/>
      <w:color w:val="000000"/>
      <w:sz w:val="24"/>
      <w:u w:val="none"/>
    </w:rPr>
  </w:style>
  <w:style w:type="character" w:styleId="WW8Num19z0">
    <w:name w:val="WW8Num19z0"/>
    <w:qFormat/>
    <w:rPr>
      <w:rFonts w:ascii="Times New Roman" w:hAnsi="Times New Roman" w:cs="Times New Roman"/>
      <w:b/>
      <w:i w:val="false"/>
      <w:caps w:val="false"/>
      <w:smallCaps w:val="false"/>
      <w:color w:val="000000"/>
      <w:u w:val="none"/>
    </w:rPr>
  </w:style>
  <w:style w:type="character" w:styleId="WW8Num19z1">
    <w:name w:val="WW8Num19z1"/>
    <w:qFormat/>
    <w:rPr>
      <w:rFonts w:ascii="Times New Roman" w:hAnsi="Times New Roman" w:cs="Times New Roman"/>
      <w:b w:val="false"/>
      <w:i w:val="false"/>
      <w:caps w:val="false"/>
      <w:smallCaps w:val="false"/>
      <w:color w:val="000000"/>
      <w:u w:val="none"/>
    </w:rPr>
  </w:style>
  <w:style w:type="character" w:styleId="WW8Num20z0">
    <w:name w:val="WW8Num20z0"/>
    <w:qFormat/>
    <w:rPr/>
  </w:style>
  <w:style w:type="character" w:styleId="DefaultParagraphFont">
    <w:name w:val="Default Paragraph Font"/>
    <w:qFormat/>
    <w:rPr/>
  </w:style>
  <w:style w:type="character" w:styleId="PageNumber">
    <w:name w:val="page number"/>
    <w:basedOn w:val="DefaultParagraphFont"/>
    <w:rPr>
      <w:rFonts w:ascii="Times New Roman" w:hAnsi="Times New Roman" w:cs="Times New Roman"/>
      <w:sz w:val="16"/>
    </w:rPr>
  </w:style>
  <w:style w:type="character" w:styleId="FsHidden">
    <w:name w:val="FsHidden"/>
    <w:basedOn w:val="DefaultParagraphFont"/>
    <w:qFormat/>
    <w:rPr>
      <w:vanish/>
      <w:color w:val="FFFF00"/>
    </w:rPr>
  </w:style>
  <w:style w:type="character" w:styleId="FootnoteCharacters">
    <w:name w:val="Footnote Characters"/>
    <w:basedOn w:val="DefaultParagraphFont"/>
    <w:qFormat/>
    <w:rPr>
      <w:vertAlign w:val="superscript"/>
    </w:rPr>
  </w:style>
  <w:style w:type="character" w:styleId="Emphasis">
    <w:name w:val="Emphasis"/>
    <w:basedOn w:val="DefaultParagraphFont"/>
    <w:qFormat/>
    <w:rPr>
      <w:i/>
      <w:iCs/>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spacing w:before="240" w:after="240"/>
      <w:jc w:val="center"/>
      <w:outlineLvl w:val="0"/>
    </w:pPr>
    <w:rPr>
      <w:rFonts w:cs="Arial"/>
      <w:b/>
      <w:bCs/>
      <w:caps/>
      <w:kern w:val="2"/>
      <w:sz w:val="32"/>
      <w:szCs w:val="32"/>
      <w:lang w:val="en-US"/>
    </w:rPr>
  </w:style>
  <w:style w:type="paragraph" w:styleId="BodyText">
    <w:name w:val="Body Text"/>
    <w:basedOn w:val="Normal"/>
    <w:pPr>
      <w:spacing w:before="0" w:after="240"/>
      <w:jc w:val="both"/>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BodyText"/>
    <w:pPr>
      <w:tabs>
        <w:tab w:val="clear" w:pos="720"/>
        <w:tab w:val="right" w:pos="8280" w:leader="none"/>
      </w:tabs>
      <w:spacing w:before="0" w:after="0"/>
    </w:pPr>
    <w:rPr>
      <w:sz w:val="16"/>
    </w:rPr>
  </w:style>
  <w:style w:type="paragraph" w:styleId="Footer">
    <w:name w:val="footer"/>
    <w:basedOn w:val="BodyText"/>
    <w:pPr>
      <w:tabs>
        <w:tab w:val="clear" w:pos="720"/>
        <w:tab w:val="right" w:pos="8280" w:leader="none"/>
      </w:tabs>
      <w:spacing w:before="0" w:after="0"/>
    </w:pPr>
    <w:rPr>
      <w:sz w:val="16"/>
    </w:rPr>
  </w:style>
  <w:style w:type="paragraph" w:styleId="a">
    <w:name w:val="(a)"/>
    <w:basedOn w:val="BodyText"/>
    <w:qFormat/>
    <w:pPr>
      <w:ind w:hanging="720" w:start="720" w:end="0"/>
    </w:pPr>
    <w:rPr/>
  </w:style>
  <w:style w:type="paragraph" w:styleId="TOAHeading">
    <w:name w:val="TOA Heading"/>
    <w:basedOn w:val="Normal"/>
    <w:next w:val="Normal"/>
    <w:qFormat/>
    <w:pPr>
      <w:spacing w:before="120" w:after="0"/>
    </w:pPr>
    <w:rPr>
      <w:rFonts w:ascii="Arial" w:hAnsi="Arial" w:cs="Arial"/>
      <w:b/>
      <w:bCs/>
    </w:rPr>
  </w:style>
  <w:style w:type="paragraph" w:styleId="i">
    <w:name w:val="(i)"/>
    <w:basedOn w:val="BodyText"/>
    <w:qFormat/>
    <w:pPr>
      <w:tabs>
        <w:tab w:val="clear" w:pos="720"/>
        <w:tab w:val="right" w:pos="1296" w:leader="none"/>
      </w:tabs>
      <w:ind w:hanging="1440" w:start="1440" w:end="0"/>
    </w:pPr>
    <w:rPr/>
  </w:style>
  <w:style w:type="paragraph" w:styleId="A1">
    <w:name w:val="A"/>
    <w:basedOn w:val="BodyText"/>
    <w:qFormat/>
    <w:pPr>
      <w:ind w:hanging="432" w:start="1872" w:end="0"/>
    </w:pPr>
    <w:rPr/>
  </w:style>
  <w:style w:type="paragraph" w:styleId="Address">
    <w:name w:val="Address"/>
    <w:basedOn w:val="BodyText"/>
    <w:qFormat/>
    <w:pPr>
      <w:spacing w:lineRule="exact" w:line="280" w:before="0" w:after="720"/>
    </w:pPr>
    <w:rPr>
      <w:lang w:val="en-US" w:eastAsia="en-US"/>
    </w:rPr>
  </w:style>
  <w:style w:type="paragraph" w:styleId="FsTable">
    <w:name w:val="FsTable"/>
    <w:basedOn w:val="BodyText"/>
    <w:qFormat/>
    <w:pPr>
      <w:spacing w:before="120" w:after="120"/>
      <w:jc w:val="start"/>
    </w:pPr>
    <w:rPr/>
  </w:style>
  <w:style w:type="paragraph" w:styleId="FsTableHeading">
    <w:name w:val="FsTableHeading"/>
    <w:basedOn w:val="BodyText"/>
    <w:next w:val="FsTable"/>
    <w:qFormat/>
    <w:pPr>
      <w:keepNext w:val="true"/>
      <w:keepLines/>
      <w:spacing w:before="120" w:after="120"/>
      <w:jc w:val="start"/>
    </w:pPr>
    <w:rPr>
      <w:b/>
    </w:rPr>
  </w:style>
  <w:style w:type="paragraph" w:styleId="FWParties">
    <w:name w:val="FWParties"/>
    <w:basedOn w:val="BodyText"/>
    <w:qFormat/>
    <w:pPr>
      <w:numPr>
        <w:ilvl w:val="0"/>
        <w:numId w:val="8"/>
      </w:numPr>
    </w:pPr>
    <w:rPr/>
  </w:style>
  <w:style w:type="paragraph" w:styleId="FWRecital">
    <w:name w:val="FWRecital"/>
    <w:basedOn w:val="BodyText"/>
    <w:qFormat/>
    <w:pPr>
      <w:numPr>
        <w:ilvl w:val="0"/>
        <w:numId w:val="15"/>
      </w:numPr>
      <w:tabs>
        <w:tab w:val="left" w:pos="720" w:leader="none"/>
      </w:tabs>
    </w:pPr>
    <w:rPr/>
  </w:style>
  <w:style w:type="paragraph" w:styleId="Index1">
    <w:name w:val="index 1"/>
    <w:basedOn w:val="Normal"/>
    <w:next w:val="Normal"/>
    <w:pPr>
      <w:ind w:hanging="240" w:start="240" w:end="0"/>
    </w:pPr>
    <w:rPr/>
  </w:style>
  <w:style w:type="paragraph" w:styleId="IndexHeading">
    <w:name w:val="index heading"/>
    <w:basedOn w:val="Normal"/>
    <w:next w:val="Index1"/>
    <w:pPr>
      <w:spacing w:before="0" w:after="480"/>
      <w:jc w:val="center"/>
    </w:pPr>
    <w:rPr>
      <w:b/>
      <w:caps/>
    </w:rPr>
  </w:style>
  <w:style w:type="paragraph" w:styleId="IndexHeading2">
    <w:name w:val="Index Heading 2"/>
    <w:basedOn w:val="IndexHeading"/>
    <w:qFormat/>
    <w:pPr>
      <w:tabs>
        <w:tab w:val="clear" w:pos="720"/>
        <w:tab w:val="right" w:pos="8280" w:leader="none"/>
      </w:tabs>
      <w:jc w:val="start"/>
    </w:pPr>
    <w:rPr/>
  </w:style>
  <w:style w:type="paragraph" w:styleId="MarginalNote">
    <w:name w:val="Marginal Note"/>
    <w:basedOn w:val="BodyText"/>
    <w:next w:val="BodyText"/>
    <w:qFormat/>
    <w:pPr>
      <w:keepNext w:val="true"/>
      <w:keepLines/>
      <w:spacing w:lineRule="exact" w:line="180" w:before="40" w:after="240"/>
    </w:pPr>
    <w:rPr>
      <w:b/>
      <w:sz w:val="16"/>
    </w:rPr>
  </w:style>
  <w:style w:type="paragraph" w:styleId="Salutation">
    <w:name w:val="Salutation"/>
    <w:basedOn w:val="BodyText"/>
    <w:next w:val="Normal"/>
    <w:qFormat/>
    <w:pPr/>
    <w:rPr/>
  </w:style>
  <w:style w:type="paragraph" w:styleId="Sealing">
    <w:name w:val="Sealing"/>
    <w:basedOn w:val="BodyText"/>
    <w:qFormat/>
    <w:pPr>
      <w:keepLines/>
      <w:tabs>
        <w:tab w:val="clear" w:pos="720"/>
        <w:tab w:val="left" w:pos="1728" w:leader="none"/>
        <w:tab w:val="left" w:pos="4320" w:leader="none"/>
      </w:tabs>
      <w:spacing w:before="0" w:after="480"/>
    </w:pPr>
    <w:rPr/>
  </w:style>
  <w:style w:type="paragraph" w:styleId="TOC1">
    <w:name w:val="toc 1"/>
    <w:basedOn w:val="BodyText"/>
    <w:next w:val="BodyText"/>
    <w:pPr>
      <w:keepLines/>
      <w:tabs>
        <w:tab w:val="clear" w:pos="720"/>
        <w:tab w:val="right" w:pos="8309" w:leader="dot"/>
      </w:tabs>
      <w:spacing w:before="120" w:after="0"/>
      <w:ind w:hanging="720" w:start="720" w:end="720"/>
      <w:jc w:val="start"/>
    </w:pPr>
    <w:rPr>
      <w:caps/>
    </w:rPr>
  </w:style>
  <w:style w:type="paragraph" w:styleId="TOC2">
    <w:name w:val="toc 2"/>
    <w:basedOn w:val="BodyText"/>
    <w:next w:val="BodyText"/>
    <w:pPr>
      <w:tabs>
        <w:tab w:val="left" w:pos="357" w:leader="none"/>
        <w:tab w:val="left" w:pos="720" w:leader="none"/>
        <w:tab w:val="right" w:pos="8307" w:leader="dot"/>
      </w:tabs>
      <w:spacing w:before="120" w:after="0"/>
      <w:ind w:hanging="360" w:start="720" w:end="720"/>
      <w:jc w:val="start"/>
    </w:pPr>
    <w:rPr>
      <w:smallCaps/>
      <w:lang w:val="en-US" w:eastAsia="en-US"/>
    </w:rPr>
  </w:style>
  <w:style w:type="paragraph" w:styleId="TOC3">
    <w:name w:val="toc 3"/>
    <w:basedOn w:val="BodyText"/>
    <w:next w:val="BodyText"/>
    <w:pPr>
      <w:tabs>
        <w:tab w:val="clear" w:pos="720"/>
        <w:tab w:val="right" w:pos="8307" w:leader="dot"/>
      </w:tabs>
      <w:spacing w:before="0" w:after="0"/>
      <w:ind w:hanging="0" w:start="720" w:end="720"/>
    </w:pPr>
    <w:rPr/>
  </w:style>
  <w:style w:type="paragraph" w:styleId="TOC4">
    <w:name w:val="toc 4"/>
    <w:basedOn w:val="BodyText"/>
    <w:next w:val="BodyText"/>
    <w:pPr>
      <w:tabs>
        <w:tab w:val="clear" w:pos="720"/>
        <w:tab w:val="right" w:pos="8309" w:leader="dot"/>
      </w:tabs>
      <w:spacing w:before="0" w:after="0"/>
      <w:ind w:hanging="0" w:start="1440" w:end="720"/>
    </w:pPr>
    <w:rPr/>
  </w:style>
  <w:style w:type="paragraph" w:styleId="TOC5">
    <w:name w:val="toc 5"/>
    <w:basedOn w:val="BodyText"/>
    <w:pPr>
      <w:tabs>
        <w:tab w:val="clear" w:pos="720"/>
        <w:tab w:val="right" w:pos="8309" w:leader="dot"/>
      </w:tabs>
      <w:spacing w:before="120" w:after="120"/>
      <w:ind w:hanging="720" w:start="720" w:end="720"/>
    </w:pPr>
    <w:rPr>
      <w:caps/>
    </w:rPr>
  </w:style>
  <w:style w:type="paragraph" w:styleId="TOC6">
    <w:name w:val="toc 6"/>
    <w:basedOn w:val="BodyText"/>
    <w:pPr>
      <w:tabs>
        <w:tab w:val="clear" w:pos="720"/>
        <w:tab w:val="right" w:pos="8309" w:leader="dot"/>
      </w:tabs>
      <w:ind w:hanging="0" w:start="720" w:end="720"/>
    </w:pPr>
    <w:rPr/>
  </w:style>
  <w:style w:type="paragraph" w:styleId="TOC7">
    <w:name w:val="toc 7"/>
    <w:basedOn w:val="BodyText"/>
    <w:pPr>
      <w:tabs>
        <w:tab w:val="clear" w:pos="720"/>
        <w:tab w:val="right" w:pos="8309" w:leader="dot"/>
      </w:tabs>
      <w:ind w:hanging="0" w:start="1080" w:end="720"/>
    </w:pPr>
    <w:rPr>
      <w:i/>
    </w:rPr>
  </w:style>
  <w:style w:type="paragraph" w:styleId="TOC8">
    <w:name w:val="toc 8"/>
    <w:basedOn w:val="BodyText"/>
    <w:pPr>
      <w:tabs>
        <w:tab w:val="clear" w:pos="720"/>
        <w:tab w:val="right" w:pos="8309" w:leader="dot"/>
      </w:tabs>
      <w:ind w:hanging="0" w:start="1440" w:end="720"/>
    </w:pPr>
    <w:rPr>
      <w:i/>
    </w:rPr>
  </w:style>
  <w:style w:type="paragraph" w:styleId="TOC9">
    <w:name w:val="toc 9"/>
    <w:basedOn w:val="BodyText"/>
    <w:next w:val="Normal"/>
    <w:pPr>
      <w:tabs>
        <w:tab w:val="clear" w:pos="720"/>
        <w:tab w:val="right" w:pos="8309" w:leader="dot"/>
      </w:tabs>
      <w:ind w:hanging="0" w:start="1440" w:end="0"/>
    </w:pPr>
    <w:rPr>
      <w:i/>
    </w:rPr>
  </w:style>
  <w:style w:type="paragraph" w:styleId="FWBCont1">
    <w:name w:val="FWB Cont 1"/>
    <w:basedOn w:val="Normal"/>
    <w:qFormat/>
    <w:pPr>
      <w:spacing w:before="0" w:after="240"/>
      <w:jc w:val="both"/>
    </w:pPr>
    <w:rPr>
      <w:szCs w:val="20"/>
    </w:rPr>
  </w:style>
  <w:style w:type="paragraph" w:styleId="FWBCont2">
    <w:name w:val="FWB Cont 2"/>
    <w:basedOn w:val="FWBCont1"/>
    <w:qFormat/>
    <w:pPr/>
    <w:rPr/>
  </w:style>
  <w:style w:type="paragraph" w:styleId="FWBCont3">
    <w:name w:val="FWB Cont 3"/>
    <w:basedOn w:val="FWBCont2"/>
    <w:qFormat/>
    <w:pPr>
      <w:ind w:hanging="0" w:start="720" w:end="0"/>
    </w:pPr>
    <w:rPr/>
  </w:style>
  <w:style w:type="paragraph" w:styleId="FWBCont4">
    <w:name w:val="FWB Cont 4"/>
    <w:basedOn w:val="FWBCont3"/>
    <w:qFormat/>
    <w:pPr>
      <w:ind w:hanging="0" w:start="1440" w:end="0"/>
    </w:pPr>
    <w:rPr/>
  </w:style>
  <w:style w:type="paragraph" w:styleId="FWBCont5">
    <w:name w:val="FWB Cont 5"/>
    <w:basedOn w:val="FWBCont4"/>
    <w:qFormat/>
    <w:pPr>
      <w:ind w:hanging="0" w:start="2160" w:end="0"/>
    </w:pPr>
    <w:rPr/>
  </w:style>
  <w:style w:type="paragraph" w:styleId="FWBCont6">
    <w:name w:val="FWB Cont 6"/>
    <w:basedOn w:val="FWBCont5"/>
    <w:qFormat/>
    <w:pPr>
      <w:ind w:hanging="0" w:start="2880" w:end="0"/>
    </w:pPr>
    <w:rPr/>
  </w:style>
  <w:style w:type="paragraph" w:styleId="FWBCont7">
    <w:name w:val="FWB Cont 7"/>
    <w:basedOn w:val="FWBCont6"/>
    <w:qFormat/>
    <w:pPr>
      <w:ind w:hanging="0" w:start="3600" w:end="0"/>
    </w:pPr>
    <w:rPr/>
  </w:style>
  <w:style w:type="paragraph" w:styleId="FWBCont8">
    <w:name w:val="FWB Cont 8"/>
    <w:basedOn w:val="FWBCont7"/>
    <w:qFormat/>
    <w:pPr>
      <w:ind w:hanging="0" w:start="4321" w:end="0"/>
    </w:pPr>
    <w:rPr/>
  </w:style>
  <w:style w:type="paragraph" w:styleId="FWBL1">
    <w:name w:val="FWB_L1"/>
    <w:basedOn w:val="Normal"/>
    <w:next w:val="FWBL2"/>
    <w:qFormat/>
    <w:pPr>
      <w:keepNext w:val="true"/>
      <w:keepLines/>
      <w:numPr>
        <w:ilvl w:val="0"/>
        <w:numId w:val="14"/>
      </w:numPr>
      <w:spacing w:before="0" w:after="240"/>
      <w:outlineLvl w:val="0"/>
    </w:pPr>
    <w:rPr>
      <w:b/>
      <w:smallCaps/>
      <w:szCs w:val="20"/>
    </w:rPr>
  </w:style>
  <w:style w:type="paragraph" w:styleId="FWBL2">
    <w:name w:val="FWB_L2"/>
    <w:basedOn w:val="FWBL1"/>
    <w:qFormat/>
    <w:pPr>
      <w:keepNext w:val="false"/>
      <w:keepLines w:val="false"/>
      <w:numPr>
        <w:ilvl w:val="0"/>
        <w:numId w:val="14"/>
      </w:numPr>
      <w:jc w:val="both"/>
      <w:outlineLvl w:val="9"/>
    </w:pPr>
    <w:rPr>
      <w:b w:val="false"/>
      <w:caps w:val="false"/>
      <w:smallCaps w:val="false"/>
    </w:rPr>
  </w:style>
  <w:style w:type="paragraph" w:styleId="FWBL3">
    <w:name w:val="FWB_L3"/>
    <w:basedOn w:val="FWBL2"/>
    <w:qFormat/>
    <w:pPr>
      <w:numPr>
        <w:ilvl w:val="0"/>
        <w:numId w:val="14"/>
      </w:numPr>
    </w:pPr>
    <w:rPr/>
  </w:style>
  <w:style w:type="paragraph" w:styleId="FWBL4">
    <w:name w:val="FWB_L4"/>
    <w:basedOn w:val="FWBL3"/>
    <w:qFormat/>
    <w:pPr>
      <w:numPr>
        <w:ilvl w:val="0"/>
        <w:numId w:val="14"/>
      </w:numPr>
    </w:pPr>
    <w:rPr/>
  </w:style>
  <w:style w:type="paragraph" w:styleId="FWBL5">
    <w:name w:val="FWB_L5"/>
    <w:basedOn w:val="FWBL4"/>
    <w:qFormat/>
    <w:pPr>
      <w:numPr>
        <w:ilvl w:val="0"/>
        <w:numId w:val="14"/>
      </w:numPr>
    </w:pPr>
    <w:rPr/>
  </w:style>
  <w:style w:type="paragraph" w:styleId="FWBL6">
    <w:name w:val="FWB_L6"/>
    <w:basedOn w:val="FWBL5"/>
    <w:qFormat/>
    <w:pPr>
      <w:numPr>
        <w:ilvl w:val="0"/>
        <w:numId w:val="14"/>
      </w:numPr>
    </w:pPr>
    <w:rPr/>
  </w:style>
  <w:style w:type="paragraph" w:styleId="FWBL7">
    <w:name w:val="FWB_L7"/>
    <w:basedOn w:val="FWBL6"/>
    <w:qFormat/>
    <w:pPr>
      <w:numPr>
        <w:ilvl w:val="0"/>
        <w:numId w:val="14"/>
      </w:numPr>
    </w:pPr>
    <w:rPr/>
  </w:style>
  <w:style w:type="paragraph" w:styleId="FWBL8">
    <w:name w:val="FWB_L8"/>
    <w:basedOn w:val="FWBL7"/>
    <w:qFormat/>
    <w:pPr>
      <w:numPr>
        <w:ilvl w:val="0"/>
        <w:numId w:val="14"/>
      </w:numPr>
    </w:pPr>
    <w:rPr/>
  </w:style>
  <w:style w:type="paragraph" w:styleId="ParaHeading">
    <w:name w:val="ParaHeading"/>
    <w:basedOn w:val="BodyText"/>
    <w:next w:val="BodyText"/>
    <w:qFormat/>
    <w:pPr>
      <w:keepNext w:val="true"/>
      <w:keepLines/>
    </w:pPr>
    <w:rPr>
      <w:b/>
    </w:rPr>
  </w:style>
  <w:style w:type="paragraph" w:styleId="FootnoteText">
    <w:name w:val="footnote text"/>
    <w:basedOn w:val="BodyText"/>
    <w:pPr>
      <w:spacing w:before="0" w:after="120"/>
      <w:ind w:hanging="357" w:start="357" w:end="0"/>
    </w:pPr>
    <w:rPr>
      <w:sz w:val="20"/>
      <w:szCs w:val="20"/>
    </w:rPr>
  </w:style>
  <w:style w:type="paragraph" w:styleId="FootNoteSeparator">
    <w:name w:val="FootNote Separator"/>
    <w:basedOn w:val="Normal"/>
    <w:qFormat/>
    <w:pPr>
      <w:pBdr>
        <w:top w:val="single" w:sz="4" w:space="1" w:color="000000"/>
      </w:pBdr>
    </w:pPr>
    <w:rPr/>
  </w:style>
  <w:style w:type="paragraph" w:styleId="ListBullet">
    <w:name w:val="List Bullet"/>
    <w:basedOn w:val="Normal"/>
    <w:qFormat/>
    <w:pPr>
      <w:numPr>
        <w:ilvl w:val="0"/>
        <w:numId w:val="5"/>
      </w:numPr>
    </w:pPr>
    <w:rPr>
      <w:lang w:val="nl-NL"/>
    </w:rPr>
  </w:style>
  <w:style w:type="paragraph" w:styleId="ListBullet2">
    <w:name w:val="List Bullet 2"/>
    <w:basedOn w:val="Normal"/>
    <w:qFormat/>
    <w:pPr>
      <w:numPr>
        <w:ilvl w:val="0"/>
        <w:numId w:val="4"/>
      </w:numPr>
    </w:pPr>
    <w:rPr>
      <w:lang w:val="nl-NL"/>
    </w:rPr>
  </w:style>
  <w:style w:type="paragraph" w:styleId="ListBullet3">
    <w:name w:val="List Bullet 3"/>
    <w:basedOn w:val="Normal"/>
    <w:qFormat/>
    <w:pPr>
      <w:numPr>
        <w:ilvl w:val="0"/>
        <w:numId w:val="16"/>
      </w:numPr>
    </w:pPr>
    <w:rPr>
      <w:lang w:val="nl-NL"/>
    </w:rPr>
  </w:style>
  <w:style w:type="paragraph" w:styleId="ListBullet4">
    <w:name w:val="List Bullet 4"/>
    <w:basedOn w:val="Normal"/>
    <w:qFormat/>
    <w:pPr>
      <w:numPr>
        <w:ilvl w:val="0"/>
        <w:numId w:val="3"/>
      </w:numPr>
    </w:pPr>
    <w:rPr>
      <w:lang w:val="nl-NL"/>
    </w:rPr>
  </w:style>
  <w:style w:type="paragraph" w:styleId="ListBullet5">
    <w:name w:val="List Bullet 5"/>
    <w:basedOn w:val="Normal"/>
    <w:qFormat/>
    <w:pPr>
      <w:numPr>
        <w:ilvl w:val="0"/>
        <w:numId w:val="2"/>
      </w:numPr>
    </w:pPr>
    <w:rPr>
      <w:lang w:val="nl-NL"/>
    </w:rPr>
  </w:style>
  <w:style w:type="paragraph" w:styleId="FWAnnexL1">
    <w:name w:val="FWAnnex_L1"/>
    <w:basedOn w:val="Normal"/>
    <w:next w:val="FWAnnexL2"/>
    <w:qFormat/>
    <w:pPr>
      <w:keepNext w:val="true"/>
      <w:keepLines/>
      <w:numPr>
        <w:ilvl w:val="0"/>
        <w:numId w:val="16"/>
      </w:numPr>
      <w:tabs>
        <w:tab w:val="left" w:pos="720" w:leader="none"/>
      </w:tabs>
      <w:spacing w:lineRule="auto" w:line="480" w:before="0" w:after="240"/>
      <w:jc w:val="center"/>
      <w:outlineLvl w:val="0"/>
    </w:pPr>
    <w:rPr>
      <w:b/>
      <w:caps/>
      <w:szCs w:val="20"/>
      <w:lang w:val="nl-NL"/>
    </w:rPr>
  </w:style>
  <w:style w:type="paragraph" w:styleId="FWAnnexL2">
    <w:name w:val="FWAnnex_L2"/>
    <w:basedOn w:val="FWAnnexL1"/>
    <w:next w:val="FWAnnexL4"/>
    <w:qFormat/>
    <w:pPr>
      <w:numPr>
        <w:ilvl w:val="0"/>
        <w:numId w:val="16"/>
      </w:numPr>
      <w:spacing w:lineRule="auto" w:line="240"/>
      <w:jc w:val="start"/>
      <w:outlineLvl w:val="1"/>
    </w:pPr>
    <w:rPr>
      <w:caps w:val="false"/>
      <w:smallCaps w:val="false"/>
    </w:rPr>
  </w:style>
  <w:style w:type="paragraph" w:styleId="FWAnnexL4">
    <w:name w:val="FWAnnex_L4"/>
    <w:basedOn w:val="Normal"/>
    <w:qFormat/>
    <w:pPr/>
    <w:rPr>
      <w:lang w:val="nl-NL"/>
    </w:rPr>
  </w:style>
  <w:style w:type="paragraph" w:styleId="BalloonText">
    <w:name w:val="Balloon Text"/>
    <w:basedOn w:val="Normal"/>
    <w:qFormat/>
    <w:pPr/>
    <w:rPr>
      <w:rFonts w:ascii="Tahoma" w:hAnsi="Tahoma" w:cs="Tahoma"/>
      <w:sz w:val="16"/>
      <w:szCs w:val="16"/>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header" Target="header4.xml"/><Relationship Id="rId9" Type="http://schemas.openxmlformats.org/officeDocument/2006/relationships/header" Target="header5.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wmf"/></Relationships>
</file>

<file path=word/_rels/header2.xml.rels><?xml version='1.0' encoding='UTF-8' standalone='yes'?>
<Relationships xmlns="http://schemas.openxmlformats.org/package/2006/relationships"><Relationship Id="rId1" Type="http://schemas.openxmlformats.org/officeDocument/2006/relationships/image" Target="media/image1.wmf"/></Relationships>
</file>

<file path=word/_rels/header4.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LON-FRE-ENG-DOC.DOT</Template>
  <TotalTime>5</TotalTime>
  <Application>LibreOffice/25.2.2.2$MacOSX_AARCH64 LibreOffice_project/7370d4be9e3cf6031a51beef54ff3bda878e3fac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2006-12-12T13:12:00Z</dcterms:created>
  <dc:creator>SEELTM</dc:creator>
  <dc:description/>
  <cp:keywords/>
  <dc:language>en-US</dc:language>
  <cp:lastModifiedBy>Stuart Johnson</cp:lastModifiedBy>
  <cp:lastPrinted>2006-03-06T09:31:00Z</cp:lastPrinted>
  <dcterms:modified xsi:type="dcterms:W3CDTF">2006-12-12T13:17:00Z</dcterms:modified>
  <cp:revision>6</cp:revision>
  <dc:subject/>
  <dc:title>English Document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emplateVersion">
    <vt:lpwstr>1.1.4</vt:lpwstr>
  </property>
  <property fmtid="{D5CDD505-2E9C-101B-9397-08002B2CF9AE}" pid="3" name="_AdHocReviewCycleID">
    <vt:r8>512725914</vt:r8>
  </property>
  <property fmtid="{D5CDD505-2E9C-101B-9397-08002B2CF9AE}" pid="4" name="_AuthorEmail">
    <vt:lpwstr>ilse.persoons@ing.be</vt:lpwstr>
  </property>
  <property fmtid="{D5CDD505-2E9C-101B-9397-08002B2CF9AE}" pid="5" name="_AuthorEmailDisplayName">
    <vt:lpwstr>Persoons, I. (Ilse)</vt:lpwstr>
  </property>
  <property fmtid="{D5CDD505-2E9C-101B-9397-08002B2CF9AE}" pid="6" name="_EmailSubject">
    <vt:lpwstr>Exhibit 34 Benchmarking</vt:lpwstr>
  </property>
  <property fmtid="{D5CDD505-2E9C-101B-9397-08002B2CF9AE}" pid="7" name="_PreviousAdHocReviewCycleID">
    <vt:r8>1701566831</vt:r8>
  </property>
  <property fmtid="{D5CDD505-2E9C-101B-9397-08002B2CF9AE}" pid="8" name="_ReviewingToolsShownOnce">
    <vt:lpwstr/>
  </property>
  <property fmtid="{D5CDD505-2E9C-101B-9397-08002B2CF9AE}" pid="9" name="authClass">
    <vt:lpwstr>Fee Earner</vt:lpwstr>
  </property>
  <property fmtid="{D5CDD505-2E9C-101B-9397-08002B2CF9AE}" pid="10" name="authCorresp">
    <vt:lpwstr>Mark Parsons</vt:lpwstr>
  </property>
  <property fmtid="{D5CDD505-2E9C-101B-9397-08002B2CF9AE}" pid="11" name="authEmail">
    <vt:lpwstr>mark.parsons@freshfields.com</vt:lpwstr>
  </property>
  <property fmtid="{D5CDD505-2E9C-101B-9397-08002B2CF9AE}" pid="12" name="authExtension">
    <vt:lpwstr>4651</vt:lpwstr>
  </property>
  <property fmtid="{D5CDD505-2E9C-101B-9397-08002B2CF9AE}" pid="13" name="authFax">
    <vt:lpwstr>44 20 7108 4651</vt:lpwstr>
  </property>
  <property fmtid="{D5CDD505-2E9C-101B-9397-08002B2CF9AE}" pid="14" name="authId">
    <vt:lpwstr>MXPARSONS</vt:lpwstr>
  </property>
  <property fmtid="{D5CDD505-2E9C-101B-9397-08002B2CF9AE}" pid="15" name="authInitials">
    <vt:lpwstr>MP</vt:lpwstr>
  </property>
  <property fmtid="{D5CDD505-2E9C-101B-9397-08002B2CF9AE}" pid="16" name="authLocation">
    <vt:lpwstr>London</vt:lpwstr>
  </property>
  <property fmtid="{D5CDD505-2E9C-101B-9397-08002B2CF9AE}" pid="17" name="authName">
    <vt:lpwstr>Parsons, Mark</vt:lpwstr>
  </property>
  <property fmtid="{D5CDD505-2E9C-101B-9397-08002B2CF9AE}" pid="18" name="authPhone">
    <vt:lpwstr>44 20 7716 4651</vt:lpwstr>
  </property>
  <property fmtid="{D5CDD505-2E9C-101B-9397-08002B2CF9AE}" pid="19" name="cpClientMatter">
    <vt:lpwstr>80750-00002</vt:lpwstr>
  </property>
  <property fmtid="{D5CDD505-2E9C-101B-9397-08002B2CF9AE}" pid="20" name="cpCombinedRef">
    <vt:lpwstr>80750-00002 AMIP:48156.1</vt:lpwstr>
  </property>
  <property fmtid="{D5CDD505-2E9C-101B-9397-08002B2CF9AE}" pid="21" name="cpDate">
    <vt:lpwstr>2 March 2006</vt:lpwstr>
  </property>
  <property fmtid="{D5CDD505-2E9C-101B-9397-08002B2CF9AE}" pid="22" name="cpDocRef">
    <vt:lpwstr>AMIP:48156.1</vt:lpwstr>
  </property>
  <property fmtid="{D5CDD505-2E9C-101B-9397-08002B2CF9AE}" pid="23" name="docClass">
    <vt:lpwstr>-NONE-</vt:lpwstr>
  </property>
  <property fmtid="{D5CDD505-2E9C-101B-9397-08002B2CF9AE}" pid="24" name="docCliMat">
    <vt:lpwstr>104955-0076</vt:lpwstr>
  </property>
  <property fmtid="{D5CDD505-2E9C-101B-9397-08002B2CF9AE}" pid="25" name="docClient">
    <vt:lpwstr>104955</vt:lpwstr>
  </property>
  <property fmtid="{D5CDD505-2E9C-101B-9397-08002B2CF9AE}" pid="26" name="docDesc">
    <vt:lpwstr>ING/SWS - 14.03 Escrow Agreement</vt:lpwstr>
  </property>
  <property fmtid="{D5CDD505-2E9C-101B-9397-08002B2CF9AE}" pid="27" name="docGlobPracGroup">
    <vt:lpwstr/>
  </property>
  <property fmtid="{D5CDD505-2E9C-101B-9397-08002B2CF9AE}" pid="28" name="docGlobSectGroup">
    <vt:lpwstr/>
  </property>
  <property fmtid="{D5CDD505-2E9C-101B-9397-08002B2CF9AE}" pid="29" name="docId">
    <vt:lpwstr>LC1459461</vt:lpwstr>
  </property>
  <property fmtid="{D5CDD505-2E9C-101B-9397-08002B2CF9AE}" pid="30" name="docIdVer">
    <vt:lpwstr>LC1459461/1</vt:lpwstr>
  </property>
  <property fmtid="{D5CDD505-2E9C-101B-9397-08002B2CF9AE}" pid="31" name="docLanguage">
    <vt:lpwstr>EN(UK)</vt:lpwstr>
  </property>
  <property fmtid="{D5CDD505-2E9C-101B-9397-08002B2CF9AE}" pid="32" name="docMatter">
    <vt:lpwstr>0076</vt:lpwstr>
  </property>
  <property fmtid="{D5CDD505-2E9C-101B-9397-08002B2CF9AE}" pid="33" name="docOrganisation">
    <vt:lpwstr/>
  </property>
  <property fmtid="{D5CDD505-2E9C-101B-9397-08002B2CF9AE}" pid="34" name="docParams">
    <vt:lpwstr/>
  </property>
  <property fmtid="{D5CDD505-2E9C-101B-9397-08002B2CF9AE}" pid="35" name="docSubClass">
    <vt:lpwstr/>
  </property>
  <property fmtid="{D5CDD505-2E9C-101B-9397-08002B2CF9AE}" pid="36" name="docTemplate">
    <vt:lpwstr>lon-fre-eng-doc.dot</vt:lpwstr>
  </property>
  <property fmtid="{D5CDD505-2E9C-101B-9397-08002B2CF9AE}" pid="37" name="docType">
    <vt:lpwstr>Standard A4</vt:lpwstr>
  </property>
  <property fmtid="{D5CDD505-2E9C-101B-9397-08002B2CF9AE}" pid="38" name="docVersion">
    <vt:lpwstr>1</vt:lpwstr>
  </property>
  <property fmtid="{D5CDD505-2E9C-101B-9397-08002B2CF9AE}" pid="39" name="operClass">
    <vt:lpwstr>Fee Earner</vt:lpwstr>
  </property>
  <property fmtid="{D5CDD505-2E9C-101B-9397-08002B2CF9AE}" pid="40" name="operCorresp">
    <vt:lpwstr>Mark Parsons</vt:lpwstr>
  </property>
  <property fmtid="{D5CDD505-2E9C-101B-9397-08002B2CF9AE}" pid="41" name="operEmail">
    <vt:lpwstr>mark.parsons@freshfields.com</vt:lpwstr>
  </property>
  <property fmtid="{D5CDD505-2E9C-101B-9397-08002B2CF9AE}" pid="42" name="operExtension">
    <vt:lpwstr>4651</vt:lpwstr>
  </property>
  <property fmtid="{D5CDD505-2E9C-101B-9397-08002B2CF9AE}" pid="43" name="operFax">
    <vt:lpwstr>44 20 7108 4651</vt:lpwstr>
  </property>
  <property fmtid="{D5CDD505-2E9C-101B-9397-08002B2CF9AE}" pid="44" name="operId">
    <vt:lpwstr>MXPARSONS</vt:lpwstr>
  </property>
  <property fmtid="{D5CDD505-2E9C-101B-9397-08002B2CF9AE}" pid="45" name="operInitials">
    <vt:lpwstr>MP</vt:lpwstr>
  </property>
  <property fmtid="{D5CDD505-2E9C-101B-9397-08002B2CF9AE}" pid="46" name="operLocation">
    <vt:lpwstr>London</vt:lpwstr>
  </property>
  <property fmtid="{D5CDD505-2E9C-101B-9397-08002B2CF9AE}" pid="47" name="operName">
    <vt:lpwstr>Parsons, Mark</vt:lpwstr>
  </property>
  <property fmtid="{D5CDD505-2E9C-101B-9397-08002B2CF9AE}" pid="48" name="operPhone">
    <vt:lpwstr>44 20 7716 4651</vt:lpwstr>
  </property>
</Properties>
</file>