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exhibit 8</w:t>
      </w:r>
    </w:p>
    <w:p>
      <w:pPr>
        <w:pStyle w:val="Title"/>
        <w:rPr>
          <w:lang w:val="en-GB"/>
        </w:rPr>
      </w:pPr>
      <w:r>
        <w:rPr>
          <w:lang w:val="en-GB"/>
        </w:rPr>
      </w:r>
    </w:p>
    <w:p>
      <w:pPr>
        <w:pStyle w:val="Title"/>
        <w:rPr>
          <w:lang w:val="en-GB"/>
        </w:rPr>
      </w:pPr>
      <w:r>
        <w:rPr>
          <w:lang w:val="en-GB"/>
        </w:rPr>
        <w:t>Technical Architecture &amp; Standards</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lang w:val="en-GB"/>
        </w:rPr>
      </w:pPr>
      <w:r>
        <w:rPr>
          <w:lang w:val="en-GB"/>
        </w:rPr>
      </w:r>
    </w:p>
    <w:p>
      <w:pPr>
        <w:pStyle w:val="Normal"/>
        <w:rPr>
          <w:lang w:val="en-GB"/>
        </w:rPr>
      </w:pPr>
      <w:r>
        <w:rPr>
          <w:lang w:val="en-GB"/>
        </w:rPr>
      </w:r>
    </w:p>
    <w:p>
      <w:pPr>
        <w:pStyle w:val="Title"/>
        <w:rPr/>
      </w:pPr>
      <w:r>
        <w:rPr/>
        <w:t>Table of Contents</w:t>
      </w:r>
    </w:p>
    <w:sdt>
      <w:sdtPr>
        <w:docPartObj>
          <w:docPartGallery w:val="Table of Contents"/>
          <w:docPartUnique w:val="true"/>
        </w:docPartObj>
      </w:sdtPr>
      <w:sdtContent>
        <w:p>
          <w:pPr>
            <w:pStyle w:val="TOC1"/>
            <w:tabs>
              <w:tab w:val="clear" w:pos="720"/>
              <w:tab w:val="right" w:pos="8441" w:leader="dot"/>
            </w:tabs>
            <w:rPr>
              <w:sz w:val="18"/>
              <w:szCs w:val="18"/>
              <w:lang w:val="en-US" w:eastAsia="en-US"/>
            </w:rPr>
          </w:pPr>
          <w:r>
            <w:fldChar w:fldCharType="begin"/>
          </w:r>
          <w:r>
            <w:rPr>
              <w:sz w:val="18"/>
              <w:b w:val="false"/>
              <w:szCs w:val="18"/>
              <w:lang w:val="en-GB" w:eastAsia="en-US"/>
            </w:rPr>
            <w:instrText xml:space="preserve"> TOC \t "Heading 1,1" </w:instrText>
          </w:r>
          <w:r>
            <w:rPr>
              <w:sz w:val="18"/>
              <w:b w:val="false"/>
              <w:szCs w:val="18"/>
              <w:lang w:val="en-GB" w:eastAsia="en-US"/>
            </w:rPr>
            <w:fldChar w:fldCharType="separate"/>
          </w:r>
          <w:r>
            <w:rPr>
              <w:b w:val="false"/>
              <w:sz w:val="18"/>
              <w:szCs w:val="18"/>
              <w:lang w:val="en-GB" w:eastAsia="en-US"/>
            </w:rPr>
            <w:t>Techinical Architecture &amp; Standards</w:t>
          </w:r>
          <w:r>
            <w:rPr>
              <w:b w:val="false"/>
              <w:sz w:val="18"/>
              <w:szCs w:val="18"/>
              <w:lang w:val="en-US" w:eastAsia="en-US"/>
            </w:rPr>
            <w:tab/>
          </w:r>
          <w:hyperlink w:anchor="__RefHeading___Toc150132980">
            <w:r>
              <w:rPr>
                <w:rStyle w:val="IndexLink"/>
                <w:b w:val="false"/>
                <w:sz w:val="18"/>
                <w:szCs w:val="18"/>
                <w:lang w:val="en-US" w:eastAsia="en-US"/>
              </w:rPr>
              <w:t>1</w:t>
            </w:r>
          </w:hyperlink>
          <w:r>
            <w:rPr>
              <w:rStyle w:val="IndexLink"/>
              <w:sz w:val="18"/>
              <w:b w:val="false"/>
              <w:szCs w:val="18"/>
              <w:lang w:val="en-US" w:eastAsia="en-US"/>
            </w:rPr>
            <w:fldChar w:fldCharType="end"/>
          </w:r>
        </w:p>
      </w:sdtContent>
    </w:sdt>
    <w:p>
      <w:pPr>
        <w:pStyle w:val="Normal"/>
        <w:rPr>
          <w:b/>
          <w:caps/>
          <w:sz w:val="18"/>
          <w:szCs w:val="18"/>
          <w:lang w:val="en-GB" w:eastAsia="en-US"/>
        </w:rPr>
      </w:pPr>
      <w:r>
        <w:rPr>
          <w:b/>
          <w:caps/>
          <w:sz w:val="18"/>
          <w:szCs w:val="18"/>
          <w:lang w:val="en-GB" w:eastAsia="en-US"/>
        </w:rPr>
      </w:r>
    </w:p>
    <w:p>
      <w:pPr>
        <w:pStyle w:val="Normal"/>
        <w:rPr>
          <w:caps/>
          <w:sz w:val="18"/>
          <w:szCs w:val="18"/>
          <w:lang w:val="en-GB"/>
        </w:rPr>
      </w:pPr>
      <w:r>
        <w:rPr>
          <w:caps/>
          <w:sz w:val="18"/>
          <w:szCs w:val="18"/>
          <w:lang w:val="en-GB"/>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caps/>
          <w:sz w:val="18"/>
          <w:szCs w:val="18"/>
          <w:lang w:val="en-GB"/>
        </w:rPr>
      </w:pPr>
      <w:r>
        <w:rPr>
          <w:caps/>
          <w:sz w:val="18"/>
          <w:szCs w:val="18"/>
          <w:lang w:val="en-GB"/>
        </w:rPr>
      </w:r>
    </w:p>
    <w:p>
      <w:pPr>
        <w:pStyle w:val="Normal"/>
        <w:spacing w:before="0" w:after="0"/>
        <w:rPr>
          <w:lang w:val="en-GB"/>
        </w:rPr>
      </w:pPr>
      <w:r>
        <w:rPr>
          <w:lang w:val="en-GB"/>
        </w:rPr>
      </w:r>
    </w:p>
    <w:p>
      <w:pPr>
        <w:pStyle w:val="Heading1"/>
        <w:ind w:hanging="0" w:start="0"/>
        <w:rPr>
          <w:sz w:val="22"/>
          <w:szCs w:val="22"/>
          <w:lang w:val="en-GB"/>
        </w:rPr>
      </w:pPr>
      <w:bookmarkStart w:id="0" w:name="__RefHeading___Toc150132980"/>
      <w:bookmarkEnd w:id="0"/>
      <w:r>
        <w:rPr>
          <w:sz w:val="22"/>
          <w:szCs w:val="22"/>
          <w:lang w:val="en-GB"/>
        </w:rPr>
        <w:t>Techinical Architecture &amp; Standards</w:t>
      </w:r>
    </w:p>
    <w:p>
      <w:pPr>
        <w:pStyle w:val="Normal"/>
        <w:spacing w:before="0" w:after="0"/>
        <w:jc w:val="both"/>
        <w:rPr>
          <w:lang w:val="en-GB"/>
        </w:rPr>
      </w:pPr>
      <w:r>
        <w:rPr>
          <w:lang w:val="en-GB"/>
        </w:rPr>
        <w:t>The RFP set out EuroBank’s technical architecture and product standards as at the date of the RFP (“the RFP Technical Standards”). Those standards formed the basis of EuroBank’s infrastructure and Architecture as at the date of the RFP and are set out in the following documents, all of which are on file with the 2IM and PST Suppliers:</w:t>
      </w:r>
      <w:r>
        <w:rPr>
          <w:b/>
          <w:i/>
          <w:lang w:val="en-GB"/>
        </w:rPr>
      </w:r>
      <w:r>
        <w:rPr>
          <w:lang w:val="en-GB"/>
        </w:rPr>
      </w:r>
    </w:p>
    <w:p>
      <w:pPr>
        <w:pStyle w:val="Normal"/>
        <w:spacing w:before="0" w:after="0"/>
        <w:jc w:val="both"/>
        <w:rPr>
          <w:lang w:val="en-GB"/>
        </w:rPr>
      </w:pPr>
      <w:r>
        <w:rPr>
          <w:lang w:val="en-GB"/>
        </w:rPr>
      </w:r>
    </w:p>
    <w:p>
      <w:pPr>
        <w:pStyle w:val="Normal"/>
        <w:numPr>
          <w:ilvl w:val="0"/>
          <w:numId w:val="7"/>
        </w:numPr>
        <w:spacing w:before="0" w:after="0"/>
        <w:jc w:val="both"/>
        <w:rPr>
          <w:lang w:val="en-GB"/>
        </w:rPr>
      </w:pPr>
      <w:r>
        <w:rPr>
          <w:i/>
          <w:lang w:val="en-GB"/>
        </w:rPr>
        <w:t>EuroBank RFP Exhibit 8 Tech Arch and Standards.doc (dated 5th July 2005)</w:t>
      </w:r>
      <w:r>
        <w:rPr>
          <w:lang w:val="en-GB"/>
        </w:rPr>
      </w:r>
      <w:r>
        <w:rPr>
          <w:vertAlign w:val="superscript"/>
          <w:lang w:val="en-GB"/>
        </w:rPr>
      </w:r>
      <w:r>
        <w:rPr>
          <w:lang w:val="en-GB"/>
        </w:rPr>
      </w:r>
    </w:p>
    <w:p>
      <w:pPr>
        <w:pStyle w:val="Normal"/>
        <w:spacing w:before="0" w:after="0"/>
        <w:jc w:val="both"/>
        <w:rPr>
          <w:lang w:val="en-GB"/>
        </w:rPr>
      </w:pPr>
      <w:r>
        <w:rPr>
          <w:lang w:val="en-GB"/>
        </w:rPr>
      </w:r>
    </w:p>
    <w:p>
      <w:pPr>
        <w:pStyle w:val="Normal"/>
        <w:numPr>
          <w:ilvl w:val="0"/>
          <w:numId w:val="7"/>
        </w:numPr>
        <w:spacing w:before="0" w:after="0"/>
        <w:jc w:val="both"/>
        <w:rPr>
          <w:i/>
          <w:i/>
          <w:lang w:val="en-GB"/>
        </w:rPr>
      </w:pPr>
      <w:r>
        <w:rPr>
          <w:i/>
          <w:lang w:val="en-GB"/>
        </w:rPr>
        <w:t>IT Infra Standards document v1.4</w:t>
      </w:r>
    </w:p>
    <w:p>
      <w:pPr>
        <w:pStyle w:val="Normal"/>
        <w:spacing w:before="0" w:after="0"/>
        <w:jc w:val="both"/>
        <w:rPr>
          <w:i/>
          <w:i/>
          <w:lang w:val="en-GB"/>
        </w:rPr>
      </w:pPr>
      <w:r>
        <w:rPr>
          <w:i/>
          <w:lang w:val="en-GB"/>
        </w:rPr>
      </w:r>
    </w:p>
    <w:p>
      <w:pPr>
        <w:pStyle w:val="Normal"/>
        <w:numPr>
          <w:ilvl w:val="0"/>
          <w:numId w:val="7"/>
        </w:numPr>
        <w:spacing w:before="0" w:after="0"/>
        <w:jc w:val="both"/>
        <w:rPr>
          <w:i/>
          <w:i/>
          <w:lang w:val="en-GB"/>
        </w:rPr>
      </w:pPr>
      <w:r>
        <w:rPr>
          <w:i/>
          <w:lang w:val="en-GB"/>
        </w:rPr>
        <w:t>CEDS Architecture document v1.0</w:t>
      </w:r>
    </w:p>
    <w:p>
      <w:pPr>
        <w:pStyle w:val="Normal"/>
        <w:spacing w:before="0" w:after="0"/>
        <w:jc w:val="both"/>
        <w:rPr>
          <w:i/>
          <w:i/>
          <w:lang w:val="en-GB"/>
        </w:rPr>
      </w:pPr>
      <w:r>
        <w:rPr>
          <w:i/>
          <w:lang w:val="en-GB"/>
        </w:rPr>
      </w:r>
    </w:p>
    <w:p>
      <w:pPr>
        <w:pStyle w:val="Normal"/>
        <w:numPr>
          <w:ilvl w:val="0"/>
          <w:numId w:val="7"/>
        </w:numPr>
        <w:spacing w:before="0" w:after="0"/>
        <w:jc w:val="both"/>
        <w:rPr>
          <w:lang w:val="en-GB"/>
        </w:rPr>
      </w:pPr>
      <w:r>
        <w:rPr>
          <w:i/>
          <w:lang w:val="en-GB"/>
        </w:rPr>
        <w:t>DA Infra Guiding Principles (attached as Appendix to the RFP with document name: EuroBank RFP Appendix 8A DA_Infra_GP.pdf)</w:t>
      </w:r>
      <w:r>
        <w:rPr>
          <w:lang w:val="en-GB"/>
        </w:rPr>
      </w:r>
      <w:r>
        <w:rPr>
          <w:i/>
          <w:lang w:val="en-GB"/>
        </w:rPr>
      </w:r>
      <w:r>
        <w:rPr>
          <w:lang w:val="en-GB"/>
        </w:rPr>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The parties accept that the standards have evolved since the RFP Technical Standards and will continue to evolve over time, in line with EuroBank’s business needs and technological advances. As of the Effective Date, the 2IM and PST Suppliers will take over responsibility for EuroBank’s infrastructure and Architecture on an “as is” basis. Thereafter, the 2IM and PST Supplier’s responsibilities include performance of the requirements detailed in Exhibits 2.0 to 2.7 in relation to technical architecture and product standards (such as assisting EuroBank in the development of the standards over time and complying with the latest version of the standards when performing the Services). </w:t>
      </w:r>
    </w:p>
    <w:p>
      <w:pPr>
        <w:pStyle w:val="Normal"/>
        <w:spacing w:before="0" w:after="0"/>
        <w:jc w:val="both"/>
        <w:rPr>
          <w:lang w:val="en-GB"/>
        </w:rPr>
      </w:pPr>
      <w:r>
        <w:rPr>
          <w:lang w:val="en-GB"/>
        </w:rPr>
      </w:r>
    </w:p>
    <w:p>
      <w:pPr>
        <w:pStyle w:val="Normal"/>
        <w:spacing w:before="0" w:after="0"/>
        <w:rPr>
          <w:lang w:val="en-GB"/>
        </w:rPr>
      </w:pPr>
      <w:r>
        <w:rPr>
          <w:lang w:val="en-GB"/>
        </w:rPr>
      </w:r>
    </w:p>
    <w:sectPr>
      <w:headerReference w:type="default" r:id="rId8"/>
      <w:headerReference w:type="first" r:id="rId9"/>
      <w:footerReference w:type="default" r:id="rId10"/>
      <w:footerReference w:type="first" r:id="rId11"/>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8 (Tech Arch &amp; Standards) Final v1.2.doc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8 (Tech Arch &amp; Standards) Final v1.2.doc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8 (Tech Arch &amp; Standards) Final v1.2.doc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5">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1">
    <w:name w:val="WW8Num1z1"/>
    <w:qFormat/>
    <w:rPr>
      <w:rFonts w:ascii="Times New Roman Bold;Times New Roman" w:hAnsi="Times New Roman Bold;Times New Roman" w:cs="Times New Roman Bold;Times New Roman"/>
      <w:b/>
      <w:i w:val="false"/>
      <w:sz w:val="28"/>
    </w:rPr>
  </w:style>
  <w:style w:type="character" w:styleId="WW8Num1z2">
    <w:name w:val="WW8Num1z2"/>
    <w:qFormat/>
    <w:rPr>
      <w:rFonts w:ascii="Times New Roman" w:hAnsi="Times New Roman" w:cs="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Times New Roman" w:hAnsi="Times New Roman" w:cs="Times New Roman"/>
      <w:b w:val="false"/>
      <w:i w:val="false"/>
      <w:color w:val="000000"/>
      <w:sz w:val="22"/>
    </w:rPr>
  </w:style>
  <w:style w:type="character" w:styleId="WW8Num3z1">
    <w:name w:val="WW8Num3z1"/>
    <w:qFormat/>
    <w:rPr>
      <w:rFonts w:ascii="Times New Roman" w:hAnsi="Times New Roman" w:cs="Times New Roman"/>
      <w:b w:val="false"/>
      <w:i w:val="false"/>
      <w:sz w:val="22"/>
    </w:rPr>
  </w:style>
  <w:style w:type="character" w:styleId="WW8Num3z4">
    <w:name w:val="WW8Num3z4"/>
    <w:qFormat/>
    <w:rPr/>
  </w:style>
  <w:style w:type="character" w:styleId="WW8Num4z0">
    <w:name w:val="WW8Num4z0"/>
    <w:qFormat/>
    <w:rPr>
      <w:rFonts w:ascii="Times New Roman" w:hAnsi="Times New Roman" w:cs="Times New Roman"/>
      <w:b w:val="false"/>
      <w:i w:val="false"/>
      <w:color w:val="000000"/>
      <w:sz w:val="22"/>
    </w:rPr>
  </w:style>
  <w:style w:type="character" w:styleId="WW8Num4z1">
    <w:name w:val="WW8Num4z1"/>
    <w:qFormat/>
    <w:rPr>
      <w:rFonts w:ascii="Times New Roman" w:hAnsi="Times New Roman" w:cs="Times New Roman"/>
      <w:b w:val="false"/>
      <w:i w:val="false"/>
      <w:sz w:val="22"/>
    </w:rPr>
  </w:style>
  <w:style w:type="character" w:styleId="WW8Num4z4">
    <w:name w:val="WW8Num4z4"/>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6"/>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5"/>
      </w:numPr>
    </w:pPr>
    <w:rPr>
      <w:bCs/>
    </w:rPr>
  </w:style>
  <w:style w:type="paragraph" w:styleId="TableLevel3Numbered">
    <w:name w:val="Table Level 3 Numbered"/>
    <w:basedOn w:val="Normal"/>
    <w:qFormat/>
    <w:pPr>
      <w:numPr>
        <w:ilvl w:val="0"/>
        <w:numId w:val="5"/>
      </w:numPr>
    </w:pPr>
    <w:rPr/>
  </w:style>
  <w:style w:type="paragraph" w:styleId="TableLevel4Numbered">
    <w:name w:val="Table Level 4 Numbered"/>
    <w:basedOn w:val="Normal"/>
    <w:qFormat/>
    <w:pPr>
      <w:numPr>
        <w:ilvl w:val="0"/>
        <w:numId w:val="5"/>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4"/>
      </w:numPr>
      <w:spacing w:before="240" w:after="240"/>
    </w:pPr>
    <w:rPr/>
  </w:style>
  <w:style w:type="paragraph" w:styleId="BodyLevel2Numbered">
    <w:name w:val="Body Level 2 Numbered"/>
    <w:basedOn w:val="Normal"/>
    <w:qFormat/>
    <w:pPr>
      <w:numPr>
        <w:ilvl w:val="0"/>
        <w:numId w:val="4"/>
      </w:numPr>
      <w:spacing w:before="240" w:after="240"/>
    </w:pPr>
    <w:rPr/>
  </w:style>
  <w:style w:type="paragraph" w:styleId="BodyLevel3Numbered">
    <w:name w:val="Body Level 3 Numbered"/>
    <w:basedOn w:val="Normal"/>
    <w:qFormat/>
    <w:pPr>
      <w:numPr>
        <w:ilvl w:val="0"/>
        <w:numId w:val="4"/>
      </w:numPr>
      <w:spacing w:before="240" w:after="240"/>
    </w:pPr>
    <w:rPr/>
  </w:style>
  <w:style w:type="paragraph" w:styleId="BodyLevel4Numbered">
    <w:name w:val="Body Level 4 Numbered"/>
    <w:basedOn w:val="Normal"/>
    <w:qFormat/>
    <w:pPr>
      <w:numPr>
        <w:ilvl w:val="0"/>
        <w:numId w:val="4"/>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onText">
    <w:name w:val="Balloon Text"/>
    <w:basedOn w:val="Normal"/>
    <w:qFormat/>
    <w:pPr/>
    <w:rPr>
      <w:rFonts w:ascii="Tahoma" w:hAnsi="Tahoma" w:cs="Tahoma"/>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7</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2006-11-30T19:12:00Z</dcterms:created>
  <dc:creator>Stuart Johnson</dc:creator>
  <dc:description/>
  <cp:keywords/>
  <dc:language>en-US</dc:language>
  <cp:lastModifiedBy>Stuart Johnson</cp:lastModifiedBy>
  <cp:lastPrinted>2005-07-04T16:19:00Z</cp:lastPrinted>
  <dcterms:modified xsi:type="dcterms:W3CDTF">2006-11-30T19:18:00Z</dcterms:modified>
  <cp:revision>3</cp:revision>
  <dc:subject/>
  <dc:title> </dc:title>
</cp:coreProperties>
</file>