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exhibit 9</w:t>
      </w:r>
    </w:p>
    <w:p>
      <w:pPr>
        <w:pStyle w:val="Title"/>
        <w:rPr>
          <w:lang w:val="en-GB"/>
        </w:rPr>
      </w:pPr>
      <w:r>
        <w:rPr>
          <w:lang w:val="en-GB"/>
        </w:rPr>
      </w:r>
    </w:p>
    <w:p>
      <w:pPr>
        <w:pStyle w:val="Title"/>
        <w:rPr>
          <w:lang w:val="en-GB"/>
        </w:rPr>
      </w:pPr>
      <w:r>
        <w:rPr>
          <w:lang w:val="en-GB"/>
        </w:rPr>
        <w:t>In-Flight Projects</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rPr>
          <w:lang w:val="en-GB"/>
        </w:rPr>
      </w:pPr>
      <w:r>
        <w:rPr>
          <w:lang w:val="en-GB"/>
        </w:rPr>
      </w:r>
    </w:p>
    <w:p>
      <w:pPr>
        <w:pStyle w:val="Normal"/>
        <w:rPr>
          <w:sz w:val="18"/>
          <w:szCs w:val="18"/>
          <w:lang w:val="en-GB"/>
        </w:rPr>
      </w:pPr>
      <w:r>
        <w:rPr>
          <w:sz w:val="18"/>
          <w:szCs w:val="18"/>
          <w:lang w:val="en-GB"/>
        </w:rPr>
      </w:r>
    </w:p>
    <w:p>
      <w:pPr>
        <w:pStyle w:val="Title"/>
        <w:rPr/>
      </w:pPr>
      <w:r>
        <w:rPr/>
        <w:t>Table of Contents</w:t>
      </w:r>
    </w:p>
    <w:sdt>
      <w:sdtPr>
        <w:docPartObj>
          <w:docPartGallery w:val="Table of Contents"/>
          <w:docPartUnique w:val="true"/>
        </w:docPartObj>
      </w:sdtPr>
      <w:sdtContent>
        <w:p>
          <w:pPr>
            <w:pStyle w:val="TOC1"/>
            <w:tabs>
              <w:tab w:val="clear" w:pos="720"/>
              <w:tab w:val="left" w:pos="440" w:leader="none"/>
              <w:tab w:val="right" w:pos="8441" w:leader="dot"/>
            </w:tabs>
            <w:rPr>
              <w:b w:val="false"/>
              <w:sz w:val="18"/>
              <w:szCs w:val="18"/>
              <w:lang w:val="en-US" w:eastAsia="en-US"/>
            </w:rPr>
          </w:pPr>
          <w:r>
            <w:fldChar w:fldCharType="begin"/>
          </w:r>
          <w:r>
            <w:rPr>
              <w:sz w:val="18"/>
              <w:szCs w:val="18"/>
              <w:bCs/>
              <w:lang w:val="en-US" w:eastAsia="en-US"/>
            </w:rPr>
            <w:instrText xml:space="preserve"> TOC \t "Heading 1 Numbered,1,Heading 2 Numbered,2" </w:instrText>
          </w:r>
          <w:r>
            <w:rPr>
              <w:sz w:val="18"/>
              <w:szCs w:val="18"/>
              <w:bCs/>
              <w:lang w:val="en-US" w:eastAsia="en-US"/>
            </w:rPr>
            <w:fldChar w:fldCharType="separate"/>
          </w:r>
          <w:r>
            <w:rPr>
              <w:bCs/>
              <w:sz w:val="18"/>
              <w:szCs w:val="18"/>
              <w:lang w:val="en-US" w:eastAsia="en-US"/>
            </w:rPr>
            <w:t>1.</w:t>
          </w:r>
          <w:r>
            <w:rPr>
              <w:b w:val="false"/>
              <w:sz w:val="18"/>
              <w:szCs w:val="18"/>
              <w:lang w:val="en-US" w:eastAsia="en-US"/>
            </w:rPr>
            <w:tab/>
          </w:r>
          <w:r>
            <w:rPr>
              <w:bCs/>
              <w:sz w:val="18"/>
              <w:szCs w:val="18"/>
              <w:lang w:val="en-US" w:eastAsia="en-US"/>
            </w:rPr>
            <w:t>Introduction</w:t>
          </w:r>
          <w:r>
            <w:rPr>
              <w:sz w:val="18"/>
              <w:szCs w:val="18"/>
              <w:lang w:val="en-US" w:eastAsia="en-US"/>
            </w:rPr>
            <w:tab/>
          </w:r>
          <w:hyperlink w:anchor="__RefHeading___Toc151791796">
            <w:r>
              <w:rPr>
                <w:rStyle w:val="IndexLink"/>
                <w:sz w:val="18"/>
                <w:szCs w:val="18"/>
                <w:lang w:val="en-US" w:eastAsia="en-US"/>
              </w:rPr>
              <w:t>1</w:t>
            </w:r>
          </w:hyperlink>
        </w:p>
        <w:p>
          <w:pPr>
            <w:pStyle w:val="TOC1"/>
            <w:tabs>
              <w:tab w:val="clear" w:pos="720"/>
              <w:tab w:val="left" w:pos="440" w:leader="none"/>
              <w:tab w:val="right" w:pos="8441" w:leader="dot"/>
            </w:tabs>
            <w:rPr>
              <w:b w:val="false"/>
              <w:sz w:val="18"/>
              <w:szCs w:val="18"/>
              <w:lang w:val="en-US" w:eastAsia="en-US"/>
            </w:rPr>
          </w:pPr>
          <w:r>
            <w:rPr>
              <w:sz w:val="18"/>
              <w:szCs w:val="18"/>
              <w:lang w:val="en-US" w:eastAsia="en-US"/>
            </w:rPr>
            <w:t>2.</w:t>
          </w:r>
          <w:r>
            <w:rPr>
              <w:b w:val="false"/>
              <w:sz w:val="18"/>
              <w:szCs w:val="18"/>
              <w:lang w:val="en-US" w:eastAsia="en-US"/>
            </w:rPr>
            <w:tab/>
          </w:r>
          <w:r>
            <w:rPr>
              <w:sz w:val="18"/>
              <w:szCs w:val="18"/>
              <w:lang w:val="en-US" w:eastAsia="en-US"/>
            </w:rPr>
            <w:t>Project Reconciliation Process</w:t>
            <w:tab/>
          </w:r>
          <w:hyperlink w:anchor="__RefHeading___Toc151791797">
            <w:r>
              <w:rPr>
                <w:rStyle w:val="IndexLink"/>
                <w:sz w:val="18"/>
                <w:szCs w:val="18"/>
                <w:lang w:val="en-US" w:eastAsia="en-US"/>
              </w:rPr>
              <w:t>1</w:t>
            </w:r>
          </w:hyperlink>
        </w:p>
        <w:p>
          <w:pPr>
            <w:pStyle w:val="TOC1"/>
            <w:tabs>
              <w:tab w:val="clear" w:pos="720"/>
              <w:tab w:val="left" w:pos="440" w:leader="none"/>
              <w:tab w:val="right" w:pos="8441" w:leader="dot"/>
            </w:tabs>
            <w:rPr>
              <w:b w:val="false"/>
              <w:sz w:val="18"/>
              <w:szCs w:val="18"/>
              <w:lang w:val="en-US" w:eastAsia="en-US"/>
            </w:rPr>
          </w:pPr>
          <w:r>
            <w:rPr>
              <w:bCs/>
              <w:sz w:val="18"/>
              <w:szCs w:val="18"/>
              <w:lang w:val="en-US" w:eastAsia="en-US"/>
            </w:rPr>
            <w:t>3.</w:t>
          </w:r>
          <w:r>
            <w:rPr>
              <w:b w:val="false"/>
              <w:sz w:val="18"/>
              <w:szCs w:val="18"/>
              <w:lang w:val="en-US" w:eastAsia="en-US"/>
            </w:rPr>
            <w:tab/>
          </w:r>
          <w:r>
            <w:rPr>
              <w:bCs/>
              <w:sz w:val="18"/>
              <w:szCs w:val="18"/>
              <w:lang w:val="en-US" w:eastAsia="en-US"/>
            </w:rPr>
            <w:t>Project Categories &amp; Descriptions</w:t>
          </w:r>
          <w:r>
            <w:rPr>
              <w:sz w:val="18"/>
              <w:szCs w:val="18"/>
              <w:lang w:val="en-US" w:eastAsia="en-US"/>
            </w:rPr>
            <w:tab/>
          </w:r>
          <w:hyperlink w:anchor="__RefHeading___Toc151791798">
            <w:r>
              <w:rPr>
                <w:rStyle w:val="IndexLink"/>
                <w:sz w:val="18"/>
                <w:szCs w:val="18"/>
                <w:lang w:val="en-US" w:eastAsia="en-US"/>
              </w:rPr>
              <w:t>2</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3.1</w:t>
          </w:r>
          <w:r>
            <w:rPr>
              <w:b w:val="false"/>
              <w:sz w:val="18"/>
              <w:szCs w:val="18"/>
              <w:lang w:val="en-US" w:eastAsia="en-US"/>
            </w:rPr>
            <w:tab/>
          </w:r>
          <w:r>
            <w:rPr>
              <w:sz w:val="18"/>
              <w:szCs w:val="18"/>
              <w:lang w:val="en-GB" w:eastAsia="en-US"/>
            </w:rPr>
            <w:t>Baseline Projects:</w:t>
          </w:r>
          <w:r>
            <w:rPr>
              <w:sz w:val="18"/>
              <w:szCs w:val="18"/>
              <w:lang w:val="en-US" w:eastAsia="en-US"/>
            </w:rPr>
            <w:tab/>
          </w:r>
          <w:hyperlink w:anchor="__RefHeading___Toc151791799">
            <w:r>
              <w:rPr>
                <w:rStyle w:val="IndexLink"/>
                <w:sz w:val="18"/>
                <w:szCs w:val="18"/>
                <w:lang w:val="en-US" w:eastAsia="en-US"/>
              </w:rPr>
              <w:t>2</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3.2</w:t>
          </w:r>
          <w:r>
            <w:rPr>
              <w:b w:val="false"/>
              <w:sz w:val="18"/>
              <w:szCs w:val="18"/>
              <w:lang w:val="en-US" w:eastAsia="en-US"/>
            </w:rPr>
            <w:tab/>
          </w:r>
          <w:r>
            <w:rPr>
              <w:bCs/>
              <w:sz w:val="18"/>
              <w:szCs w:val="18"/>
              <w:lang w:val="en-GB" w:eastAsia="en-US"/>
            </w:rPr>
            <w:t>ING-Requested Projects:</w:t>
          </w:r>
          <w:r>
            <w:rPr>
              <w:sz w:val="18"/>
              <w:szCs w:val="18"/>
              <w:lang w:val="en-US" w:eastAsia="en-US"/>
            </w:rPr>
            <w:tab/>
          </w:r>
          <w:hyperlink w:anchor="__RefHeading___Toc151791800">
            <w:r>
              <w:rPr>
                <w:rStyle w:val="IndexLink"/>
                <w:sz w:val="18"/>
                <w:szCs w:val="18"/>
                <w:lang w:val="en-US" w:eastAsia="en-US"/>
              </w:rPr>
              <w:t>3</w:t>
            </w:r>
          </w:hyperlink>
        </w:p>
        <w:p>
          <w:pPr>
            <w:pStyle w:val="TOC1"/>
            <w:tabs>
              <w:tab w:val="clear" w:pos="720"/>
              <w:tab w:val="left" w:pos="440" w:leader="none"/>
              <w:tab w:val="right" w:pos="8441" w:leader="dot"/>
            </w:tabs>
            <w:rPr>
              <w:b w:val="false"/>
              <w:sz w:val="18"/>
              <w:szCs w:val="18"/>
              <w:lang w:val="en-US" w:eastAsia="en-US"/>
            </w:rPr>
          </w:pPr>
          <w:r>
            <w:rPr>
              <w:sz w:val="18"/>
              <w:szCs w:val="18"/>
              <w:lang w:val="en-US" w:eastAsia="en-US"/>
            </w:rPr>
            <w:t>4.</w:t>
          </w:r>
          <w:r>
            <w:rPr>
              <w:b w:val="false"/>
              <w:sz w:val="18"/>
              <w:szCs w:val="18"/>
              <w:lang w:val="en-US" w:eastAsia="en-US"/>
            </w:rPr>
            <w:tab/>
          </w:r>
          <w:r>
            <w:rPr>
              <w:sz w:val="18"/>
              <w:szCs w:val="18"/>
              <w:lang w:val="en-US" w:eastAsia="en-US"/>
            </w:rPr>
            <w:t>Project Pricing Mechanism (</w:t>
          </w:r>
          <w:r>
            <w:rPr>
              <w:bCs/>
              <w:sz w:val="18"/>
              <w:szCs w:val="18"/>
              <w:lang w:val="en-US" w:eastAsia="en-US"/>
            </w:rPr>
            <w:t>ING-Requested</w:t>
          </w:r>
          <w:r>
            <w:rPr>
              <w:sz w:val="18"/>
              <w:szCs w:val="18"/>
              <w:lang w:val="en-US" w:eastAsia="en-US"/>
            </w:rPr>
            <w:t xml:space="preserve"> Projects only)</w:t>
            <w:tab/>
          </w:r>
          <w:hyperlink w:anchor="__RefHeading___Toc151791801">
            <w:r>
              <w:rPr>
                <w:rStyle w:val="IndexLink"/>
                <w:sz w:val="18"/>
                <w:szCs w:val="18"/>
                <w:lang w:val="en-US" w:eastAsia="en-US"/>
              </w:rPr>
              <w:t>3</w:t>
            </w:r>
          </w:hyperlink>
        </w:p>
        <w:p>
          <w:pPr>
            <w:pStyle w:val="TOC1"/>
            <w:tabs>
              <w:tab w:val="clear" w:pos="720"/>
              <w:tab w:val="left" w:pos="440" w:leader="none"/>
              <w:tab w:val="right" w:pos="8441" w:leader="dot"/>
            </w:tabs>
            <w:rPr>
              <w:b w:val="false"/>
              <w:sz w:val="18"/>
              <w:szCs w:val="18"/>
              <w:lang w:val="en-US" w:eastAsia="en-US"/>
            </w:rPr>
          </w:pPr>
          <w:r>
            <w:rPr>
              <w:bCs/>
              <w:sz w:val="18"/>
              <w:szCs w:val="18"/>
              <w:lang w:val="en-US" w:eastAsia="en-US"/>
            </w:rPr>
            <w:t>5.</w:t>
          </w:r>
          <w:r>
            <w:rPr>
              <w:b w:val="false"/>
              <w:sz w:val="18"/>
              <w:szCs w:val="18"/>
              <w:lang w:val="en-US" w:eastAsia="en-US"/>
            </w:rPr>
            <w:tab/>
          </w:r>
          <w:r>
            <w:rPr>
              <w:bCs/>
              <w:sz w:val="18"/>
              <w:szCs w:val="18"/>
              <w:lang w:val="en-US" w:eastAsia="en-US"/>
            </w:rPr>
            <w:t>2IM &amp; PST Supplier Responsibilities</w:t>
          </w:r>
          <w:r>
            <w:rPr>
              <w:sz w:val="18"/>
              <w:szCs w:val="18"/>
              <w:lang w:val="en-US" w:eastAsia="en-US"/>
            </w:rPr>
            <w:tab/>
          </w:r>
          <w:hyperlink w:anchor="__RefHeading___Toc151791802">
            <w:r>
              <w:rPr>
                <w:rStyle w:val="IndexLink"/>
                <w:sz w:val="18"/>
                <w:szCs w:val="18"/>
                <w:lang w:val="en-US" w:eastAsia="en-US"/>
              </w:rPr>
              <w:t>4</w:t>
            </w:r>
          </w:hyperlink>
        </w:p>
        <w:p>
          <w:pPr>
            <w:pStyle w:val="TOC1"/>
            <w:tabs>
              <w:tab w:val="clear" w:pos="720"/>
              <w:tab w:val="left" w:pos="440" w:leader="none"/>
              <w:tab w:val="right" w:pos="8441" w:leader="dot"/>
            </w:tabs>
            <w:rPr>
              <w:b w:val="false"/>
              <w:sz w:val="18"/>
              <w:szCs w:val="18"/>
              <w:lang w:val="en-US" w:eastAsia="en-US"/>
            </w:rPr>
          </w:pPr>
          <w:r>
            <w:rPr>
              <w:bCs/>
              <w:sz w:val="18"/>
              <w:szCs w:val="18"/>
              <w:lang w:val="en-US" w:eastAsia="en-US"/>
            </w:rPr>
            <w:t>6.</w:t>
          </w:r>
          <w:r>
            <w:rPr>
              <w:b w:val="false"/>
              <w:sz w:val="18"/>
              <w:szCs w:val="18"/>
              <w:lang w:val="en-US" w:eastAsia="en-US"/>
            </w:rPr>
            <w:tab/>
          </w:r>
          <w:r>
            <w:rPr>
              <w:bCs/>
              <w:sz w:val="18"/>
              <w:szCs w:val="18"/>
              <w:lang w:val="en-US" w:eastAsia="en-US"/>
            </w:rPr>
            <w:t>ING Responsibilities</w:t>
          </w:r>
          <w:r>
            <w:rPr>
              <w:sz w:val="18"/>
              <w:szCs w:val="18"/>
              <w:lang w:val="en-US" w:eastAsia="en-US"/>
            </w:rPr>
            <w:tab/>
          </w:r>
          <w:hyperlink w:anchor="__RefHeading___Toc151791803">
            <w:r>
              <w:rPr>
                <w:rStyle w:val="IndexLink"/>
                <w:sz w:val="18"/>
                <w:szCs w:val="18"/>
                <w:lang w:val="en-US" w:eastAsia="en-US"/>
              </w:rPr>
              <w:t>5</w:t>
            </w:r>
          </w:hyperlink>
        </w:p>
        <w:p>
          <w:pPr>
            <w:pStyle w:val="TOC1"/>
            <w:tabs>
              <w:tab w:val="clear" w:pos="720"/>
              <w:tab w:val="left" w:pos="440" w:leader="none"/>
              <w:tab w:val="right" w:pos="8441" w:leader="dot"/>
            </w:tabs>
            <w:rPr>
              <w:b w:val="false"/>
              <w:sz w:val="18"/>
              <w:szCs w:val="18"/>
              <w:lang w:val="en-US" w:eastAsia="en-US"/>
            </w:rPr>
          </w:pPr>
          <w:r>
            <w:rPr>
              <w:bCs/>
              <w:sz w:val="18"/>
              <w:szCs w:val="18"/>
              <w:lang w:val="en-US" w:eastAsia="en-US"/>
            </w:rPr>
            <w:t>7.</w:t>
          </w:r>
          <w:r>
            <w:rPr>
              <w:b w:val="false"/>
              <w:sz w:val="18"/>
              <w:szCs w:val="18"/>
              <w:lang w:val="en-US" w:eastAsia="en-US"/>
            </w:rPr>
            <w:tab/>
          </w:r>
          <w:r>
            <w:rPr>
              <w:bCs/>
              <w:sz w:val="18"/>
              <w:szCs w:val="18"/>
              <w:lang w:val="en-US" w:eastAsia="en-US"/>
            </w:rPr>
            <w:t>Invoicing &amp; Third Party Vendor Charges</w:t>
          </w:r>
          <w:r>
            <w:rPr>
              <w:sz w:val="18"/>
              <w:szCs w:val="18"/>
              <w:lang w:val="en-US" w:eastAsia="en-US"/>
            </w:rPr>
            <w:tab/>
          </w:r>
          <w:hyperlink w:anchor="__RefHeading___Toc151791804">
            <w:r>
              <w:rPr>
                <w:rStyle w:val="IndexLink"/>
                <w:sz w:val="18"/>
                <w:szCs w:val="18"/>
                <w:lang w:val="en-US" w:eastAsia="en-US"/>
              </w:rPr>
              <w:t>5</w:t>
            </w:r>
          </w:hyperlink>
        </w:p>
        <w:p>
          <w:pPr>
            <w:pStyle w:val="TOC1"/>
            <w:tabs>
              <w:tab w:val="clear" w:pos="720"/>
              <w:tab w:val="left" w:pos="440" w:leader="none"/>
              <w:tab w:val="right" w:pos="8441" w:leader="dot"/>
            </w:tabs>
            <w:rPr>
              <w:b w:val="false"/>
              <w:sz w:val="18"/>
              <w:szCs w:val="18"/>
              <w:lang w:val="en-US" w:eastAsia="en-US"/>
            </w:rPr>
          </w:pPr>
          <w:r>
            <w:rPr>
              <w:sz w:val="18"/>
              <w:szCs w:val="18"/>
              <w:lang w:val="en-US" w:eastAsia="en-US"/>
            </w:rPr>
            <w:t>8.</w:t>
          </w:r>
          <w:r>
            <w:rPr>
              <w:b w:val="false"/>
              <w:sz w:val="18"/>
              <w:szCs w:val="18"/>
              <w:lang w:val="en-US" w:eastAsia="en-US"/>
            </w:rPr>
            <w:tab/>
          </w:r>
          <w:r>
            <w:rPr>
              <w:sz w:val="18"/>
              <w:szCs w:val="18"/>
              <w:lang w:val="en-US" w:eastAsia="en-US"/>
            </w:rPr>
            <w:t>Project Change Control</w:t>
            <w:tab/>
          </w:r>
          <w:hyperlink w:anchor="__RefHeading___Toc151791805">
            <w:r>
              <w:rPr>
                <w:rStyle w:val="IndexLink"/>
                <w:sz w:val="18"/>
                <w:szCs w:val="18"/>
                <w:lang w:val="en-US" w:eastAsia="en-US"/>
              </w:rPr>
              <w:t>5</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8.1</w:t>
          </w:r>
          <w:r>
            <w:rPr>
              <w:b w:val="false"/>
              <w:sz w:val="18"/>
              <w:szCs w:val="18"/>
              <w:lang w:val="en-US" w:eastAsia="en-US"/>
            </w:rPr>
            <w:tab/>
          </w:r>
          <w:r>
            <w:rPr>
              <w:bCs/>
              <w:sz w:val="18"/>
              <w:szCs w:val="18"/>
              <w:lang w:val="en-GB" w:eastAsia="en-US"/>
            </w:rPr>
            <w:t>ING-Requested Projects</w:t>
          </w:r>
          <w:r>
            <w:rPr>
              <w:sz w:val="18"/>
              <w:szCs w:val="18"/>
              <w:lang w:val="en-US" w:eastAsia="en-US"/>
            </w:rPr>
            <w:tab/>
          </w:r>
          <w:hyperlink w:anchor="__RefHeading___Toc151791806">
            <w:r>
              <w:rPr>
                <w:rStyle w:val="IndexLink"/>
                <w:sz w:val="18"/>
                <w:szCs w:val="18"/>
                <w:lang w:val="en-US" w:eastAsia="en-US"/>
              </w:rPr>
              <w:t>5</w:t>
            </w:r>
          </w:hyperlink>
        </w:p>
        <w:p>
          <w:pPr>
            <w:pStyle w:val="TOC2"/>
            <w:tabs>
              <w:tab w:val="clear" w:pos="720"/>
              <w:tab w:val="left" w:pos="880" w:leader="none"/>
              <w:tab w:val="right" w:pos="8441" w:leader="dot"/>
            </w:tabs>
            <w:rPr>
              <w:sz w:val="18"/>
              <w:szCs w:val="18"/>
              <w:lang w:val="en-US" w:eastAsia="en-US"/>
            </w:rPr>
          </w:pPr>
          <w:r>
            <w:rPr>
              <w:b w:val="false"/>
              <w:bCs/>
              <w:sz w:val="18"/>
              <w:szCs w:val="18"/>
              <w:lang w:val="en-GB" w:eastAsia="en-US"/>
            </w:rPr>
            <w:t>8.2</w:t>
          </w:r>
          <w:r>
            <w:rPr>
              <w:b w:val="false"/>
              <w:sz w:val="18"/>
              <w:szCs w:val="18"/>
              <w:lang w:val="en-US" w:eastAsia="en-US"/>
            </w:rPr>
            <w:tab/>
          </w:r>
          <w:r>
            <w:rPr>
              <w:b w:val="false"/>
              <w:bCs/>
              <w:sz w:val="18"/>
              <w:szCs w:val="18"/>
              <w:lang w:val="en-GB" w:eastAsia="en-US"/>
            </w:rPr>
            <w:t>Disputes</w:t>
          </w:r>
          <w:r>
            <w:rPr>
              <w:b w:val="false"/>
              <w:sz w:val="18"/>
              <w:szCs w:val="18"/>
              <w:lang w:val="en-US" w:eastAsia="en-US"/>
            </w:rPr>
            <w:tab/>
          </w:r>
          <w:hyperlink w:anchor="__RefHeading___Toc151791807">
            <w:r>
              <w:rPr>
                <w:rStyle w:val="IndexLink"/>
                <w:b w:val="false"/>
                <w:sz w:val="18"/>
                <w:szCs w:val="18"/>
                <w:lang w:val="en-US" w:eastAsia="en-US"/>
              </w:rPr>
              <w:t>5</w:t>
            </w:r>
          </w:hyperlink>
          <w:r>
            <w:rPr>
              <w:rStyle w:val="IndexLink"/>
              <w:sz w:val="18"/>
              <w:b w:val="false"/>
              <w:szCs w:val="18"/>
              <w:lang w:val="en-US" w:eastAsia="en-US"/>
            </w:rPr>
            <w:fldChar w:fldCharType="end"/>
          </w:r>
        </w:p>
      </w:sdtContent>
    </w:sdt>
    <w:p>
      <w:pPr>
        <w:pStyle w:val="Normal"/>
        <w:rPr>
          <w:b/>
          <w:caps/>
          <w:sz w:val="18"/>
          <w:szCs w:val="18"/>
          <w:lang w:val="en-GB" w:eastAsia="en-US"/>
        </w:rPr>
      </w:pPr>
      <w:r>
        <w:rPr>
          <w:b/>
          <w:caps/>
          <w:sz w:val="18"/>
          <w:szCs w:val="18"/>
          <w:lang w:val="en-GB" w:eastAsia="en-US"/>
        </w:rPr>
      </w:r>
    </w:p>
    <w:p>
      <w:pPr>
        <w:pStyle w:val="Normal"/>
        <w:rPr>
          <w:caps/>
          <w:sz w:val="18"/>
          <w:szCs w:val="18"/>
          <w:lang w:val="en-GB"/>
        </w:rPr>
      </w:pPr>
      <w:r>
        <w:rPr>
          <w:caps/>
          <w:sz w:val="18"/>
          <w:szCs w:val="18"/>
          <w:lang w:val="en-GB"/>
        </w:rPr>
      </w:r>
    </w:p>
    <w:p>
      <w:pPr>
        <w:pStyle w:val="Normal"/>
        <w:rPr>
          <w:caps/>
          <w:sz w:val="18"/>
          <w:szCs w:val="18"/>
          <w:lang w:val="en-GB"/>
        </w:rPr>
      </w:pPr>
      <w:r>
        <w:rPr>
          <w:caps/>
          <w:sz w:val="18"/>
          <w:szCs w:val="18"/>
          <w:lang w:val="en-GB"/>
        </w:rPr>
      </w:r>
    </w:p>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rPr>
          <w:caps/>
          <w:sz w:val="18"/>
          <w:szCs w:val="18"/>
          <w:lang w:val="en-GB"/>
        </w:rPr>
      </w:pPr>
      <w:r>
        <w:rPr>
          <w:caps/>
          <w:sz w:val="18"/>
          <w:szCs w:val="18"/>
          <w:lang w:val="en-GB"/>
        </w:rPr>
      </w:r>
    </w:p>
    <w:p>
      <w:pPr>
        <w:pStyle w:val="Normal"/>
        <w:spacing w:before="0" w:after="0"/>
        <w:rPr>
          <w:lang w:val="en-GB"/>
        </w:rPr>
      </w:pPr>
      <w:r>
        <w:rPr>
          <w:lang w:val="en-GB"/>
        </w:rPr>
      </w:r>
    </w:p>
    <w:p>
      <w:pPr>
        <w:pStyle w:val="Heading1Numbered"/>
        <w:numPr>
          <w:ilvl w:val="0"/>
          <w:numId w:val="2"/>
        </w:numPr>
        <w:spacing w:before="0" w:after="0"/>
        <w:ind w:hanging="0" w:start="0"/>
        <w:rPr>
          <w:bCs/>
          <w:sz w:val="22"/>
          <w:szCs w:val="22"/>
        </w:rPr>
      </w:pPr>
      <w:bookmarkStart w:id="0" w:name="__RefHeading___Toc151791796"/>
      <w:bookmarkEnd w:id="0"/>
      <w:r>
        <w:rPr>
          <w:bCs/>
          <w:sz w:val="22"/>
          <w:szCs w:val="22"/>
        </w:rPr>
        <w:t>Introduction</w:t>
      </w:r>
    </w:p>
    <w:p>
      <w:pPr>
        <w:pStyle w:val="Normal"/>
        <w:spacing w:before="0" w:after="0"/>
        <w:jc w:val="both"/>
        <w:rPr>
          <w:bCs/>
          <w:sz w:val="22"/>
          <w:szCs w:val="22"/>
          <w:lang w:val="en-GB"/>
        </w:rPr>
      </w:pPr>
      <w:r>
        <w:rPr>
          <w:bCs/>
          <w:sz w:val="22"/>
          <w:szCs w:val="22"/>
          <w:lang w:val="en-GB"/>
        </w:rPr>
      </w:r>
    </w:p>
    <w:p>
      <w:pPr>
        <w:pStyle w:val="Normal"/>
        <w:spacing w:before="0" w:after="0"/>
        <w:jc w:val="both"/>
        <w:rPr/>
      </w:pPr>
      <w:r>
        <w:rPr>
          <w:szCs w:val="22"/>
          <w:lang w:val="en-GB"/>
        </w:rPr>
        <w:t>The parties have jointly been through a due diligence exercise to identify, review, agree and categorise all EuroBank ongoing Projects prior to the Effective Date. The frozen list of known and agreed ongoing Projects (for all three of the Project categories defined below) is attached as Attachment 9-A (Projects List) and is hereby incorporated by reference.</w:t>
      </w:r>
      <w:r>
        <w:rPr>
          <w:i/>
          <w:szCs w:val="22"/>
          <w:lang w:val="en-GB"/>
        </w:rPr>
      </w: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parties acknowledge that:</w:t>
      </w:r>
    </w:p>
    <w:p>
      <w:pPr>
        <w:pStyle w:val="Normal"/>
        <w:spacing w:before="0" w:after="0"/>
        <w:jc w:val="both"/>
        <w:rPr>
          <w:szCs w:val="22"/>
          <w:lang w:val="en-GB"/>
        </w:rPr>
      </w:pPr>
      <w:r>
        <w:rPr>
          <w:szCs w:val="22"/>
          <w:lang w:val="en-GB"/>
        </w:rPr>
      </w:r>
    </w:p>
    <w:p>
      <w:pPr>
        <w:pStyle w:val="Normal"/>
        <w:numPr>
          <w:ilvl w:val="0"/>
          <w:numId w:val="10"/>
        </w:numPr>
        <w:spacing w:before="0" w:after="0"/>
        <w:jc w:val="both"/>
        <w:rPr>
          <w:szCs w:val="22"/>
          <w:lang w:val="en-GB"/>
        </w:rPr>
      </w:pPr>
      <w:r>
        <w:rPr>
          <w:szCs w:val="22"/>
          <w:lang w:val="en-GB"/>
        </w:rPr>
        <w:t>there may be Projects that have not been correctly identified and/or categorised in Attachments 9-A (</w:t>
      </w:r>
      <w:r>
        <w:rPr>
          <w:i/>
          <w:szCs w:val="22"/>
          <w:lang w:val="en-GB"/>
        </w:rPr>
        <w:t>Projects List</w:t>
      </w:r>
      <w:r>
        <w:rPr>
          <w:szCs w:val="22"/>
          <w:lang w:val="en-GB"/>
        </w:rPr>
        <w:t>);</w:t>
      </w:r>
    </w:p>
    <w:p>
      <w:pPr>
        <w:pStyle w:val="Normal"/>
        <w:spacing w:before="0" w:after="0"/>
        <w:ind w:start="360" w:end="0"/>
        <w:jc w:val="both"/>
        <w:rPr>
          <w:szCs w:val="22"/>
          <w:lang w:val="en-GB"/>
        </w:rPr>
      </w:pPr>
      <w:r>
        <w:rPr>
          <w:szCs w:val="22"/>
          <w:lang w:val="en-GB"/>
        </w:rPr>
      </w:r>
    </w:p>
    <w:p>
      <w:pPr>
        <w:pStyle w:val="Normal"/>
        <w:numPr>
          <w:ilvl w:val="0"/>
          <w:numId w:val="10"/>
        </w:numPr>
        <w:spacing w:before="0" w:after="0"/>
        <w:jc w:val="both"/>
        <w:rPr>
          <w:szCs w:val="22"/>
          <w:lang w:val="en-GB"/>
        </w:rPr>
      </w:pPr>
      <w:r>
        <w:rPr>
          <w:szCs w:val="22"/>
          <w:lang w:val="en-GB"/>
        </w:rPr>
        <w:t>there may be scope changes to existing Projects;</w:t>
      </w:r>
    </w:p>
    <w:p>
      <w:pPr>
        <w:pStyle w:val="Normal"/>
        <w:spacing w:before="0" w:after="0"/>
        <w:jc w:val="both"/>
        <w:rPr>
          <w:szCs w:val="22"/>
          <w:lang w:val="en-GB"/>
        </w:rPr>
      </w:pPr>
      <w:r>
        <w:rPr>
          <w:szCs w:val="22"/>
          <w:lang w:val="en-GB"/>
        </w:rPr>
      </w:r>
    </w:p>
    <w:p>
      <w:pPr>
        <w:pStyle w:val="Normal"/>
        <w:numPr>
          <w:ilvl w:val="0"/>
          <w:numId w:val="10"/>
        </w:numPr>
        <w:spacing w:before="0" w:after="0"/>
        <w:jc w:val="both"/>
        <w:rPr>
          <w:szCs w:val="22"/>
          <w:lang w:val="en-GB"/>
        </w:rPr>
      </w:pPr>
      <w:r>
        <w:rPr>
          <w:szCs w:val="22"/>
          <w:lang w:val="en-GB"/>
        </w:rPr>
        <w:t>unknown Projects may be discovered after Effective Date;</w:t>
      </w:r>
    </w:p>
    <w:p>
      <w:pPr>
        <w:pStyle w:val="Normal"/>
        <w:spacing w:before="0" w:after="0"/>
        <w:jc w:val="both"/>
        <w:rPr>
          <w:szCs w:val="22"/>
          <w:lang w:val="en-GB"/>
        </w:rPr>
      </w:pPr>
      <w:r>
        <w:rPr>
          <w:szCs w:val="22"/>
          <w:lang w:val="en-GB"/>
        </w:rPr>
      </w:r>
    </w:p>
    <w:p>
      <w:pPr>
        <w:pStyle w:val="Normal"/>
        <w:numPr>
          <w:ilvl w:val="0"/>
          <w:numId w:val="10"/>
        </w:numPr>
        <w:spacing w:before="0" w:after="0"/>
        <w:jc w:val="both"/>
        <w:rPr>
          <w:szCs w:val="22"/>
          <w:lang w:val="en-GB"/>
        </w:rPr>
      </w:pPr>
      <w:r>
        <w:rPr>
          <w:szCs w:val="22"/>
          <w:lang w:val="en-GB"/>
        </w:rPr>
        <w:t>as a result of business requirements, EuroBank may be required to initiate a new Project between Effective Date and Commencement Date.</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Changes arising from any of the above scenarios will need to be addressed after the Effective Date. The change control and reconciliation processes for dealing with such changes are set out in this Exhibit 9.</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It is accepted that the responsibilities of 2IM and the PST Suppliers arising out of and in relation to the Projects are, in each case, subject to (i) the appropriate cooperation of any Third Party Vendor in performing its own obligations in relation to the Project, and (ii) the necessary input and assistance of EuroBank for each Project. Any issues with regard to the required cooperation or input from Third Party Vendors or EuroBank shall be referred to the 2IM for adjudication.</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 xml:space="preserve">The PST Supplier(s) are required to prepare and submit to EuroBank (after consolidation and validation by the 2IM) an “Annual Projects Plan” for each calendar year (beginning in 2007) identifying and defining such Projects to be executed during the course of that year. The Annual Projects Plan should give timelines for execution of the Projects and should be delivered to EuroBank by the 31st December of the preceding year at the latest. </w:t>
      </w:r>
      <w:r>
        <w:rPr>
          <w:b/>
          <w:i/>
          <w:szCs w:val="22"/>
          <w:lang w:val="en-GB"/>
        </w:rPr>
      </w:r>
      <w:r>
        <w:rPr>
          <w:szCs w:val="22"/>
          <w:lang w:val="en-GB"/>
        </w:rPr>
      </w:r>
      <w:r>
        <w:rPr>
          <w:szCs w:val="22"/>
          <w:vertAlign w:val="superscript"/>
          <w:lang w:val="en-GB"/>
        </w:rPr>
      </w: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Subject to the last paragraph, this Exhibit 9 deals solely with ongoing Projects identified during the Project Reconciliation Process outlines below. All other Projects will be handled by the Change Control Procedure under Exhibit 22 (Change Control Procedures).</w:t>
      </w:r>
    </w:p>
    <w:p>
      <w:pPr>
        <w:pStyle w:val="Normal"/>
        <w:spacing w:before="0" w:after="0"/>
        <w:jc w:val="both"/>
        <w:rPr>
          <w:szCs w:val="22"/>
          <w:lang w:val="en-GB"/>
        </w:rPr>
      </w:pPr>
      <w:r>
        <w:rPr>
          <w:szCs w:val="22"/>
          <w:lang w:val="en-GB"/>
        </w:rPr>
      </w:r>
    </w:p>
    <w:p>
      <w:pPr>
        <w:pStyle w:val="Heading1Numbered"/>
        <w:numPr>
          <w:ilvl w:val="0"/>
          <w:numId w:val="2"/>
        </w:numPr>
        <w:spacing w:before="0" w:after="0"/>
        <w:ind w:hanging="0" w:start="0"/>
        <w:rPr>
          <w:sz w:val="22"/>
          <w:szCs w:val="22"/>
        </w:rPr>
      </w:pPr>
      <w:bookmarkStart w:id="1" w:name="__RefHeading___Toc151791797"/>
      <w:bookmarkEnd w:id="1"/>
      <w:r>
        <w:rPr>
          <w:sz w:val="22"/>
          <w:szCs w:val="22"/>
        </w:rPr>
        <w:t>Project Reconciliation Process</w:t>
      </w:r>
    </w:p>
    <w:p>
      <w:pPr>
        <w:pStyle w:val="Normal"/>
        <w:spacing w:before="0" w:after="0"/>
        <w:rPr>
          <w:sz w:val="22"/>
          <w:szCs w:val="22"/>
        </w:rPr>
      </w:pPr>
      <w:r>
        <w:rPr>
          <w:sz w:val="22"/>
          <w:szCs w:val="22"/>
        </w:rPr>
      </w:r>
    </w:p>
    <w:p>
      <w:pPr>
        <w:pStyle w:val="Normal"/>
        <w:spacing w:before="0" w:after="0"/>
        <w:rPr/>
      </w:pPr>
      <w:r>
        <w:rPr/>
        <w:t>In view of the uncertainty surrounding ongoing Projects as expressed in Section 1 above, the parties have agreed that a reconciliation of EuroBank’s Projects will occur before Commencement Date in the following manner:</w:t>
      </w:r>
    </w:p>
    <w:p>
      <w:pPr>
        <w:pStyle w:val="Normal"/>
        <w:spacing w:before="0" w:after="0"/>
        <w:rPr/>
      </w:pPr>
      <w:r>
        <w:rPr/>
      </w:r>
    </w:p>
    <w:p>
      <w:pPr>
        <w:pStyle w:val="Normal"/>
        <w:spacing w:before="0" w:after="0"/>
        <w:ind w:hanging="720" w:start="720" w:end="0"/>
        <w:jc w:val="both"/>
        <w:rPr/>
      </w:pPr>
      <w:r>
        <w:rPr>
          <w:szCs w:val="22"/>
          <w:lang w:val="en-GB"/>
        </w:rPr>
        <w:t>2.1</w:t>
        <w:tab/>
        <w:t>The parties shall consult together in good faith on a date that is not less than 15 days prior to the Commencement Date with a view to agreeing:</w:t>
      </w:r>
    </w:p>
    <w:p>
      <w:pPr>
        <w:pStyle w:val="Normal"/>
        <w:spacing w:before="0" w:after="0"/>
        <w:ind w:start="720" w:end="0"/>
        <w:jc w:val="both"/>
        <w:rPr>
          <w:szCs w:val="22"/>
          <w:lang w:val="en-GB"/>
        </w:rPr>
      </w:pPr>
      <w:r>
        <w:rPr>
          <w:szCs w:val="22"/>
          <w:lang w:val="en-GB"/>
        </w:rPr>
      </w:r>
    </w:p>
    <w:p>
      <w:pPr>
        <w:pStyle w:val="Normal"/>
        <w:numPr>
          <w:ilvl w:val="0"/>
          <w:numId w:val="5"/>
        </w:numPr>
        <w:spacing w:before="0" w:after="0"/>
        <w:jc w:val="both"/>
        <w:rPr>
          <w:szCs w:val="22"/>
          <w:lang w:val="en-GB"/>
        </w:rPr>
      </w:pPr>
      <w:r>
        <w:rPr>
          <w:szCs w:val="22"/>
          <w:lang w:val="en-GB"/>
        </w:rPr>
        <w:t>the list of ongoing Projects that the PST Suppliers will take over on the Commencement Date;</w:t>
      </w:r>
    </w:p>
    <w:p>
      <w:pPr>
        <w:pStyle w:val="Normal"/>
        <w:spacing w:before="0" w:after="0"/>
        <w:ind w:start="720" w:end="0"/>
        <w:jc w:val="both"/>
        <w:rPr>
          <w:szCs w:val="22"/>
          <w:lang w:val="en-GB"/>
        </w:rPr>
      </w:pPr>
      <w:r>
        <w:rPr>
          <w:szCs w:val="22"/>
          <w:lang w:val="en-GB"/>
        </w:rPr>
      </w:r>
    </w:p>
    <w:p>
      <w:pPr>
        <w:pStyle w:val="Normal"/>
        <w:numPr>
          <w:ilvl w:val="0"/>
          <w:numId w:val="5"/>
        </w:numPr>
        <w:spacing w:before="0" w:after="0"/>
        <w:jc w:val="both"/>
        <w:rPr>
          <w:szCs w:val="22"/>
          <w:lang w:val="en-GB"/>
        </w:rPr>
      </w:pPr>
      <w:r>
        <w:rPr>
          <w:szCs w:val="22"/>
          <w:lang w:val="en-GB"/>
        </w:rPr>
        <w:t>the detailed Project plan for each Project (including the risks associated with each of them);</w:t>
      </w:r>
    </w:p>
    <w:p>
      <w:pPr>
        <w:pStyle w:val="Normal"/>
        <w:spacing w:before="0" w:after="0"/>
        <w:jc w:val="both"/>
        <w:rPr>
          <w:szCs w:val="22"/>
          <w:lang w:val="en-GB"/>
        </w:rPr>
      </w:pPr>
      <w:r>
        <w:rPr>
          <w:szCs w:val="22"/>
          <w:lang w:val="en-GB"/>
        </w:rPr>
      </w:r>
    </w:p>
    <w:p>
      <w:pPr>
        <w:pStyle w:val="Normal"/>
        <w:numPr>
          <w:ilvl w:val="0"/>
          <w:numId w:val="5"/>
        </w:numPr>
        <w:spacing w:before="0" w:after="0"/>
        <w:jc w:val="both"/>
        <w:rPr>
          <w:szCs w:val="22"/>
          <w:lang w:val="en-GB"/>
        </w:rPr>
      </w:pPr>
      <w:r>
        <w:rPr>
          <w:szCs w:val="22"/>
          <w:lang w:val="en-GB"/>
        </w:rPr>
        <w:t>the percentages for completed work and for what work that remains to be done for each Project;</w:t>
      </w:r>
    </w:p>
    <w:p>
      <w:pPr>
        <w:pStyle w:val="Normal"/>
        <w:spacing w:before="0" w:after="0"/>
        <w:jc w:val="both"/>
        <w:rPr>
          <w:szCs w:val="22"/>
          <w:lang w:val="en-GB"/>
        </w:rPr>
      </w:pPr>
      <w:r>
        <w:rPr>
          <w:szCs w:val="22"/>
          <w:lang w:val="en-GB"/>
        </w:rPr>
      </w:r>
    </w:p>
    <w:p>
      <w:pPr>
        <w:pStyle w:val="Normal"/>
        <w:numPr>
          <w:ilvl w:val="0"/>
          <w:numId w:val="5"/>
        </w:numPr>
        <w:spacing w:before="0" w:after="0"/>
        <w:jc w:val="both"/>
        <w:rPr>
          <w:szCs w:val="22"/>
          <w:lang w:val="en-GB"/>
        </w:rPr>
      </w:pPr>
      <w:r>
        <w:rPr>
          <w:szCs w:val="22"/>
          <w:lang w:val="en-GB"/>
        </w:rPr>
        <w:t>the identities of the EuroBank staff who were previously working on the Projects and who may or may not, be amongst the Affected Employees to be transitioned to the PST Suppliers on the Commencement Date. It is accepted that the transition of Affected Employees will mitigate the risks of the Project transfer, and this will be taken into account in the meetings referred to above. The PST Suppliers will be required to manage the transition of the Affected Employees and utilise their knowledge and expertise in an ongoing and effective manner to ensure progress and continuity of the Projects;</w:t>
      </w:r>
    </w:p>
    <w:p>
      <w:pPr>
        <w:pStyle w:val="Normal"/>
        <w:spacing w:before="0" w:after="0"/>
        <w:jc w:val="both"/>
        <w:rPr>
          <w:szCs w:val="22"/>
          <w:lang w:val="en-GB"/>
        </w:rPr>
      </w:pPr>
      <w:r>
        <w:rPr>
          <w:szCs w:val="22"/>
          <w:lang w:val="en-GB"/>
        </w:rPr>
      </w:r>
    </w:p>
    <w:p>
      <w:pPr>
        <w:pStyle w:val="Normal"/>
        <w:numPr>
          <w:ilvl w:val="0"/>
          <w:numId w:val="5"/>
        </w:numPr>
        <w:spacing w:before="0" w:after="0"/>
        <w:jc w:val="both"/>
        <w:rPr>
          <w:szCs w:val="22"/>
          <w:lang w:val="en-GB"/>
        </w:rPr>
      </w:pPr>
      <w:r>
        <w:rPr>
          <w:szCs w:val="22"/>
          <w:lang w:val="en-GB"/>
        </w:rPr>
        <w:t>whether or not the Project is fixed price or “time and materials” in nature;</w:t>
      </w:r>
    </w:p>
    <w:p>
      <w:pPr>
        <w:pStyle w:val="Normal"/>
        <w:spacing w:before="0" w:after="0"/>
        <w:jc w:val="both"/>
        <w:rPr>
          <w:szCs w:val="22"/>
          <w:lang w:val="en-GB"/>
        </w:rPr>
      </w:pPr>
      <w:r>
        <w:rPr>
          <w:szCs w:val="22"/>
          <w:lang w:val="en-GB"/>
        </w:rPr>
      </w:r>
    </w:p>
    <w:p>
      <w:pPr>
        <w:pStyle w:val="Normal"/>
        <w:numPr>
          <w:ilvl w:val="0"/>
          <w:numId w:val="5"/>
        </w:numPr>
        <w:spacing w:before="0" w:after="0"/>
        <w:jc w:val="both"/>
        <w:rPr>
          <w:szCs w:val="22"/>
          <w:lang w:val="en-GB"/>
        </w:rPr>
      </w:pPr>
      <w:r>
        <w:rPr>
          <w:szCs w:val="22"/>
          <w:lang w:val="en-GB"/>
        </w:rPr>
        <w:t>wherever possible, the PST Suppliers’ proposed post-Commencement Date Charges for each Project (such Charges to be validated by 2IM in each case). In the event of failure to agree the Charges at this stage, the Charges will be calculated using the Project Pricing Mechanism set out in Section 4 below.</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2.2</w:t>
        <w:tab/>
        <w:t>The outcome of the discussions in Section 2.1 above shall be reduced into a list which will replace the list in Attachment 9-A (the new list being known as the “</w:t>
      </w:r>
      <w:r>
        <w:rPr>
          <w:b/>
          <w:i/>
          <w:szCs w:val="22"/>
          <w:lang w:val="en-GB"/>
        </w:rPr>
        <w:t>Agreed Projects List</w:t>
      </w:r>
      <w:r>
        <w:rPr>
          <w:szCs w:val="22"/>
          <w:lang w:val="en-GB"/>
        </w:rPr>
        <w:t>”);</w:t>
      </w:r>
    </w:p>
    <w:p>
      <w:pPr>
        <w:pStyle w:val="Normal"/>
        <w:spacing w:before="0" w:after="0"/>
        <w:jc w:val="both"/>
        <w:rPr>
          <w:szCs w:val="22"/>
          <w:lang w:val="en-GB"/>
        </w:rPr>
      </w:pPr>
      <w:r>
        <w:rPr>
          <w:szCs w:val="22"/>
          <w:lang w:val="en-GB"/>
        </w:rPr>
      </w:r>
    </w:p>
    <w:p>
      <w:pPr>
        <w:pStyle w:val="Normal"/>
        <w:numPr>
          <w:ilvl w:val="1"/>
          <w:numId w:val="7"/>
        </w:numPr>
        <w:spacing w:before="0" w:after="0"/>
        <w:jc w:val="both"/>
        <w:rPr>
          <w:szCs w:val="22"/>
          <w:lang w:val="en-GB"/>
        </w:rPr>
      </w:pPr>
      <w:r>
        <w:rPr>
          <w:szCs w:val="22"/>
          <w:lang w:val="en-GB"/>
        </w:rPr>
        <w:t>On a date that is not less than 5 days prior to the Commencement Date, the PST Supplier(s) will provide to EuroBank (after validation by the 2IM) a transition plan for each of the Projects from the Agreed Projects List that sets out:</w:t>
      </w:r>
    </w:p>
    <w:p>
      <w:pPr>
        <w:pStyle w:val="Normal"/>
        <w:spacing w:before="0" w:after="0"/>
        <w:jc w:val="both"/>
        <w:rPr>
          <w:szCs w:val="22"/>
          <w:lang w:val="en-GB"/>
        </w:rPr>
      </w:pPr>
      <w:r>
        <w:rPr>
          <w:szCs w:val="22"/>
          <w:lang w:val="en-GB"/>
        </w:rPr>
      </w:r>
    </w:p>
    <w:p>
      <w:pPr>
        <w:pStyle w:val="Normal"/>
        <w:numPr>
          <w:ilvl w:val="0"/>
          <w:numId w:val="4"/>
        </w:numPr>
        <w:tabs>
          <w:tab w:val="clear" w:pos="720"/>
          <w:tab w:val="left" w:pos="1440" w:leader="none"/>
        </w:tabs>
        <w:spacing w:before="0" w:after="0"/>
        <w:ind w:hanging="720" w:start="1440" w:end="0"/>
        <w:jc w:val="both"/>
        <w:rPr>
          <w:szCs w:val="22"/>
          <w:lang w:val="en-GB"/>
        </w:rPr>
      </w:pPr>
      <w:r>
        <w:rPr>
          <w:szCs w:val="22"/>
          <w:lang w:val="en-GB"/>
        </w:rPr>
        <w:t>the detail of how each Project is to be transitioned; and</w:t>
      </w:r>
    </w:p>
    <w:p>
      <w:pPr>
        <w:pStyle w:val="Normal"/>
        <w:spacing w:before="0" w:after="0"/>
        <w:ind w:start="720" w:end="0"/>
        <w:jc w:val="both"/>
        <w:rPr>
          <w:szCs w:val="22"/>
          <w:lang w:val="en-GB"/>
        </w:rPr>
      </w:pPr>
      <w:r>
        <w:rPr>
          <w:szCs w:val="22"/>
          <w:lang w:val="en-GB"/>
        </w:rPr>
      </w:r>
    </w:p>
    <w:p>
      <w:pPr>
        <w:pStyle w:val="Normal"/>
        <w:numPr>
          <w:ilvl w:val="0"/>
          <w:numId w:val="4"/>
        </w:numPr>
        <w:tabs>
          <w:tab w:val="clear" w:pos="720"/>
          <w:tab w:val="left" w:pos="1440" w:leader="none"/>
        </w:tabs>
        <w:spacing w:before="0" w:after="0"/>
        <w:ind w:hanging="720" w:start="1440" w:end="0"/>
        <w:jc w:val="both"/>
        <w:rPr>
          <w:szCs w:val="22"/>
          <w:lang w:val="en-GB"/>
        </w:rPr>
      </w:pPr>
      <w:r>
        <w:rPr>
          <w:szCs w:val="22"/>
          <w:lang w:val="en-GB"/>
        </w:rPr>
        <w:t>how any risks identified for the Project are to be mitigated.</w:t>
      </w:r>
    </w:p>
    <w:p>
      <w:pPr>
        <w:pStyle w:val="Normal"/>
        <w:spacing w:before="0" w:after="0"/>
        <w:jc w:val="both"/>
        <w:rPr>
          <w:szCs w:val="22"/>
          <w:lang w:val="en-GB"/>
        </w:rPr>
      </w:pPr>
      <w:r>
        <w:rPr>
          <w:szCs w:val="22"/>
          <w:lang w:val="en-GB"/>
        </w:rPr>
      </w:r>
    </w:p>
    <w:p>
      <w:pPr>
        <w:pStyle w:val="Normal"/>
        <w:numPr>
          <w:ilvl w:val="1"/>
          <w:numId w:val="7"/>
        </w:numPr>
        <w:spacing w:before="0" w:after="0"/>
        <w:jc w:val="both"/>
        <w:rPr>
          <w:szCs w:val="22"/>
          <w:lang w:val="en-GB"/>
        </w:rPr>
      </w:pPr>
      <w:r>
        <w:rPr>
          <w:szCs w:val="22"/>
          <w:lang w:val="en-GB"/>
        </w:rPr>
        <w:t xml:space="preserve">Each Project for which the transition plan from Section 2.3 above is approved by EuroBank which approval is not to be unreasonably withheld will then be transitioned to the PST Supplier(s) on or from the Commencement Date in accordance with its transition plan. </w:t>
      </w:r>
    </w:p>
    <w:p>
      <w:pPr>
        <w:pStyle w:val="Normal"/>
        <w:spacing w:before="0" w:after="0"/>
        <w:rPr>
          <w:szCs w:val="22"/>
          <w:lang w:val="en-GB"/>
        </w:rPr>
      </w:pPr>
      <w:r>
        <w:rPr>
          <w:szCs w:val="22"/>
          <w:lang w:val="en-GB"/>
        </w:rPr>
      </w:r>
    </w:p>
    <w:p>
      <w:pPr>
        <w:pStyle w:val="Heading1Numbered"/>
        <w:numPr>
          <w:ilvl w:val="0"/>
          <w:numId w:val="2"/>
        </w:numPr>
        <w:spacing w:before="0" w:after="0"/>
        <w:ind w:hanging="0" w:start="0"/>
        <w:rPr>
          <w:bCs/>
          <w:sz w:val="22"/>
          <w:szCs w:val="22"/>
        </w:rPr>
      </w:pPr>
      <w:bookmarkStart w:id="2" w:name="__RefHeading___Toc151791798"/>
      <w:bookmarkEnd w:id="2"/>
      <w:r>
        <w:rPr>
          <w:bCs/>
          <w:sz w:val="22"/>
          <w:szCs w:val="22"/>
        </w:rPr>
        <w:t>Project Categories &amp; Descriptions</w:t>
      </w:r>
    </w:p>
    <w:p>
      <w:pPr>
        <w:pStyle w:val="Normal"/>
        <w:spacing w:before="0" w:after="0"/>
        <w:jc w:val="both"/>
        <w:rPr>
          <w:bCs/>
          <w:sz w:val="22"/>
          <w:szCs w:val="22"/>
          <w:lang w:val="en-GB"/>
        </w:rPr>
      </w:pPr>
      <w:r>
        <w:rPr>
          <w:bCs/>
          <w:sz w:val="22"/>
          <w:szCs w:val="22"/>
          <w:lang w:val="en-GB"/>
        </w:rPr>
      </w:r>
    </w:p>
    <w:p>
      <w:pPr>
        <w:pStyle w:val="Normal"/>
        <w:spacing w:before="0" w:after="0"/>
        <w:jc w:val="both"/>
        <w:rPr/>
      </w:pPr>
      <w:r>
        <w:rPr>
          <w:szCs w:val="22"/>
          <w:lang w:val="en-GB"/>
        </w:rPr>
        <w:t>EuroBank’s ongoing Projects fall into the two (2) separate categories as defined below:</w:t>
      </w:r>
    </w:p>
    <w:p>
      <w:pPr>
        <w:pStyle w:val="Heading2Numbered"/>
        <w:numPr>
          <w:ilvl w:val="1"/>
          <w:numId w:val="2"/>
        </w:numPr>
        <w:ind w:hanging="0" w:start="0"/>
        <w:rPr>
          <w:sz w:val="22"/>
          <w:szCs w:val="22"/>
          <w:lang w:val="en-GB"/>
        </w:rPr>
      </w:pPr>
      <w:bookmarkStart w:id="3" w:name="__RefHeading___Toc151791799"/>
      <w:bookmarkEnd w:id="3"/>
      <w:r>
        <w:rPr>
          <w:sz w:val="22"/>
          <w:szCs w:val="22"/>
          <w:lang w:val="en-GB"/>
        </w:rPr>
        <w:t>Baseline Projects:</w:t>
      </w:r>
    </w:p>
    <w:p>
      <w:pPr>
        <w:pStyle w:val="BodytextHM"/>
        <w:spacing w:before="0" w:after="0"/>
        <w:ind w:hanging="709" w:end="0"/>
        <w:jc w:val="both"/>
        <w:rPr>
          <w:rFonts w:ascii="Times New Roman" w:hAnsi="Times New Roman" w:cs="Times New Roman"/>
          <w:szCs w:val="22"/>
          <w:u w:val="single"/>
          <w:lang w:val="en-GB"/>
        </w:rPr>
      </w:pPr>
      <w:r>
        <w:rPr>
          <w:rFonts w:cs="Times New Roman" w:ascii="Times New Roman" w:hAnsi="Times New Roman"/>
          <w:szCs w:val="22"/>
          <w:u w:val="single"/>
          <w:lang w:val="en-GB"/>
        </w:rPr>
        <w:t>Description:</w:t>
      </w:r>
    </w:p>
    <w:p>
      <w:pPr>
        <w:pStyle w:val="BodytextHM"/>
        <w:spacing w:before="0" w:after="0"/>
        <w:ind w:start="0" w:end="0"/>
        <w:jc w:val="both"/>
        <w:rPr>
          <w:rFonts w:ascii="Times New Roman" w:hAnsi="Times New Roman" w:cs="Times New Roman"/>
          <w:szCs w:val="22"/>
          <w:u w:val="single"/>
          <w:lang w:val="en-GB"/>
        </w:rPr>
      </w:pPr>
      <w:r>
        <w:rPr>
          <w:rFonts w:cs="Times New Roman" w:ascii="Times New Roman" w:hAnsi="Times New Roman"/>
          <w:szCs w:val="22"/>
          <w:u w:val="single"/>
          <w:lang w:val="en-GB"/>
        </w:rPr>
      </w:r>
    </w:p>
    <w:p>
      <w:pPr>
        <w:pStyle w:val="BodytextHM"/>
        <w:spacing w:before="0" w:after="0"/>
        <w:ind w:start="0" w:end="0"/>
        <w:jc w:val="both"/>
        <w:rPr>
          <w:rFonts w:ascii="Times New Roman" w:hAnsi="Times New Roman" w:cs="Times New Roman"/>
          <w:szCs w:val="22"/>
          <w:lang w:val="en-GB"/>
        </w:rPr>
      </w:pPr>
      <w:r>
        <w:rPr>
          <w:rFonts w:cs="Times New Roman" w:ascii="Times New Roman" w:hAnsi="Times New Roman"/>
          <w:szCs w:val="22"/>
          <w:lang w:val="en-GB"/>
        </w:rPr>
        <w:t xml:space="preserve">A Baseline Project comprises a set of In Scope activities that are managed as a Project. They are executed on a continuous basis, are ongoing throughout the year, and can be executed within all Bundles. They are not funded as discrete Projects by any external party beyond EuroBank’s SWS function and form part of what can reasonably be regarded as part of the Services under the MSA. </w:t>
      </w:r>
    </w:p>
    <w:p>
      <w:pPr>
        <w:pStyle w:val="BodytextHM"/>
        <w:spacing w:before="0" w:after="0"/>
        <w:ind w:hanging="709" w:end="0"/>
        <w:jc w:val="both"/>
        <w:rPr>
          <w:rFonts w:ascii="Times New Roman" w:hAnsi="Times New Roman" w:cs="Times New Roman"/>
          <w:szCs w:val="22"/>
          <w:u w:val="single"/>
          <w:lang w:val="en-GB"/>
        </w:rPr>
      </w:pPr>
      <w:r>
        <w:rPr>
          <w:rFonts w:cs="Times New Roman" w:ascii="Times New Roman" w:hAnsi="Times New Roman"/>
          <w:szCs w:val="22"/>
          <w:u w:val="single"/>
          <w:lang w:val="en-GB"/>
        </w:rPr>
      </w:r>
    </w:p>
    <w:p>
      <w:pPr>
        <w:pStyle w:val="Normal"/>
        <w:spacing w:before="0" w:after="0"/>
        <w:jc w:val="both"/>
        <w:rPr>
          <w:szCs w:val="22"/>
          <w:u w:val="single"/>
          <w:lang w:val="en-GB"/>
        </w:rPr>
      </w:pPr>
      <w:r>
        <w:rPr>
          <w:szCs w:val="22"/>
          <w:u w:val="single"/>
          <w:lang w:val="en-GB"/>
        </w:rPr>
        <w:t>Requirements:</w:t>
      </w:r>
    </w:p>
    <w:p>
      <w:pPr>
        <w:pStyle w:val="Normal"/>
        <w:spacing w:before="0" w:after="0"/>
        <w:jc w:val="both"/>
        <w:rPr>
          <w:szCs w:val="22"/>
          <w:u w:val="single"/>
          <w:lang w:val="en-GB"/>
        </w:rPr>
      </w:pPr>
      <w:r>
        <w:rPr>
          <w:szCs w:val="22"/>
          <w:u w:val="single"/>
          <w:lang w:val="en-GB"/>
        </w:rPr>
      </w:r>
    </w:p>
    <w:p>
      <w:pPr>
        <w:pStyle w:val="Normal"/>
        <w:spacing w:before="0" w:after="0"/>
        <w:jc w:val="both"/>
        <w:rPr/>
      </w:pPr>
      <w:r>
        <w:rPr>
          <w:szCs w:val="22"/>
          <w:lang w:val="en-GB"/>
        </w:rPr>
        <w:t>The PST Suppliers are required to take over delivery of, accountability for and responsibility for the Baseline Projects as from the Commencement Date. The PST Suppliers are required to effect a smooth transition from EuroBank responsibility to PST Supplier responsibility as at the Commencement Date and to thereafter manage the Projects as part of the Services;</w:t>
      </w:r>
    </w:p>
    <w:p>
      <w:pPr>
        <w:pStyle w:val="Normal"/>
        <w:spacing w:before="0" w:after="0"/>
        <w:jc w:val="both"/>
        <w:rPr>
          <w:szCs w:val="22"/>
          <w:u w:val="single"/>
          <w:lang w:val="en-GB"/>
        </w:rPr>
      </w:pPr>
      <w:r>
        <w:rPr>
          <w:szCs w:val="22"/>
          <w:u w:val="single"/>
          <w:lang w:val="en-GB"/>
        </w:rPr>
      </w:r>
    </w:p>
    <w:p>
      <w:pPr>
        <w:pStyle w:val="Normal"/>
        <w:spacing w:before="0" w:after="0"/>
        <w:jc w:val="both"/>
        <w:rPr>
          <w:szCs w:val="22"/>
          <w:u w:val="single"/>
          <w:lang w:val="en-GB"/>
        </w:rPr>
      </w:pPr>
      <w:r>
        <w:rPr>
          <w:szCs w:val="22"/>
          <w:u w:val="single"/>
          <w:lang w:val="en-GB"/>
        </w:rPr>
        <w:t>Financial Responsibility:</w:t>
      </w:r>
    </w:p>
    <w:p>
      <w:pPr>
        <w:pStyle w:val="Normal"/>
        <w:spacing w:before="0" w:after="0"/>
        <w:jc w:val="both"/>
        <w:rPr>
          <w:szCs w:val="22"/>
          <w:u w:val="single"/>
          <w:lang w:val="en-GB"/>
        </w:rPr>
      </w:pPr>
      <w:r>
        <w:rPr>
          <w:szCs w:val="22"/>
          <w:u w:val="single"/>
          <w:lang w:val="en-GB"/>
        </w:rPr>
      </w:r>
    </w:p>
    <w:p>
      <w:pPr>
        <w:pStyle w:val="Normal"/>
        <w:spacing w:before="0" w:after="0"/>
        <w:jc w:val="both"/>
        <w:rPr>
          <w:szCs w:val="22"/>
          <w:lang w:val="en-GB"/>
        </w:rPr>
      </w:pPr>
      <w:r>
        <w:rPr>
          <w:szCs w:val="22"/>
          <w:lang w:val="en-GB"/>
        </w:rPr>
        <w:t>The activities and work effort under the Baseline Projects form part of the Services under the Base Charges. On early termination of a Baseline Project, the PST Supplier’s Base Charges shall be reduced on a pro-rata basis (to be validated by the 2IM).</w:t>
      </w:r>
    </w:p>
    <w:p>
      <w:pPr>
        <w:pStyle w:val="Normal"/>
        <w:spacing w:before="0" w:after="0"/>
        <w:jc w:val="both"/>
        <w:rPr>
          <w:szCs w:val="22"/>
          <w:u w:val="single"/>
          <w:lang w:val="en-GB"/>
        </w:rPr>
      </w:pPr>
      <w:r>
        <w:rPr>
          <w:szCs w:val="22"/>
          <w:u w:val="single"/>
          <w:lang w:val="en-GB"/>
        </w:rPr>
      </w:r>
    </w:p>
    <w:p>
      <w:pPr>
        <w:pStyle w:val="Heading2Numbered"/>
        <w:numPr>
          <w:ilvl w:val="1"/>
          <w:numId w:val="2"/>
        </w:numPr>
        <w:ind w:hanging="0" w:start="0"/>
        <w:rPr>
          <w:bCs/>
          <w:sz w:val="22"/>
          <w:lang w:val="en-GB"/>
        </w:rPr>
      </w:pPr>
      <w:bookmarkStart w:id="4" w:name="__RefHeading___Toc151791800"/>
      <w:bookmarkEnd w:id="4"/>
      <w:r>
        <w:rPr>
          <w:bCs/>
          <w:sz w:val="22"/>
          <w:lang w:val="en-GB"/>
        </w:rPr>
        <w:t>EuroBank-Requested Projects:</w:t>
      </w:r>
    </w:p>
    <w:p>
      <w:pPr>
        <w:pStyle w:val="Normal"/>
        <w:spacing w:before="0" w:after="0"/>
        <w:jc w:val="both"/>
        <w:rPr>
          <w:szCs w:val="22"/>
          <w:u w:val="single"/>
          <w:lang w:val="en-GB"/>
        </w:rPr>
      </w:pPr>
      <w:r>
        <w:rPr>
          <w:szCs w:val="22"/>
          <w:u w:val="single"/>
          <w:lang w:val="en-GB"/>
        </w:rPr>
        <w:t>Description:</w:t>
      </w:r>
    </w:p>
    <w:p>
      <w:pPr>
        <w:pStyle w:val="Normal"/>
        <w:spacing w:before="0" w:after="0"/>
        <w:jc w:val="both"/>
        <w:rPr>
          <w:szCs w:val="22"/>
          <w:u w:val="single"/>
          <w:lang w:val="en-GB"/>
        </w:rPr>
      </w:pPr>
      <w:r>
        <w:rPr>
          <w:szCs w:val="22"/>
          <w:u w:val="single"/>
          <w:lang w:val="en-GB"/>
        </w:rPr>
      </w:r>
    </w:p>
    <w:p>
      <w:pPr>
        <w:pStyle w:val="Normal"/>
        <w:spacing w:before="0" w:after="0"/>
        <w:jc w:val="both"/>
        <w:rPr/>
      </w:pPr>
      <w:r>
        <w:rPr>
          <w:szCs w:val="22"/>
          <w:lang w:val="en-GB"/>
        </w:rPr>
        <w:t xml:space="preserve">EuroBank-Requested Projects are those Projects that were (prior to Effective Date) planned, initiated, and funded by SWS or its clients. The role of SWS in these Projects included the delivery of  resources as part of the Project team. Overall Project management of a EuroBank-Requested Project was in some instances done from within the client. EuroBank-Requested Projects are out of scope of the SWS Function. They can be initiated and executed on a continuous basis throughout the year. </w:t>
      </w:r>
    </w:p>
    <w:p>
      <w:pPr>
        <w:pStyle w:val="BodytextHM"/>
        <w:spacing w:before="0" w:after="0"/>
        <w:ind w:hanging="709" w:end="0"/>
        <w:jc w:val="both"/>
        <w:rPr>
          <w:rFonts w:ascii="Times New Roman" w:hAnsi="Times New Roman" w:cs="Times New Roman"/>
          <w:szCs w:val="22"/>
          <w:lang w:val="en-GB"/>
        </w:rPr>
      </w:pPr>
      <w:r>
        <w:rPr>
          <w:rFonts w:cs="Times New Roman" w:ascii="Times New Roman" w:hAnsi="Times New Roman"/>
          <w:szCs w:val="22"/>
          <w:lang w:val="en-GB"/>
        </w:rPr>
      </w:r>
    </w:p>
    <w:p>
      <w:pPr>
        <w:pStyle w:val="Normal"/>
        <w:spacing w:before="0" w:after="0"/>
        <w:jc w:val="both"/>
        <w:rPr>
          <w:szCs w:val="22"/>
          <w:u w:val="single"/>
          <w:lang w:val="en-GB"/>
        </w:rPr>
      </w:pPr>
      <w:r>
        <w:rPr>
          <w:szCs w:val="22"/>
          <w:u w:val="single"/>
          <w:lang w:val="en-GB"/>
        </w:rPr>
        <w:t>Requirements:</w:t>
      </w:r>
    </w:p>
    <w:p>
      <w:pPr>
        <w:pStyle w:val="Normal"/>
        <w:spacing w:before="0" w:after="0"/>
        <w:jc w:val="both"/>
        <w:rPr>
          <w:szCs w:val="22"/>
          <w:u w:val="single"/>
          <w:lang w:val="en-GB"/>
        </w:rPr>
      </w:pPr>
      <w:r>
        <w:rPr>
          <w:szCs w:val="22"/>
          <w:u w:val="single"/>
          <w:lang w:val="en-GB"/>
        </w:rPr>
      </w:r>
    </w:p>
    <w:p>
      <w:pPr>
        <w:pStyle w:val="Normal"/>
        <w:spacing w:before="0" w:after="0"/>
        <w:jc w:val="both"/>
        <w:rPr/>
      </w:pPr>
      <w:r>
        <w:rPr>
          <w:szCs w:val="22"/>
          <w:lang w:val="en-GB"/>
        </w:rPr>
        <w:t>The PST Suppliers are expected to honour commitments already made by SWS to its clients on these Projects prior to the Effective Date in terms of supplying the required resources and knowledge to those clients. The Projects will be identified and agreed during the Project Reconciliation Process under Section 2 above;</w:t>
      </w:r>
    </w:p>
    <w:p>
      <w:pPr>
        <w:pStyle w:val="Normal"/>
        <w:spacing w:before="0" w:after="0"/>
        <w:ind w:start="720" w:end="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Financial Responsibility:</w:t>
      </w:r>
    </w:p>
    <w:p>
      <w:pPr>
        <w:pStyle w:val="Normal"/>
        <w:spacing w:before="0" w:after="0"/>
        <w:jc w:val="both"/>
        <w:rPr>
          <w:szCs w:val="22"/>
          <w:u w:val="single"/>
          <w:lang w:val="en-GB"/>
        </w:rPr>
      </w:pPr>
      <w:r>
        <w:rPr>
          <w:szCs w:val="22"/>
          <w:u w:val="single"/>
          <w:lang w:val="en-GB"/>
        </w:rPr>
      </w:r>
    </w:p>
    <w:p>
      <w:pPr>
        <w:pStyle w:val="Normal"/>
        <w:spacing w:before="0" w:after="0"/>
        <w:jc w:val="both"/>
        <w:rPr>
          <w:lang w:val="en-GB"/>
        </w:rPr>
      </w:pPr>
      <w:r>
        <w:rPr>
          <w:szCs w:val="22"/>
          <w:lang w:val="en-GB"/>
        </w:rPr>
        <w:t>None of the work under EuroBank-Requested Projects form part of the PST Supplier’s Base Charges and will therefore be charged for separately according to the Project Pricing Mechanism set out in Section 4 below;</w:t>
      </w:r>
      <w:r>
        <w:rPr>
          <w:lang w:val="en-GB"/>
        </w:rPr>
      </w:r>
    </w:p>
    <w:p>
      <w:pPr>
        <w:pStyle w:val="Normal"/>
        <w:spacing w:before="0" w:after="0"/>
        <w:ind w:start="720" w:end="0"/>
        <w:jc w:val="both"/>
        <w:rPr>
          <w:lang w:val="en-GB"/>
        </w:rPr>
      </w:pPr>
      <w:r>
        <w:rPr>
          <w:lang w:val="en-GB"/>
        </w:rPr>
      </w:r>
    </w:p>
    <w:p>
      <w:pPr>
        <w:pStyle w:val="Normal"/>
        <w:spacing w:before="0" w:after="0"/>
        <w:jc w:val="both"/>
        <w:rPr>
          <w:szCs w:val="22"/>
          <w:lang w:val="en-GB"/>
        </w:rPr>
      </w:pPr>
      <w:r>
        <w:rPr>
          <w:szCs w:val="22"/>
          <w:lang w:val="en-GB"/>
        </w:rPr>
      </w:r>
    </w:p>
    <w:p>
      <w:pPr>
        <w:pStyle w:val="Heading1Numbered"/>
        <w:numPr>
          <w:ilvl w:val="0"/>
          <w:numId w:val="2"/>
        </w:numPr>
        <w:spacing w:before="0" w:after="0"/>
        <w:ind w:hanging="0" w:start="0"/>
        <w:rPr>
          <w:bCs/>
          <w:sz w:val="22"/>
          <w:szCs w:val="22"/>
        </w:rPr>
      </w:pPr>
      <w:bookmarkStart w:id="5" w:name="__RefHeading___Toc151791801"/>
      <w:bookmarkEnd w:id="5"/>
      <w:r>
        <w:rPr>
          <w:bCs/>
          <w:sz w:val="22"/>
          <w:szCs w:val="22"/>
        </w:rPr>
        <w:t xml:space="preserve">Project Pricing Mechanism </w:t>
      </w:r>
    </w:p>
    <w:p>
      <w:pPr>
        <w:pStyle w:val="Normal"/>
        <w:spacing w:before="0" w:after="0"/>
        <w:jc w:val="both"/>
        <w:rPr>
          <w:bCs/>
          <w:sz w:val="22"/>
          <w:szCs w:val="22"/>
          <w:lang w:val="en-GB"/>
        </w:rPr>
      </w:pPr>
      <w:r>
        <w:rPr>
          <w:bCs/>
          <w:sz w:val="22"/>
          <w:szCs w:val="22"/>
          <w:lang w:val="en-GB"/>
        </w:rPr>
      </w:r>
    </w:p>
    <w:p>
      <w:pPr>
        <w:pStyle w:val="Normal"/>
        <w:spacing w:before="0" w:after="0"/>
        <w:ind w:hanging="720" w:start="720" w:end="0"/>
        <w:jc w:val="both"/>
        <w:rPr>
          <w:szCs w:val="22"/>
          <w:lang w:val="en-GB"/>
        </w:rPr>
      </w:pPr>
      <w:r>
        <w:rPr>
          <w:szCs w:val="22"/>
          <w:lang w:val="en-GB"/>
        </w:rPr>
        <w:t>4.1</w:t>
        <w:tab/>
        <w:t>For ongoing EuroBank-Requested Projects, the PST Supplier will effectively “step into EuroBank’s shoes” as at the Commencement Date and will take over the work still to be completed under each Project at that date. The list of ongoing Projects will be agreed between the parties during the Project Reconciliation Process in Section 2 above. The pricing for those Projects will be agreed using the following process:</w:t>
      </w:r>
    </w:p>
    <w:p>
      <w:pPr>
        <w:pStyle w:val="Normal"/>
        <w:spacing w:before="0" w:after="0"/>
        <w:ind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other than where the Project is of a time and materials nature relating purely to the supply of resources to SWS or its clients, the pricing will wherever possible be prepared on a fixed price basis in all cases provided project scope and requirements are clear and the required efforts can be quantified with sufficient certainty at the moment of take-over to be able to agree a fixed price;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(ii)</w:t>
        <w:tab/>
        <w:t>the relevant project managers for EuroBank and 2IM (or the PST Supplier(s), as appropriate) shall meet together in good faith to agree effort and pricing, then 2IM will validate;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in the event of failure to agree under (ii) above, the following mechanism shall be used:</w:t>
      </w:r>
    </w:p>
    <w:p>
      <w:pPr>
        <w:pStyle w:val="Normal"/>
        <w:spacing w:before="0" w:after="0"/>
        <w:ind w:start="720" w:end="0"/>
        <w:jc w:val="both"/>
        <w:rPr>
          <w:szCs w:val="22"/>
          <w:lang w:val="en-GB"/>
        </w:rPr>
      </w:pPr>
      <w:r>
        <w:rPr>
          <w:szCs w:val="22"/>
          <w:lang w:val="en-GB"/>
        </w:rPr>
      </w:r>
    </w:p>
    <w:p>
      <w:pPr>
        <w:pStyle w:val="Normal"/>
        <w:spacing w:before="0" w:after="0"/>
        <w:ind w:hanging="720" w:start="720" w:end="0"/>
        <w:jc w:val="both"/>
        <w:rPr/>
      </w:pPr>
      <w:r>
        <w:rPr>
          <w:szCs w:val="22"/>
          <w:lang w:val="en-GB"/>
        </w:rPr>
        <w:t>4.2</w:t>
        <w:tab/>
        <w:t>The PST Supplier(s) shall submit a proposal for its Charges for taking over the uncompleted portion of the Project (the “</w:t>
      </w:r>
      <w:r>
        <w:rPr>
          <w:b/>
          <w:i/>
          <w:szCs w:val="22"/>
          <w:lang w:val="en-GB"/>
        </w:rPr>
        <w:t>Project Completion Charge</w:t>
      </w:r>
      <w:r>
        <w:rPr>
          <w:szCs w:val="22"/>
          <w:lang w:val="en-GB"/>
        </w:rPr>
        <w:t>”), When preparing the proposal, the PST Supplier shall use the agreed rates from Attachment 4-E (</w:t>
      </w:r>
      <w:r>
        <w:rPr>
          <w:i/>
          <w:szCs w:val="22"/>
          <w:lang w:val="en-GB"/>
        </w:rPr>
        <w:t>Project Rate Cards</w:t>
      </w:r>
      <w:r>
        <w:rPr>
          <w:szCs w:val="22"/>
          <w:lang w:val="en-GB"/>
        </w:rPr>
        <w:t>), including utilising the Project Pool as a priority before raising other Charges (to the extent that it has not already been utilised in any given year);</w:t>
      </w:r>
    </w:p>
    <w:p>
      <w:pPr>
        <w:pStyle w:val="Normal"/>
        <w:spacing w:before="0" w:after="0"/>
        <w:ind w:start="720" w:end="0"/>
        <w:jc w:val="both"/>
        <w:rPr>
          <w:szCs w:val="22"/>
          <w:lang w:val="en-GB"/>
        </w:rPr>
      </w:pPr>
      <w:r>
        <w:rPr>
          <w:szCs w:val="22"/>
          <w:lang w:val="en-GB"/>
        </w:rPr>
      </w:r>
    </w:p>
    <w:p>
      <w:pPr>
        <w:pStyle w:val="Normal"/>
        <w:spacing w:before="0" w:after="0"/>
        <w:jc w:val="both"/>
        <w:rPr>
          <w:szCs w:val="22"/>
          <w:lang w:val="en-GB"/>
        </w:rPr>
      </w:pPr>
      <w:r>
        <w:rPr>
          <w:szCs w:val="22"/>
          <w:lang w:val="en-GB"/>
        </w:rPr>
        <w:t>4.3</w:t>
        <w:tab/>
        <w:t>EuroBank may either accept or reject the Project Completion Charge, at its discretion.</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4.4</w:t>
        <w:tab/>
        <w:t xml:space="preserve">Those Projects that have a Project Completion Charge of €25,000 (excluding hardware costs) or less shall be included in the “Small Projects Group”, with the number of such Projects being “N” in number. The PST Supplier(s) shall then be given a budget of €25,000 x N to complete the Projects in the Small Projects Group. Any costs for an individual Project above the €25,000 limit shall be at the PST Supplier’s risk; if the work is completed for less than €25,000 for any individual Project, this shall be at EuroBank’s risk (i.e. no refund shall be due to EuroBank) </w:t>
      </w:r>
    </w:p>
    <w:p>
      <w:pPr>
        <w:pStyle w:val="Normal"/>
        <w:spacing w:before="0" w:after="0"/>
        <w:jc w:val="both"/>
        <w:rPr>
          <w:szCs w:val="22"/>
          <w:lang w:val="en-GB"/>
        </w:rPr>
      </w:pPr>
      <w:r>
        <w:rPr>
          <w:szCs w:val="22"/>
          <w:lang w:val="en-GB"/>
        </w:rPr>
      </w:r>
    </w:p>
    <w:p>
      <w:pPr>
        <w:pStyle w:val="Normal"/>
        <w:numPr>
          <w:ilvl w:val="1"/>
          <w:numId w:val="12"/>
        </w:numPr>
        <w:tabs>
          <w:tab w:val="left" w:pos="720" w:leader="none"/>
        </w:tabs>
        <w:spacing w:before="0" w:after="0"/>
        <w:ind w:hanging="720" w:start="720" w:end="0"/>
        <w:jc w:val="both"/>
        <w:rPr>
          <w:szCs w:val="22"/>
          <w:lang w:val="en-GB"/>
        </w:rPr>
      </w:pPr>
      <w:r>
        <w:rPr>
          <w:szCs w:val="22"/>
          <w:lang w:val="en-GB"/>
        </w:rPr>
        <w:t>All other Projects not falling within the Small Projects Group shall be managed within the agreed Project Completion Charge for that Project.</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r>
    </w:p>
    <w:p>
      <w:pPr>
        <w:pStyle w:val="Heading1Numbered"/>
        <w:numPr>
          <w:ilvl w:val="0"/>
          <w:numId w:val="2"/>
        </w:numPr>
        <w:spacing w:before="0" w:after="0"/>
        <w:ind w:hanging="0" w:start="0"/>
        <w:rPr>
          <w:bCs/>
          <w:sz w:val="22"/>
          <w:szCs w:val="22"/>
        </w:rPr>
      </w:pPr>
      <w:bookmarkStart w:id="6" w:name="__RefHeading___Toc151791802"/>
      <w:bookmarkEnd w:id="6"/>
      <w:r>
        <w:rPr>
          <w:bCs/>
          <w:sz w:val="22"/>
          <w:szCs w:val="22"/>
        </w:rPr>
        <w:t>2IM &amp; PST Supplier Responsibilities</w:t>
      </w:r>
    </w:p>
    <w:p>
      <w:pPr>
        <w:pStyle w:val="Normal"/>
        <w:spacing w:before="0" w:after="0"/>
        <w:ind w:hanging="360" w:start="360" w:end="0"/>
        <w:jc w:val="both"/>
        <w:rPr>
          <w:bCs/>
          <w:sz w:val="22"/>
          <w:szCs w:val="22"/>
        </w:rPr>
      </w:pPr>
      <w:r>
        <w:rPr>
          <w:bCs/>
          <w:sz w:val="22"/>
          <w:szCs w:val="22"/>
        </w:rPr>
      </w:r>
    </w:p>
    <w:p>
      <w:pPr>
        <w:pStyle w:val="Normal"/>
        <w:spacing w:before="0" w:after="0"/>
        <w:ind w:hanging="720" w:start="720" w:end="0"/>
        <w:jc w:val="both"/>
        <w:rPr>
          <w:szCs w:val="22"/>
          <w:lang w:val="en-GB"/>
        </w:rPr>
      </w:pPr>
      <w:r>
        <w:rPr>
          <w:szCs w:val="22"/>
          <w:lang w:val="en-GB"/>
        </w:rPr>
        <w:t>5.1</w:t>
        <w:tab/>
        <w:t>The 2IM &amp; PST Supplier’s Project management responsibilities for the Projects shall be as required under the MSA and in particular Section 6 of Exhibit 2.0 (</w:t>
      </w:r>
      <w:r>
        <w:rPr>
          <w:i/>
          <w:szCs w:val="22"/>
          <w:lang w:val="en-GB"/>
        </w:rPr>
        <w:t>Statement of Work</w:t>
      </w:r>
      <w:r>
        <w:rPr>
          <w:szCs w:val="22"/>
          <w:lang w:val="en-GB"/>
        </w:rPr>
        <w: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5.2</w:t>
        <w:tab/>
        <w:t>For each Project, any issues with regard to the Project plan, Milestones, Deliverables, completion date, resource allocations or transition to the PST Supplier shall, in the first instance and within 7 days of the issue becoming known to the PST Supplier, be referred to the 2IM for adjudication. Where necessary, the 2IM shall refer the matter on to EuroBank in a timely manner;</w:t>
      </w:r>
      <w:r>
        <w:rPr>
          <w:szCs w:val="22"/>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5.3</w:t>
        <w:tab/>
      </w:r>
      <w:r>
        <w:rPr>
          <w:szCs w:val="22"/>
        </w:rPr>
        <w:t>The 2IM shall coordinate overall responsibility for program and Project management, and for consolidation of the PST Suppliers efforts under the Projects;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5.4</w:t>
        <w:tab/>
      </w:r>
      <w:r>
        <w:rPr>
          <w:szCs w:val="22"/>
        </w:rPr>
        <w:t>The PST Supplier’s responsibilities include:</w:t>
      </w:r>
    </w:p>
    <w:p>
      <w:pPr>
        <w:pStyle w:val="Normal"/>
        <w:spacing w:before="0" w:after="0"/>
        <w:ind w:hanging="360" w:start="360" w:end="0"/>
        <w:jc w:val="both"/>
        <w:rPr>
          <w:szCs w:val="22"/>
          <w:lang w:val="en-GB"/>
        </w:rPr>
      </w:pPr>
      <w:r>
        <w:rPr>
          <w:szCs w:val="22"/>
          <w:lang w:val="en-GB"/>
        </w:rPr>
      </w:r>
    </w:p>
    <w:p>
      <w:pPr>
        <w:pStyle w:val="Normal"/>
        <w:spacing w:before="0" w:after="0"/>
        <w:ind w:hanging="720" w:start="1440" w:end="0"/>
        <w:jc w:val="both"/>
        <w:rPr/>
      </w:pPr>
      <w:r>
        <w:rPr>
          <w:szCs w:val="22"/>
        </w:rPr>
        <w:t>(i)</w:t>
        <w:tab/>
        <w:t>Working with EuroBank and any Third Party Vendors in a collaborative and proactive manner to transition the services under each Project;</w:t>
      </w:r>
    </w:p>
    <w:p>
      <w:pPr>
        <w:pStyle w:val="Normal"/>
        <w:spacing w:before="0" w:after="0"/>
        <w:ind w:hanging="720" w:start="1440" w:end="0"/>
        <w:jc w:val="both"/>
        <w:rPr>
          <w:szCs w:val="22"/>
        </w:rPr>
      </w:pPr>
      <w:r>
        <w:rPr>
          <w:szCs w:val="22"/>
        </w:rPr>
      </w:r>
    </w:p>
    <w:p>
      <w:pPr>
        <w:pStyle w:val="Normal"/>
        <w:spacing w:before="0" w:after="0"/>
        <w:ind w:hanging="720" w:start="1440" w:end="0"/>
        <w:jc w:val="both"/>
        <w:rPr/>
      </w:pPr>
      <w:r>
        <w:rPr>
          <w:szCs w:val="22"/>
        </w:rPr>
        <w:t>(ii)</w:t>
        <w:tab/>
        <w:t>Maximising continuity, consistency and quality of service provision to EuroBank during the transition of any Project;</w:t>
      </w:r>
    </w:p>
    <w:p>
      <w:pPr>
        <w:pStyle w:val="Normal"/>
        <w:spacing w:before="0" w:after="0"/>
        <w:ind w:hanging="540" w:start="1260" w:end="0"/>
        <w:jc w:val="both"/>
        <w:rPr>
          <w:szCs w:val="22"/>
        </w:rPr>
      </w:pPr>
      <w:r>
        <w:rPr>
          <w:szCs w:val="22"/>
        </w:rPr>
      </w:r>
    </w:p>
    <w:p>
      <w:pPr>
        <w:pStyle w:val="Normal"/>
        <w:numPr>
          <w:ilvl w:val="0"/>
          <w:numId w:val="8"/>
        </w:numPr>
        <w:tabs>
          <w:tab w:val="clear" w:pos="720"/>
          <w:tab w:val="left" w:pos="1440" w:leader="none"/>
        </w:tabs>
        <w:spacing w:before="0" w:after="0"/>
        <w:ind w:hanging="720" w:start="1440" w:end="0"/>
        <w:jc w:val="both"/>
        <w:rPr>
          <w:szCs w:val="22"/>
        </w:rPr>
      </w:pPr>
      <w:r>
        <w:rPr>
          <w:szCs w:val="22"/>
        </w:rPr>
        <w:t>Delivering against the Milestones, delivering the Deliverables and completing each Project by the dates set out in its Project plan;</w:t>
      </w:r>
    </w:p>
    <w:p>
      <w:pPr>
        <w:pStyle w:val="Normal"/>
        <w:spacing w:before="0" w:after="0"/>
        <w:ind w:start="720" w:end="0"/>
        <w:jc w:val="both"/>
        <w:rPr>
          <w:szCs w:val="22"/>
        </w:rPr>
      </w:pPr>
      <w:r>
        <w:rPr>
          <w:szCs w:val="22"/>
        </w:rPr>
      </w:r>
    </w:p>
    <w:p>
      <w:pPr>
        <w:pStyle w:val="Normal"/>
        <w:numPr>
          <w:ilvl w:val="0"/>
          <w:numId w:val="8"/>
        </w:numPr>
        <w:tabs>
          <w:tab w:val="clear" w:pos="720"/>
          <w:tab w:val="left" w:pos="1440" w:leader="none"/>
        </w:tabs>
        <w:spacing w:before="0" w:after="0"/>
        <w:ind w:hanging="720" w:start="1440" w:end="0"/>
        <w:jc w:val="both"/>
        <w:rPr>
          <w:szCs w:val="22"/>
        </w:rPr>
      </w:pPr>
      <w:r>
        <w:rPr>
          <w:szCs w:val="22"/>
        </w:rPr>
        <w:t>Keeping EuroBank updated on a regular basis (via the 2IM) with the progress of each Project;</w:t>
      </w:r>
    </w:p>
    <w:p>
      <w:pPr>
        <w:pStyle w:val="Normal"/>
        <w:tabs>
          <w:tab w:val="clear" w:pos="720"/>
          <w:tab w:val="left" w:pos="1440" w:leader="none"/>
        </w:tabs>
        <w:spacing w:before="0" w:after="0"/>
        <w:ind w:start="360" w:end="0"/>
        <w:jc w:val="both"/>
        <w:rPr>
          <w:szCs w:val="22"/>
        </w:rPr>
      </w:pPr>
      <w:r>
        <w:rPr>
          <w:szCs w:val="22"/>
        </w:rPr>
      </w:r>
    </w:p>
    <w:p>
      <w:pPr>
        <w:pStyle w:val="Normal"/>
        <w:numPr>
          <w:ilvl w:val="0"/>
          <w:numId w:val="8"/>
        </w:numPr>
        <w:tabs>
          <w:tab w:val="clear" w:pos="720"/>
          <w:tab w:val="left" w:pos="1440" w:leader="none"/>
        </w:tabs>
        <w:spacing w:before="0" w:after="0"/>
        <w:ind w:hanging="720" w:start="1440" w:end="0"/>
        <w:jc w:val="both"/>
        <w:rPr>
          <w:szCs w:val="22"/>
        </w:rPr>
      </w:pPr>
      <w:r>
        <w:rPr>
          <w:szCs w:val="22"/>
        </w:rPr>
        <w:t>Properly documenting all aspects of the Project in accordance with best industry practice or any other agreed procedures;</w:t>
      </w:r>
    </w:p>
    <w:p>
      <w:pPr>
        <w:pStyle w:val="Normal"/>
        <w:tabs>
          <w:tab w:val="clear" w:pos="720"/>
          <w:tab w:val="left" w:pos="1440" w:leader="none"/>
        </w:tabs>
        <w:spacing w:before="0" w:after="0"/>
        <w:ind w:start="360" w:end="0"/>
        <w:jc w:val="both"/>
        <w:rPr>
          <w:szCs w:val="22"/>
        </w:rPr>
      </w:pPr>
      <w:r>
        <w:rPr>
          <w:szCs w:val="22"/>
        </w:rPr>
      </w:r>
    </w:p>
    <w:p>
      <w:pPr>
        <w:pStyle w:val="Normal"/>
        <w:numPr>
          <w:ilvl w:val="0"/>
          <w:numId w:val="8"/>
        </w:numPr>
        <w:tabs>
          <w:tab w:val="clear" w:pos="720"/>
          <w:tab w:val="left" w:pos="1440" w:leader="none"/>
        </w:tabs>
        <w:spacing w:before="0" w:after="0"/>
        <w:ind w:hanging="720" w:start="1440" w:end="0"/>
        <w:jc w:val="both"/>
        <w:rPr>
          <w:szCs w:val="22"/>
        </w:rPr>
      </w:pPr>
      <w:r>
        <w:rPr>
          <w:szCs w:val="22"/>
          <w:lang w:val="en-GB"/>
        </w:rPr>
        <w:t>Not agreeing to any revision or amendment of the scope of the Project without first obtaining EuroBank’s written consent to the proposed change;</w:t>
      </w:r>
    </w:p>
    <w:p>
      <w:pPr>
        <w:pStyle w:val="Normal"/>
        <w:tabs>
          <w:tab w:val="clear" w:pos="720"/>
          <w:tab w:val="left" w:pos="1440" w:leader="none"/>
        </w:tabs>
        <w:spacing w:before="0" w:after="0"/>
        <w:ind w:start="360" w:end="0"/>
        <w:jc w:val="both"/>
        <w:rPr>
          <w:szCs w:val="22"/>
          <w:lang w:val="en-GB"/>
        </w:rPr>
      </w:pPr>
      <w:r>
        <w:rPr>
          <w:szCs w:val="22"/>
          <w:lang w:val="en-GB"/>
        </w:rPr>
      </w:r>
    </w:p>
    <w:p>
      <w:pPr>
        <w:pStyle w:val="Normal"/>
        <w:numPr>
          <w:ilvl w:val="0"/>
          <w:numId w:val="8"/>
        </w:numPr>
        <w:tabs>
          <w:tab w:val="clear" w:pos="720"/>
          <w:tab w:val="left" w:pos="1440" w:leader="none"/>
        </w:tabs>
        <w:spacing w:before="0" w:after="0"/>
        <w:ind w:hanging="720" w:start="1440" w:end="0"/>
        <w:jc w:val="both"/>
        <w:rPr>
          <w:szCs w:val="22"/>
        </w:rPr>
      </w:pPr>
      <w:r>
        <w:rPr>
          <w:szCs w:val="22"/>
          <w:lang w:val="en-GB"/>
        </w:rPr>
        <w:t>Providing EuroBank with a positive business case in writing (to be validated by the 2IM) and obtaining EuroBank’s written consent in cases where it believes that a Project should be terminated;</w:t>
      </w:r>
      <w:r>
        <w:rPr>
          <w:szCs w:val="22"/>
        </w:rPr>
      </w:r>
      <w:r>
        <w:rPr>
          <w:szCs w:val="22"/>
          <w:lang w:val="en-GB"/>
        </w:rPr>
      </w:r>
    </w:p>
    <w:p>
      <w:pPr>
        <w:pStyle w:val="Normal"/>
        <w:spacing w:before="0" w:after="0"/>
        <w:ind w:start="720" w:end="0"/>
        <w:jc w:val="both"/>
        <w:rPr>
          <w:szCs w:val="22"/>
        </w:rPr>
      </w:pPr>
      <w:r>
        <w:rPr>
          <w:szCs w:val="22"/>
        </w:rPr>
      </w:r>
    </w:p>
    <w:p>
      <w:pPr>
        <w:pStyle w:val="Normal"/>
        <w:numPr>
          <w:ilvl w:val="0"/>
          <w:numId w:val="8"/>
        </w:numPr>
        <w:tabs>
          <w:tab w:val="clear" w:pos="720"/>
          <w:tab w:val="left" w:pos="1440" w:leader="none"/>
        </w:tabs>
        <w:spacing w:before="0" w:after="0"/>
        <w:ind w:hanging="720" w:start="1440" w:end="0"/>
        <w:jc w:val="both"/>
        <w:rPr>
          <w:szCs w:val="22"/>
        </w:rPr>
      </w:pPr>
      <w:r>
        <w:rPr>
          <w:szCs w:val="22"/>
        </w:rPr>
        <w:t>In all its dealings with Third Party Vendors, ensuring that the confidentiality provisions of the MSA are fully observed and, in particular, that details of the MSA and its contents are not disclosed to Third Party Vendors beyond what they need to know to be able to perform their obligations under the Project (in the event of any uncertainty over disclosure, the matter is to be referred to EuroBank for authority to disclose)</w:t>
      </w:r>
    </w:p>
    <w:p>
      <w:pPr>
        <w:pStyle w:val="Normal"/>
        <w:spacing w:before="0" w:after="0"/>
        <w:ind w:start="360" w:end="0"/>
        <w:jc w:val="both"/>
        <w:rPr>
          <w:szCs w:val="22"/>
        </w:rPr>
      </w:pPr>
      <w:r>
        <w:rPr>
          <w:szCs w:val="22"/>
        </w:rPr>
      </w:r>
    </w:p>
    <w:p>
      <w:pPr>
        <w:pStyle w:val="Normal"/>
        <w:numPr>
          <w:ilvl w:val="0"/>
          <w:numId w:val="8"/>
        </w:numPr>
        <w:tabs>
          <w:tab w:val="clear" w:pos="720"/>
          <w:tab w:val="left" w:pos="1440" w:leader="none"/>
        </w:tabs>
        <w:spacing w:before="0" w:after="0"/>
        <w:ind w:hanging="720" w:start="1440" w:end="0"/>
        <w:jc w:val="both"/>
        <w:rPr>
          <w:szCs w:val="22"/>
        </w:rPr>
      </w:pPr>
      <w:r>
        <w:rPr/>
        <w:t>The PST Supplier personnel assigned to perform Projects shall possess the training, education, experience, competence and skill to perform such work;</w:t>
      </w:r>
    </w:p>
    <w:p>
      <w:pPr>
        <w:pStyle w:val="Normal"/>
        <w:spacing w:before="0" w:after="0"/>
        <w:ind w:start="360" w:end="0"/>
        <w:jc w:val="both"/>
        <w:rPr>
          <w:szCs w:val="22"/>
        </w:rPr>
      </w:pPr>
      <w:r>
        <w:rPr>
          <w:szCs w:val="22"/>
        </w:rPr>
      </w:r>
    </w:p>
    <w:p>
      <w:pPr>
        <w:pStyle w:val="Normal"/>
        <w:numPr>
          <w:ilvl w:val="0"/>
          <w:numId w:val="8"/>
        </w:numPr>
        <w:tabs>
          <w:tab w:val="clear" w:pos="720"/>
          <w:tab w:val="left" w:pos="1440" w:leader="none"/>
        </w:tabs>
        <w:spacing w:before="0" w:after="0"/>
        <w:ind w:hanging="720" w:start="1440" w:end="0"/>
        <w:jc w:val="both"/>
        <w:rPr>
          <w:szCs w:val="22"/>
        </w:rPr>
      </w:pPr>
      <w:r>
        <w:rPr/>
        <w:t>EuroBank shall (via the 2IM) request, define and set the priorities between Projects;</w:t>
      </w:r>
    </w:p>
    <w:p>
      <w:pPr>
        <w:pStyle w:val="Normal"/>
        <w:spacing w:before="0" w:after="0"/>
        <w:ind w:start="360" w:end="0"/>
        <w:jc w:val="both"/>
        <w:rPr>
          <w:szCs w:val="22"/>
        </w:rPr>
      </w:pPr>
      <w:r>
        <w:rPr>
          <w:szCs w:val="22"/>
        </w:rPr>
      </w:r>
    </w:p>
    <w:p>
      <w:pPr>
        <w:pStyle w:val="Normal"/>
        <w:numPr>
          <w:ilvl w:val="0"/>
          <w:numId w:val="8"/>
        </w:numPr>
        <w:tabs>
          <w:tab w:val="clear" w:pos="720"/>
          <w:tab w:val="left" w:pos="1440" w:leader="none"/>
        </w:tabs>
        <w:spacing w:before="0" w:after="0"/>
        <w:ind w:hanging="720" w:start="1440" w:end="0"/>
        <w:jc w:val="both"/>
        <w:rPr>
          <w:szCs w:val="22"/>
        </w:rPr>
      </w:pPr>
      <w:r>
        <w:rPr/>
        <w:t>The PST Supplier shall maintain appropriate continuity of personnel assigned to perform Projects;</w:t>
      </w:r>
    </w:p>
    <w:p>
      <w:pPr>
        <w:pStyle w:val="Normal"/>
        <w:spacing w:before="0" w:after="0"/>
        <w:ind w:start="360" w:end="0"/>
        <w:jc w:val="both"/>
        <w:rPr>
          <w:szCs w:val="22"/>
        </w:rPr>
      </w:pPr>
      <w:r>
        <w:rPr>
          <w:szCs w:val="22"/>
        </w:rPr>
      </w:r>
    </w:p>
    <w:p>
      <w:pPr>
        <w:pStyle w:val="Normal"/>
        <w:numPr>
          <w:ilvl w:val="0"/>
          <w:numId w:val="8"/>
        </w:numPr>
        <w:tabs>
          <w:tab w:val="clear" w:pos="720"/>
          <w:tab w:val="left" w:pos="1440" w:leader="none"/>
        </w:tabs>
        <w:spacing w:before="0" w:after="0"/>
        <w:ind w:hanging="720" w:start="1440" w:end="0"/>
        <w:jc w:val="both"/>
        <w:rPr>
          <w:szCs w:val="22"/>
        </w:rPr>
      </w:pPr>
      <w:r>
        <w:rPr/>
        <w:t>If the PST Supplier desires to make any change to a Project that is underway as of the Effective Date, then the PST Supplier shall submit to EuroBank a written proposal describing such change and the potential impact of such change, and EuroBank may, in its sole discretion approve or reject such proposal;</w:t>
      </w:r>
    </w:p>
    <w:p>
      <w:pPr>
        <w:pStyle w:val="Normal"/>
        <w:tabs>
          <w:tab w:val="clear" w:pos="720"/>
          <w:tab w:val="left" w:pos="1440" w:leader="none"/>
        </w:tabs>
        <w:spacing w:before="0" w:after="0"/>
        <w:jc w:val="both"/>
        <w:rPr>
          <w:szCs w:val="22"/>
        </w:rPr>
      </w:pPr>
      <w:r>
        <w:rPr>
          <w:szCs w:val="22"/>
        </w:rPr>
      </w:r>
    </w:p>
    <w:p>
      <w:pPr>
        <w:pStyle w:val="Heading1Numbered"/>
        <w:numPr>
          <w:ilvl w:val="0"/>
          <w:numId w:val="2"/>
        </w:numPr>
        <w:spacing w:before="0" w:after="0"/>
        <w:ind w:hanging="0" w:start="0"/>
        <w:rPr>
          <w:bCs/>
          <w:sz w:val="22"/>
          <w:szCs w:val="22"/>
        </w:rPr>
      </w:pPr>
      <w:bookmarkStart w:id="7" w:name="__RefHeading___Toc151791803"/>
      <w:bookmarkEnd w:id="7"/>
      <w:r>
        <w:rPr>
          <w:bCs/>
          <w:sz w:val="22"/>
          <w:szCs w:val="22"/>
        </w:rPr>
        <w:t>EuroBank Responsibilities</w:t>
      </w:r>
    </w:p>
    <w:p>
      <w:pPr>
        <w:pStyle w:val="Normal"/>
        <w:spacing w:before="0" w:after="0"/>
        <w:jc w:val="both"/>
        <w:rPr>
          <w:bCs/>
          <w:sz w:val="22"/>
          <w:szCs w:val="22"/>
        </w:rPr>
      </w:pPr>
      <w:r>
        <w:rPr>
          <w:bCs/>
          <w:sz w:val="22"/>
          <w:szCs w:val="22"/>
        </w:rPr>
      </w:r>
    </w:p>
    <w:p>
      <w:pPr>
        <w:pStyle w:val="Normal"/>
        <w:spacing w:before="0" w:after="0"/>
        <w:jc w:val="both"/>
        <w:rPr/>
      </w:pPr>
      <w:r>
        <w:rPr>
          <w:szCs w:val="22"/>
          <w:lang w:val="en-GB"/>
        </w:rPr>
        <w:t>EuroBank shall make no material changes to any ongoing Project between Effective Date and Commencement Date. Both the 2IM and PST Suppliers shall be consulted in good faith on any proposed changes during that period. Any material changes that EuroBank reasonably believes are required shall be referred to the Significant Change Control Procedure under Section 8 below.</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EuroBank undertakes to inform the 2IM and PST Supplier(s) in a timely manner of any potential new EuroBank-Requested Projects of which it becomes aware either before the Commencement Date or otherwise during the Term.</w:t>
      </w:r>
    </w:p>
    <w:p>
      <w:pPr>
        <w:pStyle w:val="Normal"/>
        <w:spacing w:before="0" w:after="0"/>
        <w:jc w:val="both"/>
        <w:rPr>
          <w:szCs w:val="22"/>
          <w:lang w:val="en-GB"/>
        </w:rPr>
      </w:pPr>
      <w:r>
        <w:rPr>
          <w:szCs w:val="22"/>
          <w:lang w:val="en-GB"/>
        </w:rPr>
      </w:r>
    </w:p>
    <w:p>
      <w:pPr>
        <w:pStyle w:val="Heading1Numbered"/>
        <w:numPr>
          <w:ilvl w:val="0"/>
          <w:numId w:val="2"/>
        </w:numPr>
        <w:spacing w:before="0" w:after="0"/>
        <w:ind w:hanging="0" w:start="0"/>
        <w:rPr>
          <w:bCs/>
          <w:sz w:val="22"/>
          <w:szCs w:val="22"/>
        </w:rPr>
      </w:pPr>
      <w:bookmarkStart w:id="8" w:name="__RefHeading___Toc151791804"/>
      <w:bookmarkEnd w:id="8"/>
      <w:r>
        <w:rPr>
          <w:bCs/>
          <w:sz w:val="22"/>
          <w:szCs w:val="22"/>
        </w:rPr>
        <w:t>Invoicing &amp; Third Party Vendor Charges</w:t>
      </w:r>
    </w:p>
    <w:p>
      <w:pPr>
        <w:pStyle w:val="Normal"/>
        <w:spacing w:before="0" w:after="0"/>
        <w:jc w:val="both"/>
        <w:rPr>
          <w:bCs/>
          <w:sz w:val="22"/>
          <w:szCs w:val="22"/>
          <w:lang w:val="en-NZ"/>
        </w:rPr>
      </w:pPr>
      <w:r>
        <w:rPr>
          <w:bCs/>
          <w:sz w:val="22"/>
          <w:szCs w:val="22"/>
          <w:lang w:val="en-NZ"/>
        </w:rPr>
      </w:r>
    </w:p>
    <w:p>
      <w:pPr>
        <w:pStyle w:val="Normal"/>
        <w:spacing w:before="0" w:after="0"/>
        <w:jc w:val="both"/>
        <w:rPr>
          <w:szCs w:val="22"/>
          <w:lang w:val="en-NZ"/>
        </w:rPr>
      </w:pPr>
      <w:r>
        <w:rPr>
          <w:szCs w:val="22"/>
          <w:lang w:val="en-NZ"/>
        </w:rPr>
        <w:t>The Charges, costs and expenses for all Projects shall be invoiced to EuroBank directly (after validation by the 2IM) and EuroBank will handle any internal cross-charging required.</w:t>
      </w:r>
    </w:p>
    <w:p>
      <w:pPr>
        <w:pStyle w:val="Normal"/>
        <w:spacing w:before="0" w:after="0"/>
        <w:jc w:val="both"/>
        <w:rPr>
          <w:szCs w:val="22"/>
          <w:lang w:val="en-NZ"/>
        </w:rPr>
      </w:pPr>
      <w:r>
        <w:rPr>
          <w:szCs w:val="22"/>
          <w:lang w:val="en-NZ"/>
        </w:rPr>
      </w:r>
    </w:p>
    <w:p>
      <w:pPr>
        <w:pStyle w:val="Normal"/>
        <w:spacing w:before="0" w:after="0"/>
        <w:jc w:val="both"/>
        <w:rPr/>
      </w:pPr>
      <w:r>
        <w:rPr>
          <w:szCs w:val="22"/>
          <w:lang w:val="en-NZ"/>
        </w:rPr>
        <w:t xml:space="preserve">The PST Supplier shall use reasonable endeavours to keep all Third Party Vendor charges, costs and expenses for each Project to a minimum. </w:t>
      </w:r>
    </w:p>
    <w:p>
      <w:pPr>
        <w:pStyle w:val="Normal"/>
        <w:spacing w:before="0" w:after="0"/>
        <w:jc w:val="both"/>
        <w:rPr>
          <w:szCs w:val="22"/>
          <w:lang w:val="en-NZ"/>
        </w:rPr>
      </w:pPr>
      <w:r>
        <w:rPr>
          <w:szCs w:val="22"/>
          <w:lang w:val="en-NZ"/>
        </w:rPr>
      </w:r>
    </w:p>
    <w:p>
      <w:pPr>
        <w:pStyle w:val="Heading1Numbered"/>
        <w:numPr>
          <w:ilvl w:val="0"/>
          <w:numId w:val="2"/>
        </w:numPr>
        <w:spacing w:before="0" w:after="0"/>
        <w:ind w:hanging="0" w:start="0"/>
        <w:rPr>
          <w:sz w:val="22"/>
          <w:szCs w:val="22"/>
        </w:rPr>
      </w:pPr>
      <w:bookmarkStart w:id="9" w:name="__RefHeading___Toc151791805"/>
      <w:bookmarkEnd w:id="9"/>
      <w:r>
        <w:rPr>
          <w:sz w:val="22"/>
          <w:szCs w:val="22"/>
        </w:rPr>
        <w:t>Project Change Control</w:t>
      </w:r>
    </w:p>
    <w:p>
      <w:pPr>
        <w:pStyle w:val="Heading2Numbered"/>
        <w:numPr>
          <w:ilvl w:val="1"/>
          <w:numId w:val="2"/>
        </w:numPr>
        <w:ind w:hanging="0" w:start="0"/>
        <w:rPr>
          <w:sz w:val="22"/>
          <w:lang w:val="en-GB"/>
        </w:rPr>
      </w:pPr>
      <w:bookmarkStart w:id="10" w:name="__RefHeading___Toc151791806"/>
      <w:bookmarkEnd w:id="10"/>
      <w:r>
        <w:rPr>
          <w:bCs/>
          <w:sz w:val="22"/>
          <w:lang w:val="en-GB"/>
        </w:rPr>
        <w:t>EuroBank-Requested Projects</w:t>
      </w:r>
      <w:r>
        <w:rPr>
          <w:sz w:val="22"/>
          <w:lang w:val="en-GB"/>
        </w:rPr>
      </w:r>
    </w:p>
    <w:p>
      <w:pPr>
        <w:pStyle w:val="Normal"/>
        <w:spacing w:before="0" w:after="0"/>
        <w:jc w:val="both"/>
        <w:rPr>
          <w:lang w:val="en-GB"/>
        </w:rPr>
      </w:pPr>
      <w:r>
        <w:rPr>
          <w:szCs w:val="22"/>
          <w:lang w:val="en-GB"/>
        </w:rPr>
        <w:t>Any variance to the Project Completion Charge for an individual Project not within the Small Projects Group shall be referred to the Change Control Procedure</w:t>
      </w:r>
    </w:p>
    <w:p>
      <w:pPr>
        <w:pStyle w:val="Heading2Numbered"/>
        <w:numPr>
          <w:ilvl w:val="1"/>
          <w:numId w:val="2"/>
        </w:numPr>
        <w:ind w:hanging="0" w:start="0"/>
        <w:rPr>
          <w:sz w:val="22"/>
          <w:lang w:val="en-GB"/>
        </w:rPr>
      </w:pPr>
      <w:bookmarkStart w:id="11" w:name="__RefHeading___Toc151791807"/>
      <w:bookmarkEnd w:id="11"/>
      <w:r>
        <w:rPr>
          <w:sz w:val="22"/>
          <w:lang w:val="en-GB"/>
        </w:rPr>
        <w:t>Disputes</w:t>
      </w:r>
    </w:p>
    <w:p>
      <w:pPr>
        <w:pStyle w:val="Normal"/>
        <w:spacing w:before="0" w:after="0"/>
        <w:jc w:val="both"/>
        <w:rPr>
          <w:szCs w:val="22"/>
          <w:lang w:val="en-GB"/>
        </w:rPr>
      </w:pPr>
      <w:r>
        <w:rPr>
          <w:szCs w:val="22"/>
          <w:lang w:val="en-GB"/>
        </w:rPr>
        <w:t>Any issues or disputes with regard to this Exhibit 9 shall in the first instance be referred to the 2IM and thereafter to the Dispute Resolution Procedure.</w:t>
      </w:r>
    </w:p>
    <w:sectPr>
      <w:headerReference w:type="default" r:id="rId8"/>
      <w:headerReference w:type="first" r:id="rId9"/>
      <w:footerReference w:type="default" r:id="rId10"/>
      <w:footerReference w:type="first" r:id="rId11"/>
      <w:type w:val="nextPage"/>
      <w:pgSz w:w="11906" w:h="16838"/>
      <w:pgMar w:left="1729" w:right="1729" w:gutter="0" w:header="567" w:top="851" w:footer="567" w:bottom="851"/>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 w:val="16"/>
        <w:szCs w:val="16"/>
      </w:rPr>
    </w:pPr>
    <w:r>
      <w:rPr>
        <w:sz w:val="16"/>
        <w:szCs w:val="16"/>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5</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0" w:after="0"/>
      <w:rPr>
        <w:sz w:val="16"/>
        <w:szCs w:val="16"/>
      </w:rPr>
    </w:pPr>
    <w:r>
      <w:rPr>
        <w:sz w:val="20"/>
      </w:rPr>
      <w:drawing>
        <wp:inline distT="0" distB="0" distL="0" distR="0">
          <wp:extent cx="965200" cy="284480"/>
          <wp:effectExtent l="0" t="0" r="0" b="0"/>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9 (In-Flight Projects) Final v2.2.doc</w:t>
    </w:r>
    <w:r>
      <w:rPr>
        <w:sz w:val="16"/>
        <w:szCs w:val="16"/>
      </w:rPr>
      <w:fldChar w:fldCharType="end"/>
    </w:r>
  </w:p>
  <w:p>
    <w:pPr>
      <w:pStyle w:val="Header"/>
      <w:tabs>
        <w:tab w:val="clear" w:pos="8640"/>
        <w:tab w:val="center" w:pos="4320" w:leader="none"/>
        <w:tab w:val="right" w:pos="8460" w:leader="none"/>
      </w:tabs>
      <w:spacing w:before="0" w:after="0"/>
      <w:rPr>
        <w:sz w:val="16"/>
        <w:szCs w:val="16"/>
      </w:rPr>
    </w:pPr>
    <w:r>
      <w:rPr>
        <w:sz w:val="16"/>
        <w:szCs w:val="16"/>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0" w:after="0"/>
      <w:rPr/>
    </w:pPr>
    <w:r>
      <w:rPr>
        <w:sz w:val="20"/>
      </w:rPr>
      <w:drawing>
        <wp:inline distT="0" distB="0" distL="0" distR="0">
          <wp:extent cx="965200" cy="284480"/>
          <wp:effectExtent l="0" t="0" r="0" b="0"/>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9 (In-Flight Projects) Final v2.2.doc</w:t>
    </w:r>
    <w:r>
      <w:rPr>
        <w:sz w:val="16"/>
        <w:szCs w:val="16"/>
      </w:rPr>
      <w:fldChar w:fldCharType="end"/>
    </w:r>
    <w:r>
      <w:rPr>
        <w:sz w:val="16"/>
        <w:szCs w:val="16"/>
      </w:rPr>
      <w:t xml:space="preserve"> </w:t>
    </w:r>
  </w:p>
  <w:p>
    <w:pPr>
      <w:pStyle w:val="Header"/>
      <w:tabs>
        <w:tab w:val="clear" w:pos="8640"/>
        <w:tab w:val="center" w:pos="4320" w:leader="none"/>
        <w:tab w:val="right" w:pos="8460" w:leader="none"/>
      </w:tabs>
      <w:spacing w:before="0" w:after="0"/>
      <w:rPr>
        <w:sz w:val="16"/>
        <w:szCs w:val="16"/>
      </w:rPr>
    </w:pPr>
    <w:r>
      <w:rPr>
        <w:sz w:val="16"/>
        <w:szCs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0" w:after="0"/>
      <w:rPr/>
    </w:pPr>
    <w:r>
      <w:rPr>
        <w:sz w:val="20"/>
      </w:rPr>
      <w:drawing>
        <wp:inline distT="0" distB="0" distL="0" distR="0">
          <wp:extent cx="965200" cy="284480"/>
          <wp:effectExtent l="0" t="0" r="0" b="0"/>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9 (In-Flight Projects) Final v2.2.doc</w:t>
    </w:r>
    <w:r>
      <w:rPr>
        <w:sz w:val="16"/>
        <w:szCs w:val="16"/>
      </w:rPr>
      <w:fldChar w:fldCharType="end"/>
    </w:r>
    <w:r>
      <w:rPr>
        <w:sz w:val="16"/>
        <w:szCs w:val="16"/>
      </w:rPr>
      <w:t xml:space="preserve"> </w:t>
    </w:r>
  </w:p>
  <w:p>
    <w:pPr>
      <w:pStyle w:val="Header"/>
      <w:tabs>
        <w:tab w:val="clear" w:pos="8640"/>
        <w:tab w:val="center" w:pos="4320" w:leader="none"/>
        <w:tab w:val="right" w:pos="8460" w:leader="none"/>
      </w:tabs>
      <w:spacing w:before="0" w:after="0"/>
      <w:rPr>
        <w:sz w:val="16"/>
        <w:szCs w:val="16"/>
      </w:rPr>
    </w:pPr>
    <w:r>
      <w:rPr>
        <w:sz w:val="16"/>
        <w:szCs w:val="16"/>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Bold;Times New Roman" w:hAnsi="Times New Roman Bold;Times New Roman" w:cs="Times New Roman Bold;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lowerRoman"/>
      <w:lvlText w:val="(%1)"/>
      <w:lvlJc w:val="start"/>
      <w:pPr>
        <w:tabs>
          <w:tab w:val="num" w:pos="1080"/>
        </w:tabs>
        <w:ind w:start="1080" w:hanging="720"/>
      </w:pPr>
      <w:rPr/>
    </w:lvl>
  </w:abstractNum>
  <w:abstractNum w:abstractNumId="5">
    <w:lvl w:ilvl="0">
      <w:start w:val="1"/>
      <w:numFmt w:val="lowerRoman"/>
      <w:lvlText w:val="(%1)"/>
      <w:lvlJc w:val="start"/>
      <w:pPr>
        <w:tabs>
          <w:tab w:val="num" w:pos="1440"/>
        </w:tabs>
        <w:ind w:start="1440" w:hanging="720"/>
      </w:pPr>
      <w:rPr/>
    </w:lvl>
  </w:abstractNum>
  <w:abstractNum w:abstractNumId="6">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7">
    <w:lvl w:ilvl="0">
      <w:start w:val="2"/>
      <w:numFmt w:val="decimal"/>
      <w:lvlText w:val="%1"/>
      <w:lvlJc w:val="start"/>
      <w:pPr>
        <w:tabs>
          <w:tab w:val="num" w:pos="720"/>
        </w:tabs>
        <w:ind w:start="720" w:hanging="720"/>
      </w:pPr>
      <w:rPr/>
    </w:lvl>
    <w:lvl w:ilvl="1">
      <w:start w:val="3"/>
      <w:numFmt w:val="decimal"/>
      <w:lvlText w:val="%1.%2"/>
      <w:lvlJc w:val="start"/>
      <w:pPr>
        <w:tabs>
          <w:tab w:val="num" w:pos="720"/>
        </w:tabs>
        <w:ind w:start="720" w:hanging="72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440"/>
        </w:tabs>
        <w:ind w:start="1440" w:hanging="1440"/>
      </w:pPr>
      <w:rPr/>
    </w:lvl>
  </w:abstractNum>
  <w:abstractNum w:abstractNumId="8">
    <w:lvl w:ilvl="0">
      <w:start w:val="3"/>
      <w:numFmt w:val="lowerRoman"/>
      <w:lvlText w:val="(%1)"/>
      <w:lvlJc w:val="start"/>
      <w:pPr>
        <w:tabs>
          <w:tab w:val="num" w:pos="2160"/>
        </w:tabs>
        <w:ind w:start="2160" w:hanging="720"/>
      </w:pPr>
      <w:rPr/>
    </w:lvl>
  </w:abstractNum>
  <w:abstractNum w:abstractNumId="9">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0">
    <w:lvl w:ilvl="0">
      <w:start w:val="1"/>
      <w:numFmt w:val="lowerRoman"/>
      <w:lvlText w:val="(%1)"/>
      <w:lvlJc w:val="start"/>
      <w:pPr>
        <w:tabs>
          <w:tab w:val="num" w:pos="1080"/>
        </w:tabs>
        <w:ind w:start="1080" w:hanging="720"/>
      </w:pPr>
      <w:rPr/>
    </w:lvl>
  </w:abstractNum>
  <w:abstractNum w:abstractNumId="11">
    <w:lvl w:ilvl="0">
      <w:start w:val="1"/>
      <w:numFmt w:val="bullet"/>
      <w:lvlText w:val=""/>
      <w:lvlJc w:val="start"/>
      <w:pPr>
        <w:tabs>
          <w:tab w:val="num" w:pos="360"/>
        </w:tabs>
        <w:ind w:start="360" w:hanging="360"/>
      </w:pPr>
      <w:rPr>
        <w:rFonts w:ascii="Symbol" w:hAnsi="Symbol" w:cs="Symbol" w:hint="default"/>
      </w:rPr>
    </w:lvl>
  </w:abstractNum>
  <w:abstractNum w:abstractNumId="12">
    <w:lvl w:ilvl="0">
      <w:start w:val="4"/>
      <w:numFmt w:val="decimal"/>
      <w:lvlText w:val="%1"/>
      <w:lvlJc w:val="start"/>
      <w:pPr>
        <w:tabs>
          <w:tab w:val="num" w:pos="720"/>
        </w:tabs>
        <w:ind w:start="720" w:hanging="720"/>
      </w:pPr>
      <w:rPr/>
    </w:lvl>
    <w:lvl w:ilvl="1">
      <w:start w:val="5"/>
      <w:numFmt w:val="decimal"/>
      <w:lvlText w:val="%1.%2"/>
      <w:lvlJc w:val="start"/>
      <w:pPr>
        <w:tabs>
          <w:tab w:val="num" w:pos="1440"/>
        </w:tabs>
        <w:ind w:start="1440" w:hanging="72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200"/>
        </w:tabs>
        <w:ind w:start="720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Times New Roman Bold;Times New Roman" w:hAnsi="Times New Roman Bold;Times New Roman" w:cs="Times New Roman Bold;Times New Roman"/>
      <w:b/>
      <w:i w:val="false"/>
      <w:sz w:val="22"/>
      <w:szCs w:val="22"/>
    </w:rPr>
  </w:style>
  <w:style w:type="character" w:styleId="WW8Num11z2">
    <w:name w:val="WW8Num11z2"/>
    <w:qFormat/>
    <w:rPr>
      <w:rFonts w:ascii="Times New Roman" w:hAnsi="Times New Roman" w:cs="Times New Roman"/>
      <w:b/>
      <w:i w:val="false"/>
      <w:sz w:val="24"/>
    </w:rPr>
  </w:style>
  <w:style w:type="character" w:styleId="WW8Num11z3">
    <w:name w:val="WW8Num11z3"/>
    <w:qFormat/>
    <w:rPr>
      <w:rFonts w:ascii="Times New Roman Bold;Times New Roman" w:hAnsi="Times New Roman Bold;Times New Roman" w:cs="Times New Roman Bold;Times New Roman"/>
      <w:b/>
      <w:i w:val="false"/>
      <w:sz w:val="24"/>
    </w:rPr>
  </w:style>
  <w:style w:type="character" w:styleId="WW8Num11z4">
    <w:name w:val="WW8Num11z4"/>
    <w:qFormat/>
    <w:rPr>
      <w:rFonts w:ascii="Times New Roman" w:hAnsi="Times New Roman" w:cs="Times New Roman"/>
      <w:b w:val="false"/>
      <w:i w:val="false"/>
      <w:sz w:val="22"/>
    </w:rPr>
  </w:style>
  <w:style w:type="character" w:styleId="WW8Num11z8">
    <w:name w:val="WW8Num11z8"/>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8z0">
    <w:name w:val="WW8Num18z0"/>
    <w:qFormat/>
    <w:rPr/>
  </w:style>
  <w:style w:type="character" w:styleId="WW8Num19z0">
    <w:name w:val="WW8Num19z0"/>
    <w:qFormat/>
    <w:rPr/>
  </w:style>
  <w:style w:type="character" w:styleId="WW8Num20z0">
    <w:name w:val="WW8Num20z0"/>
    <w:qFormat/>
    <w:rPr>
      <w:rFonts w:ascii="Times New Roman" w:hAnsi="Times New Roman" w:cs="Times New Roman"/>
      <w:b w:val="false"/>
      <w:i w:val="false"/>
      <w:color w:val="000000"/>
      <w:sz w:val="22"/>
    </w:rPr>
  </w:style>
  <w:style w:type="character" w:styleId="WW8Num20z1">
    <w:name w:val="WW8Num20z1"/>
    <w:qFormat/>
    <w:rPr>
      <w:rFonts w:ascii="Times New Roman" w:hAnsi="Times New Roman" w:cs="Times New Roman"/>
      <w:b w:val="false"/>
      <w:i w:val="false"/>
      <w:sz w:val="22"/>
    </w:rPr>
  </w:style>
  <w:style w:type="character" w:styleId="WW8Num20z4">
    <w:name w:val="WW8Num20z4"/>
    <w:qFormat/>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rFonts w:ascii="Times New Roman" w:hAnsi="Times New Roman" w:cs="Times New Roman"/>
      <w:b w:val="false"/>
      <w:i w:val="false"/>
      <w:color w:val="000000"/>
      <w:sz w:val="22"/>
    </w:rPr>
  </w:style>
  <w:style w:type="character" w:styleId="WW8Num26z1">
    <w:name w:val="WW8Num26z1"/>
    <w:qFormat/>
    <w:rPr>
      <w:rFonts w:ascii="Times New Roman" w:hAnsi="Times New Roman" w:cs="Times New Roman"/>
      <w:b w:val="false"/>
      <w:i w:val="false"/>
      <w:sz w:val="22"/>
    </w:rPr>
  </w:style>
  <w:style w:type="character" w:styleId="WW8Num26z4">
    <w:name w:val="WW8Num26z4"/>
    <w:qFormat/>
    <w:rPr/>
  </w:style>
  <w:style w:type="character" w:styleId="WW8Num27z0">
    <w:name w:val="WW8Num27z0"/>
    <w:qFormat/>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style>
  <w:style w:type="character" w:styleId="WW8Num30z0">
    <w:name w:val="WW8Num30z0"/>
    <w:qFormat/>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CommentReference">
    <w:name w:val="Comment Reference"/>
    <w:basedOn w:val="DefaultParagraphFont"/>
    <w:qFormat/>
    <w:rPr>
      <w:sz w:val="16"/>
      <w:szCs w:val="16"/>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11"/>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9"/>
      </w:numPr>
    </w:pPr>
    <w:rPr>
      <w:bCs/>
    </w:rPr>
  </w:style>
  <w:style w:type="paragraph" w:styleId="TableLevel3Numbered">
    <w:name w:val="Table Level 3 Numbered"/>
    <w:basedOn w:val="Normal"/>
    <w:qFormat/>
    <w:pPr>
      <w:numPr>
        <w:ilvl w:val="0"/>
        <w:numId w:val="9"/>
      </w:numPr>
    </w:pPr>
    <w:rPr/>
  </w:style>
  <w:style w:type="paragraph" w:styleId="TableLevel4Numbered">
    <w:name w:val="Table Level 4 Numbered"/>
    <w:basedOn w:val="Normal"/>
    <w:qFormat/>
    <w:pPr>
      <w:numPr>
        <w:ilvl w:val="0"/>
        <w:numId w:val="9"/>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6"/>
      </w:numPr>
      <w:spacing w:before="240" w:after="240"/>
    </w:pPr>
    <w:rPr/>
  </w:style>
  <w:style w:type="paragraph" w:styleId="BodyLevel2Numbered">
    <w:name w:val="Body Level 2 Numbered"/>
    <w:basedOn w:val="Normal"/>
    <w:qFormat/>
    <w:pPr>
      <w:numPr>
        <w:ilvl w:val="0"/>
        <w:numId w:val="6"/>
      </w:numPr>
      <w:spacing w:before="240" w:after="240"/>
    </w:pPr>
    <w:rPr/>
  </w:style>
  <w:style w:type="paragraph" w:styleId="BodyLevel3Numbered">
    <w:name w:val="Body Level 3 Numbered"/>
    <w:basedOn w:val="Normal"/>
    <w:qFormat/>
    <w:pPr>
      <w:numPr>
        <w:ilvl w:val="0"/>
        <w:numId w:val="6"/>
      </w:numPr>
      <w:spacing w:before="240" w:after="240"/>
    </w:pPr>
    <w:rPr/>
  </w:style>
  <w:style w:type="paragraph" w:styleId="BodyLevel4Numbered">
    <w:name w:val="Body Level 4 Numbered"/>
    <w:basedOn w:val="Normal"/>
    <w:qFormat/>
    <w:pPr>
      <w:numPr>
        <w:ilvl w:val="0"/>
        <w:numId w:val="6"/>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BodytextHM">
    <w:name w:val="Body text HM"/>
    <w:basedOn w:val="Normal"/>
    <w:qFormat/>
    <w:pPr>
      <w:tabs>
        <w:tab w:val="clear" w:pos="720"/>
        <w:tab w:val="left" w:pos="709" w:leader="none"/>
      </w:tabs>
      <w:spacing w:before="0" w:after="180"/>
      <w:ind w:hanging="0" w:start="709" w:end="0"/>
    </w:pPr>
    <w:rPr>
      <w:rFonts w:ascii="Arial" w:hAnsi="Arial" w:cs="Arial"/>
      <w:szCs w:val="20"/>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BalloonText">
    <w:name w:val="Balloon Text"/>
    <w:basedOn w:val="Normal"/>
    <w:qFormat/>
    <w:pPr/>
    <w:rPr>
      <w:rFonts w:ascii="Tahoma" w:hAnsi="Tahoma" w:cs="Tahoma"/>
      <w:sz w:val="16"/>
      <w:szCs w:val="16"/>
    </w:rPr>
  </w:style>
  <w:style w:type="paragraph" w:styleId="mpsal3">
    <w:name w:val="mpsal3"/>
    <w:basedOn w:val="Normal"/>
    <w:qFormat/>
    <w:pPr>
      <w:tabs>
        <w:tab w:val="clear" w:pos="720"/>
        <w:tab w:val="left" w:pos="1296" w:leader="none"/>
      </w:tabs>
      <w:spacing w:before="0" w:after="200"/>
      <w:ind w:hanging="878" w:start="1296" w:end="0"/>
      <w:jc w:val="both"/>
    </w:pPr>
    <w:rPr>
      <w:szCs w:val="2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2006-11-30T19:19:00Z</dcterms:created>
  <dc:creator>Stuart Johnson</dc:creator>
  <dc:description/>
  <cp:keywords/>
  <dc:language>en-US</dc:language>
  <cp:lastModifiedBy>Stuart Johnson</cp:lastModifiedBy>
  <cp:lastPrinted>2005-07-04T16:19:00Z</cp:lastPrinted>
  <dcterms:modified xsi:type="dcterms:W3CDTF">2006-11-30T19:21:00Z</dcterms:modified>
  <cp:revision>4</cp:revision>
  <dc:subject/>
  <dc:title> </dc:title>
</cp:coreProperties>
</file>