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b/>
          <w:bCs/>
          <w:sz w:val="22"/>
          <w:szCs w:val="22"/>
        </w:rPr>
      </w:pPr>
      <w:r>
        <w:rPr>
          <w:b/>
          <w:bCs/>
          <w:sz w:val="22"/>
          <w:szCs w:val="22"/>
        </w:rPr>
      </w:r>
    </w:p>
    <w:p>
      <w:pPr>
        <w:pStyle w:val="BodyText"/>
        <w:jc w:val="center"/>
        <w:rPr>
          <w:b/>
          <w:bCs/>
          <w:sz w:val="22"/>
          <w:szCs w:val="22"/>
        </w:rPr>
      </w:pPr>
      <w:r>
        <w:rPr>
          <w:b/>
          <w:bCs/>
          <w:sz w:val="22"/>
          <w:szCs w:val="22"/>
        </w:rPr>
      </w:r>
    </w:p>
    <w:p>
      <w:pPr>
        <w:pStyle w:val="BodyText"/>
        <w:jc w:val="center"/>
        <w:rPr>
          <w:b/>
          <w:bCs/>
          <w:sz w:val="22"/>
          <w:szCs w:val="22"/>
        </w:rPr>
      </w:pPr>
      <w:r>
        <w:rPr>
          <w:b/>
          <w:bCs/>
          <w:sz w:val="22"/>
          <w:szCs w:val="22"/>
        </w:rPr>
      </w:r>
    </w:p>
    <w:p>
      <w:pPr>
        <w:pStyle w:val="BodyText"/>
        <w:jc w:val="center"/>
        <w:rPr>
          <w:b/>
          <w:bCs/>
          <w:sz w:val="22"/>
          <w:szCs w:val="22"/>
        </w:rPr>
      </w:pPr>
      <w:r>
        <w:rPr>
          <w:b/>
          <w:bCs/>
          <w:sz w:val="22"/>
          <w:szCs w:val="22"/>
        </w:rPr>
      </w:r>
    </w:p>
    <w:p>
      <w:pPr>
        <w:pStyle w:val="BodyText"/>
        <w:jc w:val="center"/>
        <w:rPr>
          <w:b/>
          <w:bCs/>
          <w:sz w:val="22"/>
          <w:szCs w:val="22"/>
        </w:rPr>
      </w:pPr>
      <w:r>
        <w:rPr>
          <w:b/>
          <w:bCs/>
          <w:sz w:val="22"/>
          <w:szCs w:val="22"/>
        </w:rPr>
      </w:r>
    </w:p>
    <w:p>
      <w:pPr>
        <w:pStyle w:val="BodyText"/>
        <w:jc w:val="center"/>
        <w:rPr>
          <w:b/>
          <w:bCs/>
          <w:sz w:val="22"/>
          <w:szCs w:val="22"/>
        </w:rPr>
      </w:pPr>
      <w:r>
        <w:rPr>
          <w:b/>
          <w:bCs/>
          <w:sz w:val="22"/>
          <w:szCs w:val="22"/>
        </w:rPr>
      </w:r>
    </w:p>
    <w:p>
      <w:pPr>
        <w:pStyle w:val="BodyText"/>
        <w:jc w:val="center"/>
        <w:rPr>
          <w:b/>
          <w:bCs/>
          <w:sz w:val="22"/>
          <w:szCs w:val="22"/>
        </w:rPr>
      </w:pPr>
      <w:r>
        <w:rPr>
          <w:b/>
          <w:bCs/>
          <w:sz w:val="22"/>
          <w:szCs w:val="22"/>
        </w:rPr>
      </w:r>
    </w:p>
    <w:p>
      <w:pPr>
        <w:pStyle w:val="BodyText"/>
        <w:jc w:val="center"/>
        <w:rPr>
          <w:b/>
          <w:bCs/>
          <w:sz w:val="22"/>
          <w:szCs w:val="22"/>
        </w:rPr>
      </w:pPr>
      <w:r>
        <w:rPr>
          <w:b/>
          <w:bCs/>
          <w:sz w:val="22"/>
          <w:szCs w:val="22"/>
        </w:rPr>
      </w:r>
    </w:p>
    <w:p>
      <w:pPr>
        <w:pStyle w:val="BodyText"/>
        <w:jc w:val="center"/>
        <w:rPr>
          <w:b/>
          <w:bCs/>
          <w:sz w:val="32"/>
          <w:szCs w:val="32"/>
        </w:rPr>
      </w:pPr>
      <w:r>
        <w:rPr>
          <w:b/>
          <w:bCs/>
          <w:sz w:val="32"/>
          <w:szCs w:val="32"/>
        </w:rPr>
        <w:t>EuroBank</w:t>
      </w:r>
    </w:p>
    <w:p>
      <w:pPr>
        <w:pStyle w:val="BodyText"/>
        <w:jc w:val="center"/>
        <w:rPr>
          <w:b/>
          <w:bCs/>
          <w:sz w:val="32"/>
          <w:szCs w:val="32"/>
        </w:rPr>
      </w:pPr>
      <w:r>
        <w:rPr>
          <w:b/>
          <w:bCs/>
          <w:sz w:val="32"/>
          <w:szCs w:val="32"/>
        </w:rPr>
      </w:r>
    </w:p>
    <w:p>
      <w:pPr>
        <w:pStyle w:val="BodyText"/>
        <w:jc w:val="center"/>
        <w:rPr>
          <w:b/>
          <w:bCs/>
          <w:sz w:val="32"/>
          <w:szCs w:val="32"/>
        </w:rPr>
      </w:pPr>
      <w:r>
        <w:rPr>
          <w:b/>
          <w:bCs/>
          <w:sz w:val="32"/>
          <w:szCs w:val="32"/>
        </w:rPr>
        <w:t>LOCAL ASSET TRANSFER AGREEMENT</w:t>
      </w:r>
    </w:p>
    <w:p>
      <w:pPr>
        <w:pStyle w:val="BodyText"/>
        <w:jc w:val="center"/>
        <w:rPr>
          <w:b/>
          <w:bCs/>
          <w:sz w:val="22"/>
          <w:szCs w:val="22"/>
        </w:rPr>
      </w:pPr>
      <w:r>
        <w:rPr>
          <w:b/>
          <w:bCs/>
          <w:sz w:val="22"/>
          <w:szCs w:val="22"/>
        </w:rPr>
      </w:r>
    </w:p>
    <w:p>
      <w:pPr>
        <w:pStyle w:val="BodyText"/>
        <w:jc w:val="center"/>
        <w:rPr>
          <w:b/>
          <w:bCs/>
          <w:sz w:val="22"/>
          <w:szCs w:val="22"/>
        </w:rPr>
      </w:pPr>
      <w:r>
        <w:rPr>
          <w:b/>
          <w:bCs/>
          <w:sz w:val="22"/>
          <w:szCs w:val="22"/>
        </w:rPr>
      </w:r>
    </w:p>
    <w:p>
      <w:pPr>
        <w:sectPr>
          <w:headerReference w:type="default" r:id="rId2"/>
          <w:headerReference w:type="first" r:id="rId3"/>
          <w:footerReference w:type="default" r:id="rId4"/>
          <w:footerReference w:type="first" r:id="rId5"/>
          <w:type w:val="nextPage"/>
          <w:pgSz w:w="11906" w:h="16838"/>
          <w:pgMar w:left="1800" w:right="1800" w:gutter="0" w:header="720" w:top="1440" w:footer="720" w:bottom="1800"/>
          <w:pgNumType w:start="1" w:fmt="decimal"/>
          <w:formProt w:val="false"/>
          <w:titlePg/>
          <w:textDirection w:val="lrTb"/>
          <w:docGrid w:type="default" w:linePitch="326" w:charSpace="0"/>
        </w:sectPr>
        <w:pStyle w:val="BodyText"/>
        <w:jc w:val="center"/>
        <w:rPr>
          <w:b/>
          <w:bCs/>
          <w:sz w:val="22"/>
          <w:szCs w:val="22"/>
        </w:rPr>
      </w:pPr>
      <w:r>
        <w:rPr>
          <w:b/>
          <w:bCs/>
          <w:sz w:val="22"/>
          <w:szCs w:val="22"/>
        </w:rPr>
      </w:r>
    </w:p>
    <w:p>
      <w:pPr>
        <w:pStyle w:val="BodyText"/>
        <w:jc w:val="center"/>
        <w:rPr>
          <w:b/>
          <w:bCs/>
          <w:sz w:val="18"/>
          <w:szCs w:val="18"/>
        </w:rPr>
      </w:pPr>
      <w:r>
        <w:rPr>
          <w:b/>
          <w:bCs/>
          <w:sz w:val="18"/>
          <w:szCs w:val="18"/>
        </w:rPr>
      </w:r>
    </w:p>
    <w:p>
      <w:pPr>
        <w:pStyle w:val="BodyText"/>
        <w:jc w:val="center"/>
        <w:rPr>
          <w:b/>
          <w:bCs/>
          <w:sz w:val="18"/>
          <w:szCs w:val="18"/>
        </w:rPr>
      </w:pPr>
      <w:r>
        <w:rPr>
          <w:b/>
          <w:bCs/>
          <w:sz w:val="18"/>
          <w:szCs w:val="18"/>
        </w:rPr>
        <w:t>TABLE OF CONTENTS</w:t>
      </w:r>
    </w:p>
    <w:sdt>
      <w:sdtPr>
        <w:docPartObj>
          <w:docPartGallery w:val="Table of Contents"/>
          <w:docPartUnique w:val="true"/>
        </w:docPartObj>
      </w:sdtPr>
      <w:sdtContent>
        <w:p>
          <w:pPr>
            <w:pStyle w:val="TOC1"/>
            <w:tabs>
              <w:tab w:val="clear" w:pos="708"/>
              <w:tab w:val="left" w:pos="480" w:leader="none"/>
              <w:tab w:val="right" w:pos="8290" w:leader="dot"/>
            </w:tabs>
            <w:rPr>
              <w:sz w:val="18"/>
              <w:szCs w:val="18"/>
              <w:lang w:val="en-US" w:eastAsia="en-US"/>
            </w:rPr>
          </w:pPr>
          <w:r>
            <w:fldChar w:fldCharType="begin"/>
          </w:r>
          <w:r>
            <w:rPr>
              <w:sz w:val="18"/>
              <w:szCs w:val="18"/>
              <w:lang w:val="en-US" w:eastAsia="en-US"/>
            </w:rPr>
            <w:instrText xml:space="preserve"> TOC \t "Heading 5,1" </w:instrText>
          </w:r>
          <w:r>
            <w:rPr>
              <w:sz w:val="18"/>
              <w:szCs w:val="18"/>
              <w:lang w:val="en-US" w:eastAsia="en-US"/>
            </w:rPr>
            <w:fldChar w:fldCharType="separate"/>
          </w:r>
          <w:r>
            <w:rPr>
              <w:sz w:val="18"/>
              <w:szCs w:val="18"/>
              <w:lang w:val="en-US" w:eastAsia="en-US"/>
            </w:rPr>
            <w:t>1.</w:t>
          </w:r>
          <w:r>
            <w:rPr>
              <w:sz w:val="18"/>
              <w:szCs w:val="18"/>
              <w:lang w:val="en-US" w:eastAsia="en-US"/>
            </w:rPr>
            <w:tab/>
          </w:r>
          <w:r>
            <w:rPr>
              <w:sz w:val="18"/>
              <w:szCs w:val="18"/>
              <w:lang w:val="en-US" w:eastAsia="en-US"/>
            </w:rPr>
            <w:t>INCORPORATION OF MATA</w:t>
            <w:tab/>
          </w:r>
          <w:hyperlink w:anchor="__RefHeading___Toc153624643">
            <w:r>
              <w:rPr>
                <w:rStyle w:val="IndexLink"/>
                <w:sz w:val="18"/>
                <w:szCs w:val="18"/>
                <w:lang w:val="en-US" w:eastAsia="en-US"/>
              </w:rPr>
              <w:t>1</w:t>
            </w:r>
          </w:hyperlink>
        </w:p>
        <w:p>
          <w:pPr>
            <w:pStyle w:val="TOC1"/>
            <w:tabs>
              <w:tab w:val="clear" w:pos="708"/>
              <w:tab w:val="left" w:pos="480" w:leader="none"/>
              <w:tab w:val="right" w:pos="8290" w:leader="dot"/>
            </w:tabs>
            <w:rPr>
              <w:sz w:val="18"/>
              <w:szCs w:val="18"/>
              <w:lang w:val="en-US" w:eastAsia="en-US"/>
            </w:rPr>
          </w:pPr>
          <w:r>
            <w:rPr>
              <w:bCs/>
              <w:sz w:val="18"/>
              <w:szCs w:val="18"/>
              <w:lang w:val="en-US" w:eastAsia="en-US"/>
            </w:rPr>
            <w:t>2.</w:t>
          </w:r>
          <w:r>
            <w:rPr>
              <w:sz w:val="18"/>
              <w:szCs w:val="18"/>
              <w:lang w:val="en-US" w:eastAsia="en-US"/>
            </w:rPr>
            <w:tab/>
          </w:r>
          <w:r>
            <w:rPr>
              <w:bCs/>
              <w:sz w:val="18"/>
              <w:szCs w:val="18"/>
              <w:lang w:val="en-US" w:eastAsia="en-US"/>
            </w:rPr>
            <w:t>LATA</w:t>
          </w:r>
          <w:r>
            <w:rPr>
              <w:sz w:val="18"/>
              <w:szCs w:val="18"/>
              <w:lang w:val="en-US" w:eastAsia="en-US"/>
            </w:rPr>
            <w:tab/>
          </w:r>
          <w:hyperlink w:anchor="__RefHeading___Toc153624644">
            <w:r>
              <w:rPr>
                <w:rStyle w:val="IndexLink"/>
                <w:sz w:val="18"/>
                <w:szCs w:val="18"/>
                <w:lang w:val="en-US" w:eastAsia="en-US"/>
              </w:rPr>
              <w:t>2</w:t>
            </w:r>
          </w:hyperlink>
        </w:p>
        <w:p>
          <w:pPr>
            <w:pStyle w:val="TOC1"/>
            <w:tabs>
              <w:tab w:val="clear" w:pos="708"/>
              <w:tab w:val="left" w:pos="480" w:leader="none"/>
              <w:tab w:val="right" w:pos="8290" w:leader="dot"/>
            </w:tabs>
            <w:rPr>
              <w:sz w:val="18"/>
              <w:szCs w:val="18"/>
              <w:lang w:val="en-US" w:eastAsia="en-US"/>
            </w:rPr>
          </w:pPr>
          <w:r>
            <w:rPr>
              <w:bCs/>
              <w:sz w:val="18"/>
              <w:szCs w:val="18"/>
              <w:lang w:val="en-US" w:eastAsia="en-US"/>
            </w:rPr>
            <w:t>3.</w:t>
          </w:r>
          <w:r>
            <w:rPr>
              <w:sz w:val="18"/>
              <w:szCs w:val="18"/>
              <w:lang w:val="en-US" w:eastAsia="en-US"/>
            </w:rPr>
            <w:tab/>
          </w:r>
          <w:r>
            <w:rPr>
              <w:bCs/>
              <w:sz w:val="18"/>
              <w:szCs w:val="18"/>
              <w:lang w:val="en-US" w:eastAsia="en-US"/>
            </w:rPr>
            <w:t>TRANSFER ASSETS</w:t>
          </w:r>
          <w:r>
            <w:rPr>
              <w:sz w:val="18"/>
              <w:szCs w:val="18"/>
              <w:lang w:val="en-US" w:eastAsia="en-US"/>
            </w:rPr>
            <w:tab/>
          </w:r>
          <w:hyperlink w:anchor="__RefHeading___Toc153624645">
            <w:r>
              <w:rPr>
                <w:rStyle w:val="IndexLink"/>
                <w:sz w:val="18"/>
                <w:szCs w:val="18"/>
                <w:lang w:val="en-US" w:eastAsia="en-US"/>
              </w:rPr>
              <w:t>2</w:t>
            </w:r>
          </w:hyperlink>
        </w:p>
        <w:p>
          <w:pPr>
            <w:pStyle w:val="TOC1"/>
            <w:tabs>
              <w:tab w:val="clear" w:pos="708"/>
              <w:tab w:val="left" w:pos="480" w:leader="none"/>
              <w:tab w:val="right" w:pos="8290" w:leader="dot"/>
            </w:tabs>
            <w:rPr>
              <w:sz w:val="18"/>
              <w:szCs w:val="18"/>
              <w:lang w:val="en-US" w:eastAsia="en-US"/>
            </w:rPr>
          </w:pPr>
          <w:r>
            <w:rPr>
              <w:bCs/>
              <w:sz w:val="18"/>
              <w:szCs w:val="18"/>
              <w:lang w:val="en-US" w:eastAsia="en-US"/>
            </w:rPr>
            <w:t>4.</w:t>
          </w:r>
          <w:r>
            <w:rPr>
              <w:sz w:val="18"/>
              <w:szCs w:val="18"/>
              <w:lang w:val="en-US" w:eastAsia="en-US"/>
            </w:rPr>
            <w:tab/>
          </w:r>
          <w:r>
            <w:rPr>
              <w:bCs/>
              <w:sz w:val="18"/>
              <w:szCs w:val="18"/>
              <w:lang w:val="en-US" w:eastAsia="en-US"/>
            </w:rPr>
            <w:t>CONSIDERATION AND PAYMENT</w:t>
          </w:r>
          <w:r>
            <w:rPr>
              <w:sz w:val="18"/>
              <w:szCs w:val="18"/>
              <w:lang w:val="en-US" w:eastAsia="en-US"/>
            </w:rPr>
            <w:tab/>
          </w:r>
          <w:hyperlink w:anchor="__RefHeading___Toc153624646">
            <w:r>
              <w:rPr>
                <w:rStyle w:val="IndexLink"/>
                <w:sz w:val="18"/>
                <w:szCs w:val="18"/>
                <w:lang w:val="en-US" w:eastAsia="en-US"/>
              </w:rPr>
              <w:t>2</w:t>
            </w:r>
          </w:hyperlink>
        </w:p>
        <w:p>
          <w:pPr>
            <w:pStyle w:val="TOC1"/>
            <w:tabs>
              <w:tab w:val="clear" w:pos="708"/>
              <w:tab w:val="left" w:pos="480" w:leader="none"/>
              <w:tab w:val="right" w:pos="8290" w:leader="dot"/>
            </w:tabs>
            <w:rPr>
              <w:sz w:val="18"/>
              <w:szCs w:val="18"/>
              <w:lang w:val="en-US" w:eastAsia="en-US"/>
            </w:rPr>
          </w:pPr>
          <w:r>
            <w:rPr>
              <w:bCs/>
              <w:sz w:val="18"/>
              <w:szCs w:val="18"/>
              <w:lang w:val="en-US" w:eastAsia="en-US"/>
            </w:rPr>
            <w:t>5.</w:t>
          </w:r>
          <w:r>
            <w:rPr>
              <w:sz w:val="18"/>
              <w:szCs w:val="18"/>
              <w:lang w:val="en-US" w:eastAsia="en-US"/>
            </w:rPr>
            <w:tab/>
          </w:r>
          <w:r>
            <w:rPr>
              <w:bCs/>
              <w:sz w:val="18"/>
              <w:szCs w:val="18"/>
              <w:lang w:val="en-US" w:eastAsia="en-US"/>
            </w:rPr>
            <w:t>ADDITIONAL LOCAL PROVISIONS</w:t>
          </w:r>
          <w:r>
            <w:rPr>
              <w:sz w:val="18"/>
              <w:szCs w:val="18"/>
              <w:lang w:val="en-US" w:eastAsia="en-US"/>
            </w:rPr>
            <w:tab/>
          </w:r>
          <w:hyperlink w:anchor="__RefHeading___Toc153624647">
            <w:r>
              <w:rPr>
                <w:rStyle w:val="IndexLink"/>
                <w:sz w:val="18"/>
                <w:szCs w:val="18"/>
                <w:lang w:val="en-US" w:eastAsia="en-US"/>
              </w:rPr>
              <w:t>2</w:t>
            </w:r>
          </w:hyperlink>
        </w:p>
        <w:p>
          <w:pPr>
            <w:pStyle w:val="TOC1"/>
            <w:tabs>
              <w:tab w:val="clear" w:pos="708"/>
              <w:tab w:val="left" w:pos="480" w:leader="none"/>
              <w:tab w:val="right" w:pos="8290" w:leader="dot"/>
            </w:tabs>
            <w:rPr>
              <w:sz w:val="18"/>
              <w:szCs w:val="18"/>
              <w:lang w:val="en-US" w:eastAsia="en-US"/>
            </w:rPr>
          </w:pPr>
          <w:r>
            <w:rPr>
              <w:bCs/>
              <w:sz w:val="18"/>
              <w:szCs w:val="18"/>
              <w:lang w:val="en-US" w:eastAsia="en-US"/>
            </w:rPr>
            <w:t>6.</w:t>
          </w:r>
          <w:r>
            <w:rPr>
              <w:sz w:val="18"/>
              <w:szCs w:val="18"/>
              <w:lang w:val="en-US" w:eastAsia="en-US"/>
            </w:rPr>
            <w:tab/>
          </w:r>
          <w:r>
            <w:rPr>
              <w:bCs/>
              <w:sz w:val="18"/>
              <w:szCs w:val="18"/>
              <w:lang w:val="en-US" w:eastAsia="en-US"/>
            </w:rPr>
            <w:t>MISCELLANEOUS</w:t>
          </w:r>
          <w:r>
            <w:rPr>
              <w:sz w:val="18"/>
              <w:szCs w:val="18"/>
              <w:lang w:val="en-US" w:eastAsia="en-US"/>
            </w:rPr>
            <w:tab/>
          </w:r>
          <w:hyperlink w:anchor="__RefHeading___Toc153624648">
            <w:r>
              <w:rPr>
                <w:rStyle w:val="IndexLink"/>
                <w:sz w:val="18"/>
                <w:szCs w:val="18"/>
                <w:lang w:val="en-US" w:eastAsia="en-US"/>
              </w:rPr>
              <w:t>2</w:t>
            </w:r>
          </w:hyperlink>
        </w:p>
        <w:p>
          <w:pPr>
            <w:pStyle w:val="TOC1"/>
            <w:tabs>
              <w:tab w:val="clear" w:pos="708"/>
              <w:tab w:val="left" w:pos="480" w:leader="none"/>
              <w:tab w:val="right" w:pos="8290" w:leader="dot"/>
            </w:tabs>
            <w:rPr>
              <w:sz w:val="18"/>
              <w:szCs w:val="18"/>
              <w:lang w:val="en-US" w:eastAsia="en-US"/>
            </w:rPr>
          </w:pPr>
          <w:r>
            <w:rPr>
              <w:bCs/>
              <w:sz w:val="18"/>
              <w:szCs w:val="18"/>
              <w:lang w:val="en-US" w:eastAsia="en-US"/>
            </w:rPr>
            <w:t>7.</w:t>
          </w:r>
          <w:r>
            <w:rPr>
              <w:sz w:val="18"/>
              <w:szCs w:val="18"/>
              <w:lang w:val="en-US" w:eastAsia="en-US"/>
            </w:rPr>
            <w:tab/>
          </w:r>
          <w:r>
            <w:rPr>
              <w:bCs/>
              <w:sz w:val="18"/>
              <w:szCs w:val="18"/>
              <w:lang w:val="en-US" w:eastAsia="en-US"/>
            </w:rPr>
            <w:t>NOTICES</w:t>
          </w:r>
          <w:r>
            <w:rPr>
              <w:sz w:val="18"/>
              <w:szCs w:val="18"/>
              <w:lang w:val="en-US" w:eastAsia="en-US"/>
            </w:rPr>
            <w:tab/>
          </w:r>
          <w:hyperlink w:anchor="__RefHeading___Toc153624649">
            <w:r>
              <w:rPr>
                <w:rStyle w:val="IndexLink"/>
                <w:sz w:val="18"/>
                <w:szCs w:val="18"/>
                <w:lang w:val="en-US" w:eastAsia="en-US"/>
              </w:rPr>
              <w:t>3</w:t>
            </w:r>
          </w:hyperlink>
        </w:p>
        <w:p>
          <w:pPr>
            <w:pStyle w:val="TOC1"/>
            <w:tabs>
              <w:tab w:val="clear" w:pos="708"/>
              <w:tab w:val="left" w:pos="480" w:leader="none"/>
              <w:tab w:val="right" w:pos="8290" w:leader="dot"/>
            </w:tabs>
            <w:rPr>
              <w:sz w:val="18"/>
              <w:szCs w:val="18"/>
              <w:lang w:val="en-US" w:eastAsia="en-US"/>
            </w:rPr>
          </w:pPr>
          <w:r>
            <w:rPr>
              <w:bCs/>
              <w:sz w:val="18"/>
              <w:szCs w:val="18"/>
              <w:lang w:val="en-US" w:eastAsia="en-US"/>
            </w:rPr>
            <w:t>8.</w:t>
          </w:r>
          <w:r>
            <w:rPr>
              <w:sz w:val="18"/>
              <w:szCs w:val="18"/>
              <w:lang w:val="en-US" w:eastAsia="en-US"/>
            </w:rPr>
            <w:tab/>
          </w:r>
          <w:r>
            <w:rPr>
              <w:bCs/>
              <w:sz w:val="18"/>
              <w:szCs w:val="18"/>
              <w:lang w:val="en-US" w:eastAsia="en-US"/>
            </w:rPr>
            <w:t>GOVERNING LAW AND JURISDICTION</w:t>
          </w:r>
          <w:r>
            <w:rPr>
              <w:sz w:val="18"/>
              <w:szCs w:val="18"/>
              <w:lang w:val="en-US" w:eastAsia="en-US"/>
            </w:rPr>
            <w:tab/>
          </w:r>
          <w:hyperlink w:anchor="__RefHeading___Toc153624650">
            <w:r>
              <w:rPr>
                <w:rStyle w:val="IndexLink"/>
                <w:sz w:val="18"/>
                <w:szCs w:val="18"/>
                <w:lang w:val="en-US" w:eastAsia="en-US"/>
              </w:rPr>
              <w:t>3</w:t>
            </w:r>
          </w:hyperlink>
        </w:p>
        <w:p>
          <w:pPr>
            <w:pStyle w:val="TOC1"/>
            <w:tabs>
              <w:tab w:val="clear" w:pos="708"/>
              <w:tab w:val="left" w:pos="480" w:leader="none"/>
              <w:tab w:val="right" w:pos="8290" w:leader="dot"/>
            </w:tabs>
            <w:rPr>
              <w:sz w:val="18"/>
              <w:szCs w:val="18"/>
              <w:lang w:val="en-US" w:eastAsia="en-US"/>
            </w:rPr>
          </w:pPr>
          <w:r>
            <w:rPr>
              <w:bCs/>
              <w:sz w:val="18"/>
              <w:szCs w:val="18"/>
              <w:lang w:val="en-US" w:eastAsia="en-US"/>
            </w:rPr>
            <w:t>9.</w:t>
          </w:r>
          <w:r>
            <w:rPr>
              <w:sz w:val="18"/>
              <w:szCs w:val="18"/>
              <w:lang w:val="en-US" w:eastAsia="en-US"/>
            </w:rPr>
            <w:tab/>
          </w:r>
          <w:r>
            <w:rPr>
              <w:bCs/>
              <w:sz w:val="18"/>
              <w:szCs w:val="18"/>
              <w:lang w:val="en-US" w:eastAsia="en-US"/>
            </w:rPr>
            <w:t>COUNTERPARTS</w:t>
          </w:r>
          <w:r>
            <w:rPr>
              <w:sz w:val="18"/>
              <w:szCs w:val="18"/>
              <w:lang w:val="en-US" w:eastAsia="en-US"/>
            </w:rPr>
            <w:tab/>
          </w:r>
          <w:hyperlink w:anchor="__RefHeading___Toc153624651">
            <w:r>
              <w:rPr>
                <w:rStyle w:val="IndexLink"/>
                <w:sz w:val="18"/>
                <w:szCs w:val="18"/>
                <w:lang w:val="en-US" w:eastAsia="en-US"/>
              </w:rPr>
              <w:t>4</w:t>
            </w:r>
          </w:hyperlink>
          <w:r>
            <w:rPr>
              <w:rStyle w:val="IndexLink"/>
              <w:sz w:val="18"/>
              <w:szCs w:val="18"/>
              <w:lang w:val="en-US" w:eastAsia="en-US"/>
            </w:rPr>
            <w:fldChar w:fldCharType="end"/>
          </w:r>
        </w:p>
      </w:sdtContent>
    </w:sdt>
    <w:p>
      <w:pPr>
        <w:pStyle w:val="BodyText"/>
        <w:jc w:val="center"/>
        <w:rPr>
          <w:bCs/>
          <w:caps/>
          <w:sz w:val="18"/>
          <w:szCs w:val="18"/>
          <w:lang w:val="en-US" w:eastAsia="en-US"/>
        </w:rPr>
      </w:pPr>
      <w:r>
        <w:rPr>
          <w:bCs/>
          <w:caps/>
          <w:sz w:val="18"/>
          <w:szCs w:val="18"/>
          <w:lang w:val="en-US" w:eastAsia="en-US"/>
        </w:rPr>
      </w:r>
    </w:p>
    <w:p>
      <w:pPr>
        <w:pStyle w:val="BodyText"/>
        <w:jc w:val="center"/>
        <w:rPr>
          <w:bCs/>
          <w:caps/>
          <w:sz w:val="18"/>
          <w:szCs w:val="18"/>
        </w:rPr>
      </w:pPr>
      <w:r>
        <w:rPr>
          <w:bCs/>
          <w:caps/>
          <w:sz w:val="18"/>
          <w:szCs w:val="18"/>
        </w:rPr>
      </w:r>
    </w:p>
    <w:p>
      <w:pPr>
        <w:sectPr>
          <w:headerReference w:type="default" r:id="rId6"/>
          <w:headerReference w:type="first" r:id="rId7"/>
          <w:footerReference w:type="default" r:id="rId8"/>
          <w:footerReference w:type="first" r:id="rId9"/>
          <w:type w:val="nextPage"/>
          <w:pgSz w:w="11906" w:h="16838"/>
          <w:pgMar w:left="1800" w:right="1800" w:gutter="0" w:header="720" w:top="1440" w:footer="720" w:bottom="1800"/>
          <w:pgNumType w:start="1" w:fmt="lowerRoman"/>
          <w:formProt w:val="false"/>
          <w:titlePg/>
          <w:textDirection w:val="lrTb"/>
          <w:docGrid w:type="default" w:linePitch="326" w:charSpace="0"/>
        </w:sectPr>
        <w:pStyle w:val="BodyText"/>
        <w:jc w:val="center"/>
        <w:rPr>
          <w:bCs/>
          <w:caps/>
          <w:sz w:val="18"/>
          <w:szCs w:val="18"/>
        </w:rPr>
      </w:pPr>
      <w:r>
        <w:rPr>
          <w:bCs/>
          <w:caps/>
          <w:sz w:val="18"/>
          <w:szCs w:val="18"/>
        </w:rPr>
      </w:r>
    </w:p>
    <w:p>
      <w:pPr>
        <w:pStyle w:val="BodyText"/>
        <w:jc w:val="center"/>
        <w:rPr>
          <w:b/>
          <w:bCs/>
          <w:caps/>
          <w:sz w:val="18"/>
          <w:szCs w:val="18"/>
        </w:rPr>
      </w:pPr>
      <w:r>
        <w:rPr>
          <w:b/>
          <w:bCs/>
          <w:caps/>
          <w:sz w:val="18"/>
          <w:szCs w:val="18"/>
        </w:rPr>
      </w:r>
    </w:p>
    <w:p>
      <w:pPr>
        <w:pStyle w:val="BodyText"/>
        <w:jc w:val="center"/>
        <w:rPr>
          <w:sz w:val="22"/>
          <w:szCs w:val="22"/>
        </w:rPr>
      </w:pPr>
      <w:r>
        <w:rPr>
          <w:b/>
          <w:bCs/>
          <w:sz w:val="22"/>
          <w:szCs w:val="22"/>
        </w:rPr>
        <w:t xml:space="preserve">LOCAL ASSET TRANSFER AGREEMENT </w:t>
      </w:r>
    </w:p>
    <w:p>
      <w:pPr>
        <w:pStyle w:val="BodyText"/>
        <w:jc w:val="center"/>
        <w:rPr>
          <w:sz w:val="22"/>
          <w:szCs w:val="22"/>
        </w:rPr>
      </w:pPr>
      <w:r>
        <w:rPr>
          <w:sz w:val="22"/>
          <w:szCs w:val="22"/>
        </w:rPr>
        <w:t>made on _____ _____ _____ 2006</w:t>
      </w:r>
    </w:p>
    <w:p>
      <w:pPr>
        <w:pStyle w:val="Normal"/>
        <w:rPr>
          <w:b/>
          <w:sz w:val="22"/>
          <w:szCs w:val="22"/>
        </w:rPr>
      </w:pPr>
      <w:r>
        <w:rPr>
          <w:b/>
          <w:sz w:val="22"/>
          <w:szCs w:val="22"/>
        </w:rPr>
        <w:t>BETWEEN:</w:t>
      </w:r>
    </w:p>
    <w:p>
      <w:pPr>
        <w:pStyle w:val="Normal"/>
        <w:rPr>
          <w:b/>
          <w:sz w:val="22"/>
          <w:szCs w:val="22"/>
        </w:rPr>
      </w:pPr>
      <w:r>
        <w:rPr>
          <w:b/>
          <w:sz w:val="22"/>
          <w:szCs w:val="22"/>
        </w:rPr>
      </w:r>
    </w:p>
    <w:p>
      <w:pPr>
        <w:pStyle w:val="FWParties"/>
        <w:numPr>
          <w:ilvl w:val="0"/>
          <w:numId w:val="0"/>
        </w:numPr>
        <w:ind w:hanging="708" w:start="708" w:end="0"/>
        <w:rPr/>
      </w:pPr>
      <w:r>
        <w:rPr>
          <w:sz w:val="22"/>
          <w:szCs w:val="22"/>
        </w:rPr>
        <w:t>(1)</w:t>
        <w:tab/>
        <w:t>EuroBank België NV, a company incorporated under the laws of [●] under company number [●] whose [registered] office is at [●] (the Local EuroBank Affiliate); and</w:t>
      </w:r>
      <w:r>
        <w:rPr>
          <w:b/>
          <w:bCs/>
          <w:sz w:val="22"/>
          <w:szCs w:val="22"/>
        </w:rPr>
      </w:r>
      <w:r>
        <w:rPr>
          <w:sz w:val="22"/>
          <w:szCs w:val="22"/>
        </w:rPr>
      </w:r>
      <w:r>
        <w:rPr>
          <w:b/>
          <w:bCs/>
          <w:i/>
          <w:iCs/>
          <w:sz w:val="22"/>
          <w:szCs w:val="22"/>
        </w:rPr>
      </w:r>
      <w:r>
        <w:rPr>
          <w:sz w:val="22"/>
          <w:szCs w:val="22"/>
        </w:rPr>
      </w:r>
    </w:p>
    <w:p>
      <w:pPr>
        <w:pStyle w:val="FWParties"/>
        <w:numPr>
          <w:ilvl w:val="0"/>
          <w:numId w:val="4"/>
        </w:numPr>
        <w:tabs>
          <w:tab w:val="clear" w:pos="708"/>
          <w:tab w:val="left" w:pos="0" w:leader="none"/>
        </w:tabs>
        <w:ind w:hanging="720" w:start="720" w:end="0"/>
        <w:rPr>
          <w:sz w:val="22"/>
          <w:szCs w:val="22"/>
        </w:rPr>
      </w:pPr>
      <w:r>
        <w:rPr>
          <w:b/>
          <w:bCs/>
          <w:sz w:val="22"/>
          <w:szCs w:val="22"/>
        </w:rPr>
        <w:t>TelCo outsourcing Services Belgium NV., a company incorporated under the laws of the Netherlands under company number 27124701 whose registered office is at Maanplein 55 TP5/8.11, 2516 CK, The Hague, the Netherlands (the Local PST Supplier).</w:t>
      </w:r>
      <w:r>
        <w:rPr>
          <w:sz w:val="22"/>
          <w:szCs w:val="22"/>
        </w:rPr>
      </w:r>
      <w:r>
        <w:rPr>
          <w:b/>
          <w:bCs/>
          <w:sz w:val="22"/>
          <w:szCs w:val="22"/>
        </w:rPr>
      </w:r>
      <w:r>
        <w:rPr>
          <w:sz w:val="22"/>
          <w:szCs w:val="22"/>
        </w:rPr>
      </w:r>
      <w:r>
        <w:rPr>
          <w:b/>
          <w:bCs/>
          <w:i/>
          <w:iCs/>
          <w:sz w:val="22"/>
          <w:szCs w:val="22"/>
        </w:rPr>
      </w:r>
      <w:r>
        <w:rPr>
          <w:sz w:val="22"/>
          <w:szCs w:val="22"/>
        </w:rPr>
      </w:r>
    </w:p>
    <w:p>
      <w:pPr>
        <w:pStyle w:val="FWParties"/>
        <w:numPr>
          <w:ilvl w:val="0"/>
          <w:numId w:val="0"/>
        </w:numPr>
        <w:ind w:hanging="0" w:start="0"/>
        <w:rPr/>
      </w:pPr>
      <w:r>
        <w:rPr>
          <w:sz w:val="22"/>
          <w:szCs w:val="22"/>
        </w:rPr>
        <w:t>The Local EuroBank Affiliate and the Local PST Supplier hereinafter referred to as the Local Parties.</w:t>
      </w:r>
      <w:r>
        <w:rPr>
          <w:b/>
          <w:bCs/>
          <w:i/>
          <w:iCs/>
          <w:sz w:val="22"/>
          <w:szCs w:val="22"/>
        </w:rPr>
      </w:r>
      <w:r>
        <w:rPr>
          <w:sz w:val="22"/>
          <w:szCs w:val="22"/>
        </w:rPr>
      </w:r>
    </w:p>
    <w:p>
      <w:pPr>
        <w:pStyle w:val="Normal"/>
        <w:rPr>
          <w:b/>
          <w:sz w:val="22"/>
          <w:szCs w:val="22"/>
        </w:rPr>
      </w:pPr>
      <w:r>
        <w:rPr>
          <w:b/>
          <w:sz w:val="22"/>
          <w:szCs w:val="22"/>
        </w:rPr>
        <w:t>WHEREAS:</w:t>
      </w:r>
    </w:p>
    <w:p>
      <w:pPr>
        <w:pStyle w:val="Normal"/>
        <w:rPr>
          <w:b/>
          <w:sz w:val="22"/>
          <w:szCs w:val="22"/>
        </w:rPr>
      </w:pPr>
      <w:r>
        <w:rPr>
          <w:b/>
          <w:sz w:val="22"/>
          <w:szCs w:val="22"/>
        </w:rPr>
      </w:r>
    </w:p>
    <w:p>
      <w:pPr>
        <w:pStyle w:val="FWRecital"/>
        <w:numPr>
          <w:ilvl w:val="0"/>
          <w:numId w:val="6"/>
        </w:numPr>
        <w:ind w:hanging="0" w:start="0"/>
        <w:rPr>
          <w:sz w:val="22"/>
          <w:szCs w:val="22"/>
        </w:rPr>
      </w:pPr>
      <w:r>
        <w:rPr>
          <w:sz w:val="22"/>
          <w:szCs w:val="22"/>
        </w:rPr>
        <w:t>Following a strategic review of the EuroBank Group’s workplace IT infrastructure function, EuroBank and the PST Supplier have agreed to enter into an outsourcing arrangement whereby EuroBank Group will outsource certain workplace IT infrastructure functions to the PST Supplier.</w:t>
      </w:r>
    </w:p>
    <w:p>
      <w:pPr>
        <w:pStyle w:val="FWRecital"/>
        <w:numPr>
          <w:ilvl w:val="0"/>
          <w:numId w:val="5"/>
        </w:numPr>
        <w:ind w:hanging="0" w:start="0"/>
        <w:rPr>
          <w:sz w:val="22"/>
          <w:szCs w:val="22"/>
        </w:rPr>
      </w:pPr>
      <w:r>
        <w:rPr>
          <w:sz w:val="22"/>
          <w:szCs w:val="22"/>
        </w:rPr>
        <w:t>The PST Supplier and the EuroBank Group have entered into a PST Supplier Master Services Agreement (the MSA) on the date hereof, which agreement sets out the general terms and conditions for the performance of the Services to the EuroBank Group.</w:t>
      </w:r>
      <w:r>
        <w:rPr>
          <w:b/>
          <w:bCs/>
          <w:i/>
          <w:iCs/>
          <w:sz w:val="22"/>
          <w:szCs w:val="22"/>
        </w:rPr>
      </w:r>
      <w:r>
        <w:rPr>
          <w:sz w:val="22"/>
          <w:szCs w:val="22"/>
        </w:rPr>
      </w:r>
    </w:p>
    <w:p>
      <w:pPr>
        <w:pStyle w:val="FWRecital"/>
        <w:numPr>
          <w:ilvl w:val="0"/>
          <w:numId w:val="5"/>
        </w:numPr>
        <w:ind w:hanging="0" w:start="0"/>
        <w:rPr>
          <w:sz w:val="22"/>
          <w:szCs w:val="22"/>
        </w:rPr>
      </w:pPr>
      <w:r>
        <w:rPr>
          <w:sz w:val="22"/>
          <w:szCs w:val="22"/>
        </w:rPr>
        <w:t>Simultaneously with entering into the MSA, the PST Supplier and  EuroBank have entered into the Master Asset Transfer Agreement (the MATA), which sets out the general terms and conditions for the transfer of the Transfer Assets.</w:t>
      </w:r>
      <w:r>
        <w:rPr>
          <w:b/>
          <w:bCs/>
          <w:i/>
          <w:iCs/>
          <w:sz w:val="22"/>
          <w:szCs w:val="22"/>
        </w:rPr>
      </w:r>
      <w:r>
        <w:rPr>
          <w:sz w:val="22"/>
          <w:szCs w:val="22"/>
        </w:rPr>
      </w:r>
    </w:p>
    <w:p>
      <w:pPr>
        <w:pStyle w:val="FWRecital"/>
        <w:numPr>
          <w:ilvl w:val="0"/>
          <w:numId w:val="5"/>
        </w:numPr>
        <w:ind w:hanging="0" w:start="0"/>
        <w:rPr>
          <w:sz w:val="22"/>
          <w:szCs w:val="22"/>
        </w:rPr>
      </w:pPr>
      <w:r>
        <w:rPr>
          <w:sz w:val="22"/>
          <w:szCs w:val="22"/>
        </w:rPr>
        <w:t>As is laid down in the MATA, EuroBank has agreed to sell, or procure the sale of, and the PST Supplier has agreed to purchase, or procure the purchase of, the Transfer Assets to be effected in Belgium in accordance with this Local Asset Transfer Agreement (the LATA);</w:t>
      </w:r>
      <w:r>
        <w:rPr>
          <w:b/>
          <w:bCs/>
          <w:i/>
          <w:iCs/>
          <w:sz w:val="22"/>
          <w:szCs w:val="22"/>
        </w:rPr>
      </w:r>
      <w:r>
        <w:rPr>
          <w:sz w:val="22"/>
          <w:szCs w:val="22"/>
        </w:rPr>
      </w:r>
    </w:p>
    <w:p>
      <w:pPr>
        <w:pStyle w:val="FWRecital"/>
        <w:numPr>
          <w:ilvl w:val="0"/>
          <w:numId w:val="5"/>
        </w:numPr>
        <w:ind w:hanging="0" w:start="0"/>
        <w:rPr>
          <w:sz w:val="22"/>
          <w:szCs w:val="22"/>
        </w:rPr>
      </w:pPr>
      <w:r>
        <w:rPr>
          <w:sz w:val="22"/>
          <w:szCs w:val="22"/>
        </w:rPr>
        <w:t>In order to effectuate the provisions of the MATA, the Local EuroBank Affiliate and the Local PST Supplier have, in accordance with clause 3 of the MATA, agreed to the following terms and conditions for the provisions of the sale, purchase and transfer of the Transfer Assets by the Local EuroBank Affiliate to the Local PST Supplier as from the Commencement Date (the Local Completion Date).</w:t>
      </w:r>
      <w:r>
        <w:rPr>
          <w:b/>
          <w:bCs/>
          <w:i/>
          <w:iCs/>
          <w:sz w:val="22"/>
          <w:szCs w:val="22"/>
        </w:rPr>
      </w:r>
      <w:r>
        <w:rPr>
          <w:sz w:val="22"/>
          <w:szCs w:val="22"/>
        </w:rPr>
      </w:r>
    </w:p>
    <w:p>
      <w:pPr>
        <w:pStyle w:val="BodyText"/>
        <w:rPr/>
      </w:pPr>
      <w:r>
        <w:rPr>
          <w:b/>
          <w:bCs/>
          <w:sz w:val="22"/>
          <w:szCs w:val="22"/>
        </w:rPr>
        <w:t xml:space="preserve">THE LOCAL PARTIES AGREE </w:t>
      </w:r>
      <w:r>
        <w:rPr>
          <w:sz w:val="22"/>
          <w:szCs w:val="22"/>
        </w:rPr>
        <w:t>as follows:</w:t>
      </w:r>
    </w:p>
    <w:p>
      <w:pPr>
        <w:pStyle w:val="Heading5"/>
        <w:ind w:hanging="0" w:start="0"/>
        <w:rPr/>
      </w:pPr>
      <w:bookmarkStart w:id="3" w:name="__RefHeading___Toc153624643"/>
      <w:bookmarkEnd w:id="3"/>
      <w:r>
        <w:rPr>
          <w:sz w:val="22"/>
          <w:szCs w:val="22"/>
        </w:rPr>
        <w:t>1.</w:t>
        <w:tab/>
        <w:t>INCORPORATION OF MATA</w:t>
      </w:r>
    </w:p>
    <w:p>
      <w:pPr>
        <w:pStyle w:val="FWOutL3"/>
        <w:numPr>
          <w:ilvl w:val="2"/>
          <w:numId w:val="2"/>
        </w:numPr>
        <w:ind w:hanging="0" w:start="0"/>
        <w:rPr/>
      </w:pPr>
      <w:r>
        <w:rPr/>
        <w:t>Except as expressly stated herein or in the MATA, all terms and conditions of the MATA (including its Schedules) are incorporated herein by reference and the Local EuroBank Affiliate and the Local PST Supplier hereby confirm that they are bound by, and shall observe and comply with, such provisions.</w:t>
      </w:r>
    </w:p>
    <w:p>
      <w:pPr>
        <w:pStyle w:val="FWOutL3"/>
        <w:numPr>
          <w:ilvl w:val="2"/>
          <w:numId w:val="2"/>
        </w:numPr>
        <w:ind w:hanging="0" w:start="0"/>
        <w:rPr/>
      </w:pPr>
      <w:r>
        <w:rPr/>
        <w:t>Unless explicitly described otherwise herein, all references to EuroBank in the MATA shall be deemed to be a reference to the Local EuroBank Affiliate for the purpose of this LATA, and all references to the PST Supplier in the MATA shall be deemed to be a reference to the Local PST Supplier for the purpose of this LATA.</w:t>
      </w:r>
    </w:p>
    <w:p>
      <w:pPr>
        <w:pStyle w:val="FWOutL3"/>
        <w:numPr>
          <w:ilvl w:val="2"/>
          <w:numId w:val="2"/>
        </w:numPr>
        <w:ind w:hanging="0" w:start="0"/>
        <w:rPr/>
      </w:pPr>
      <w:r>
        <w:rPr/>
        <w:t>The Local Parties shall be deemed included in any references to a “party” or “parties” under the MATA where the context so requires.</w:t>
      </w:r>
    </w:p>
    <w:p>
      <w:pPr>
        <w:pStyle w:val="FWOutL3"/>
        <w:numPr>
          <w:ilvl w:val="2"/>
          <w:numId w:val="2"/>
        </w:numPr>
        <w:ind w:hanging="0" w:start="0"/>
        <w:rPr/>
      </w:pPr>
      <w:r>
        <w:rPr/>
        <w:t>Terms used in this LATA shall have the meaning given in the MATA unless expressly stated otherwise.</w:t>
      </w:r>
    </w:p>
    <w:p>
      <w:pPr>
        <w:pStyle w:val="Heading5"/>
        <w:ind w:hanging="0" w:start="0"/>
        <w:rPr/>
      </w:pPr>
      <w:bookmarkStart w:id="4" w:name="__RefHeading___Toc153624644"/>
      <w:bookmarkEnd w:id="4"/>
      <w:r>
        <w:rPr>
          <w:bCs/>
          <w:sz w:val="22"/>
        </w:rPr>
        <w:t>2.</w:t>
        <w:tab/>
        <w:t>LATA</w:t>
      </w:r>
    </w:p>
    <w:p>
      <w:pPr>
        <w:pStyle w:val="FWOutL3"/>
        <w:numPr>
          <w:ilvl w:val="0"/>
          <w:numId w:val="0"/>
        </w:numPr>
        <w:ind w:hanging="0" w:start="0"/>
        <w:rPr>
          <w:sz w:val="22"/>
          <w:szCs w:val="22"/>
        </w:rPr>
      </w:pPr>
      <w:r>
        <w:rPr>
          <w:sz w:val="22"/>
          <w:szCs w:val="22"/>
        </w:rPr>
        <w:t xml:space="preserve">This agreement constitutes a LATA as </w:t>
      </w:r>
      <w:bookmarkStart w:id="5" w:name="_Ref115147551"/>
      <w:r>
        <w:rPr>
          <w:sz w:val="22"/>
          <w:szCs w:val="22"/>
        </w:rPr>
        <w:t>referred to in clause 3 of the MATA.</w:t>
      </w:r>
    </w:p>
    <w:p>
      <w:pPr>
        <w:pStyle w:val="Heading5"/>
        <w:ind w:hanging="0" w:start="0"/>
        <w:rPr/>
      </w:pPr>
      <w:bookmarkStart w:id="6" w:name="__RefHeading___Toc153624645"/>
      <w:bookmarkEnd w:id="6"/>
      <w:r>
        <w:rPr>
          <w:bCs/>
          <w:sz w:val="22"/>
          <w:szCs w:val="22"/>
        </w:rPr>
        <w:t>3.</w:t>
        <w:tab/>
        <w:t>TRANSFER ASSETS</w:t>
      </w:r>
    </w:p>
    <w:p>
      <w:pPr>
        <w:pStyle w:val="Normal"/>
        <w:jc w:val="both"/>
        <w:rPr/>
      </w:pPr>
      <w:r>
        <w:rPr>
          <w:sz w:val="22"/>
          <w:szCs w:val="22"/>
        </w:rPr>
        <w:t>3.1.1</w:t>
        <w:tab/>
        <w:t xml:space="preserve">The Transfer Assets covered by this LATA are described in Schedule 1 of the MATA. </w:t>
      </w:r>
    </w:p>
    <w:p>
      <w:pPr>
        <w:pStyle w:val="Normal"/>
        <w:jc w:val="both"/>
        <w:rPr>
          <w:sz w:val="22"/>
          <w:szCs w:val="22"/>
        </w:rPr>
      </w:pPr>
      <w:r>
        <w:rPr>
          <w:sz w:val="22"/>
          <w:szCs w:val="22"/>
        </w:rPr>
      </w:r>
    </w:p>
    <w:p>
      <w:pPr>
        <w:pStyle w:val="Normal"/>
        <w:jc w:val="both"/>
        <w:rPr/>
      </w:pPr>
      <w:r>
        <w:rPr>
          <w:sz w:val="22"/>
          <w:szCs w:val="22"/>
        </w:rPr>
        <w:t>3.1.2</w:t>
        <w:tab/>
        <w:t xml:space="preserve">The Local EuroBank Affiliate hereby sells, transfers and assigns to the Local PST Supplier with effect from the Local Completion Date and the Local PST Supplier hereby purchases, assumes and receives from the Local EuroBank Affiliate with effect from the Local Completion Date the Local Transfer Assets </w:t>
      </w:r>
    </w:p>
    <w:p>
      <w:pPr>
        <w:pStyle w:val="Normal"/>
        <w:jc w:val="both"/>
        <w:rPr>
          <w:sz w:val="22"/>
          <w:szCs w:val="22"/>
        </w:rPr>
      </w:pPr>
      <w:r>
        <w:rPr>
          <w:sz w:val="22"/>
          <w:szCs w:val="22"/>
        </w:rPr>
      </w:r>
    </w:p>
    <w:p>
      <w:pPr>
        <w:pStyle w:val="Heading5"/>
        <w:ind w:hanging="0" w:start="0"/>
        <w:rPr/>
      </w:pPr>
      <w:bookmarkStart w:id="7" w:name="__RefHeading___Toc153624646"/>
      <w:r>
        <w:rPr>
          <w:bCs/>
          <w:sz w:val="22"/>
          <w:szCs w:val="22"/>
        </w:rPr>
        <w:t>4.</w:t>
        <w:tab/>
        <w:t>CONSIDERATION AND PAYMENT</w:t>
      </w:r>
      <w:bookmarkEnd w:id="7"/>
      <w:r>
        <w:rPr>
          <w:bCs/>
          <w:sz w:val="22"/>
          <w:szCs w:val="22"/>
        </w:rPr>
        <w:t xml:space="preserve"> </w:t>
      </w:r>
    </w:p>
    <w:p>
      <w:pPr>
        <w:pStyle w:val="Normal"/>
        <w:jc w:val="both"/>
        <w:rPr/>
      </w:pPr>
      <w:r>
        <w:rPr>
          <w:sz w:val="22"/>
          <w:szCs w:val="22"/>
        </w:rPr>
        <w:t>4.1.1</w:t>
        <w:tab/>
        <w:t>The purchase price for the Local Transfer Assets has been set out in Schedule 3 of the MATA.</w:t>
      </w:r>
    </w:p>
    <w:p>
      <w:pPr>
        <w:pStyle w:val="Normal"/>
        <w:jc w:val="both"/>
        <w:rPr>
          <w:sz w:val="22"/>
          <w:szCs w:val="22"/>
        </w:rPr>
      </w:pPr>
      <w:r>
        <w:rPr>
          <w:sz w:val="22"/>
          <w:szCs w:val="22"/>
        </w:rPr>
      </w:r>
    </w:p>
    <w:p>
      <w:pPr>
        <w:pStyle w:val="Normal"/>
        <w:jc w:val="both"/>
        <w:rPr/>
      </w:pPr>
      <w:r>
        <w:rPr>
          <w:sz w:val="22"/>
          <w:szCs w:val="22"/>
        </w:rPr>
        <w:t>4.1.2</w:t>
        <w:tab/>
        <w:t xml:space="preserve">The method of payment is described in clause 4 of the MATA. </w:t>
      </w:r>
    </w:p>
    <w:p>
      <w:pPr>
        <w:pStyle w:val="Normal"/>
        <w:jc w:val="both"/>
        <w:rPr>
          <w:bCs/>
          <w:iCs/>
          <w:color w:val="000000"/>
          <w:sz w:val="22"/>
          <w:szCs w:val="22"/>
        </w:rPr>
      </w:pPr>
      <w:r>
        <w:rPr>
          <w:bCs/>
          <w:iCs/>
          <w:color w:val="000000"/>
          <w:sz w:val="22"/>
          <w:szCs w:val="22"/>
        </w:rPr>
      </w:r>
    </w:p>
    <w:p>
      <w:pPr>
        <w:pStyle w:val="Normal"/>
        <w:jc w:val="both"/>
        <w:rPr/>
      </w:pPr>
      <w:r>
        <w:rPr>
          <w:bCs/>
          <w:iCs/>
          <w:color w:val="000000"/>
          <w:sz w:val="22"/>
          <w:szCs w:val="22"/>
        </w:rPr>
        <w:t>4.1.3</w:t>
        <w:tab/>
        <w:t>EuroBank and the PST Supplier assume that the transfer of the Transfer Assets falls under the scope of article 11 of the Belgian VAT Code (BTW-Wetboek), so that the transfer will not be subject to 21% Belgian VAT. On basis of this assumption, the Purchase Price will be set at book value. In case the tax authorities would argue that the aforementioned article 11 of the Belgian VAT act (would not apply) does not apply, parties will cooperate to recalculate the price of  the Transfer Assets, which will then be set at book value minus any Belgian VAT amount related to the Transfer Assets that EuroBank will receive from the Belgian tax authorities.</w:t>
      </w:r>
      <w:r>
        <w:rPr>
          <w:sz w:val="22"/>
          <w:szCs w:val="22"/>
        </w:rPr>
      </w:r>
    </w:p>
    <w:p>
      <w:pPr>
        <w:pStyle w:val="Normal"/>
        <w:rPr>
          <w:sz w:val="22"/>
          <w:szCs w:val="22"/>
        </w:rPr>
      </w:pPr>
      <w:r>
        <w:rPr>
          <w:sz w:val="22"/>
          <w:szCs w:val="22"/>
        </w:rPr>
      </w:r>
    </w:p>
    <w:p>
      <w:pPr>
        <w:pStyle w:val="Heading5"/>
        <w:ind w:hanging="0" w:start="0"/>
        <w:rPr>
          <w:bCs/>
          <w:sz w:val="22"/>
        </w:rPr>
      </w:pPr>
      <w:bookmarkStart w:id="8" w:name="__RefHeading___Toc153624647"/>
      <w:bookmarkEnd w:id="8"/>
      <w:r>
        <w:rPr>
          <w:bCs/>
          <w:sz w:val="22"/>
        </w:rPr>
        <w:t>5.</w:t>
        <w:tab/>
        <w:t>ADDITIONAL LOCAL PROVISIONS</w:t>
      </w:r>
    </w:p>
    <w:p>
      <w:pPr>
        <w:pStyle w:val="Normal"/>
        <w:jc w:val="both"/>
        <w:rPr>
          <w:sz w:val="22"/>
          <w:szCs w:val="22"/>
        </w:rPr>
      </w:pPr>
      <w:r>
        <w:rPr>
          <w:sz w:val="22"/>
          <w:szCs w:val="22"/>
        </w:rPr>
        <w:t>5.1.1</w:t>
        <w:tab/>
        <w:t>In deviation from the provisions set out in the MATA and its Schedules, any mandatory local Belgian law requirements are inserted here by reference and shall prevail over the provisions of the MATA.</w:t>
      </w:r>
    </w:p>
    <w:p>
      <w:pPr>
        <w:pStyle w:val="Normal"/>
        <w:jc w:val="both"/>
        <w:rPr>
          <w:sz w:val="22"/>
          <w:szCs w:val="22"/>
        </w:rPr>
      </w:pPr>
      <w:r>
        <w:rPr>
          <w:sz w:val="22"/>
          <w:szCs w:val="22"/>
        </w:rPr>
      </w:r>
    </w:p>
    <w:p>
      <w:pPr>
        <w:pStyle w:val="Heading5"/>
        <w:ind w:hanging="0" w:start="0"/>
        <w:rPr/>
      </w:pPr>
      <w:bookmarkStart w:id="9" w:name="__RefHeading___Toc153624648"/>
      <w:bookmarkEnd w:id="9"/>
      <w:r>
        <w:rPr>
          <w:bCs/>
          <w:sz w:val="22"/>
        </w:rPr>
        <w:t>6.</w:t>
        <w:tab/>
        <w:t>MISCELLANEOUS</w:t>
      </w:r>
    </w:p>
    <w:p>
      <w:pPr>
        <w:pStyle w:val="Normal"/>
        <w:jc w:val="both"/>
        <w:rPr/>
      </w:pPr>
      <w:r>
        <w:rPr>
          <w:sz w:val="22"/>
          <w:szCs w:val="22"/>
        </w:rPr>
        <w:t>6.1.1</w:t>
        <w:tab/>
        <w:t>Save as otherwise set out in the MATA or this LATA, ownership and risk of the Local Transfer Assets shall pass from the Local EuroBank Affiliate to the Local PST Supplier with effect from 00:00:01 on the Local Completion Date.</w:t>
      </w:r>
    </w:p>
    <w:p>
      <w:pPr>
        <w:pStyle w:val="Normal"/>
        <w:jc w:val="both"/>
        <w:rPr>
          <w:sz w:val="22"/>
          <w:szCs w:val="22"/>
        </w:rPr>
      </w:pPr>
      <w:r>
        <w:rPr>
          <w:sz w:val="22"/>
          <w:szCs w:val="22"/>
        </w:rPr>
      </w:r>
    </w:p>
    <w:p>
      <w:pPr>
        <w:pStyle w:val="Normal"/>
        <w:jc w:val="both"/>
        <w:rPr/>
      </w:pPr>
      <w:r>
        <w:rPr>
          <w:sz w:val="22"/>
          <w:szCs w:val="22"/>
        </w:rPr>
        <w:t>6.1.2</w:t>
        <w:tab/>
        <w:t>The Local PST Supplier hereby undertakes to give effect to the transfer as referred to under clause 3 of this LATA as per the Local Completion Date and to change all registrations with applicable authorities and institutions (including but not limited to tax authorities, chamber of commerce, district court and land registry).</w:t>
      </w:r>
    </w:p>
    <w:p>
      <w:pPr>
        <w:pStyle w:val="Normal"/>
        <w:jc w:val="both"/>
        <w:rPr>
          <w:sz w:val="22"/>
          <w:szCs w:val="22"/>
        </w:rPr>
      </w:pPr>
      <w:r>
        <w:rPr>
          <w:sz w:val="22"/>
          <w:szCs w:val="22"/>
        </w:rPr>
      </w:r>
    </w:p>
    <w:p>
      <w:pPr>
        <w:pStyle w:val="Normal"/>
        <w:jc w:val="both"/>
        <w:rPr>
          <w:sz w:val="22"/>
          <w:szCs w:val="22"/>
        </w:rPr>
      </w:pPr>
      <w:r>
        <w:rPr>
          <w:sz w:val="22"/>
          <w:szCs w:val="22"/>
        </w:rPr>
        <w:t>6.1.3</w:t>
        <w:tab/>
        <w:t>The Local Parties hereby acknowledge that nothing in this LATA limits the rights and obligations of EuroBank or the PST Supplier under the MATA, nor will anything in this LATA be construed as a limitation of any right or obligation under the MATA.</w:t>
      </w:r>
    </w:p>
    <w:p>
      <w:pPr>
        <w:pStyle w:val="Normal"/>
        <w:jc w:val="both"/>
        <w:rPr>
          <w:sz w:val="22"/>
          <w:szCs w:val="22"/>
        </w:rPr>
      </w:pPr>
      <w:r>
        <w:rPr>
          <w:sz w:val="22"/>
          <w:szCs w:val="22"/>
        </w:rPr>
      </w:r>
    </w:p>
    <w:p>
      <w:pPr>
        <w:pStyle w:val="Heading5"/>
        <w:ind w:hanging="0" w:start="0"/>
        <w:rPr>
          <w:bCs/>
          <w:sz w:val="22"/>
        </w:rPr>
      </w:pPr>
      <w:bookmarkStart w:id="10" w:name="__RefHeading___Toc153624649"/>
      <w:bookmarkEnd w:id="10"/>
      <w:r>
        <w:rPr>
          <w:bCs/>
          <w:sz w:val="22"/>
        </w:rPr>
        <w:t>7.</w:t>
        <w:tab/>
        <w:t>NOTICES</w:t>
      </w:r>
    </w:p>
    <w:p>
      <w:pPr>
        <w:pStyle w:val="Normal"/>
        <w:rPr>
          <w:sz w:val="22"/>
          <w:szCs w:val="22"/>
        </w:rPr>
      </w:pPr>
      <w:bookmarkStart w:id="11" w:name="_Ref110877593"/>
      <w:bookmarkEnd w:id="5"/>
      <w:r>
        <w:rPr>
          <w:sz w:val="22"/>
          <w:szCs w:val="22"/>
        </w:rPr>
        <w:t>7.1.1</w:t>
        <w:tab/>
        <w:t>In addition to clause 9.9.2 of the MATA, the addresses and fax numbers of the Local Parties are as follows:</w:t>
      </w:r>
      <w:bookmarkEnd w:id="11"/>
    </w:p>
    <w:p>
      <w:pPr>
        <w:pStyle w:val="Normal"/>
        <w:rPr>
          <w:sz w:val="22"/>
          <w:szCs w:val="22"/>
        </w:rPr>
      </w:pPr>
      <w:r>
        <w:rPr>
          <w:sz w:val="22"/>
          <w:szCs w:val="22"/>
        </w:rPr>
      </w:r>
    </w:p>
    <w:p>
      <w:pPr>
        <w:pStyle w:val="BodyText"/>
        <w:rPr>
          <w:sz w:val="22"/>
          <w:szCs w:val="22"/>
        </w:rPr>
      </w:pPr>
      <w:r>
        <w:rPr>
          <w:sz w:val="22"/>
          <w:szCs w:val="22"/>
        </w:rPr>
        <w:t>The Local PST Supplier</w:t>
      </w:r>
    </w:p>
    <w:p>
      <w:pPr>
        <w:pStyle w:val="BodyText"/>
        <w:rPr>
          <w:sz w:val="22"/>
          <w:szCs w:val="22"/>
        </w:rPr>
      </w:pPr>
      <w:r>
        <w:rPr>
          <w:sz w:val="22"/>
          <w:szCs w:val="22"/>
        </w:rPr>
        <w:t>Address:</w:t>
        <w:tab/>
        <w:tab/>
        <w:t>[●]</w:t>
        <w:tab/>
        <w:t>Maanplein 55 TP5/8.11</w:t>
      </w:r>
    </w:p>
    <w:p>
      <w:pPr>
        <w:pStyle w:val="BodyText"/>
        <w:rPr>
          <w:sz w:val="22"/>
          <w:szCs w:val="22"/>
        </w:rPr>
      </w:pPr>
      <w:r>
        <w:rPr>
          <w:sz w:val="22"/>
          <w:szCs w:val="22"/>
        </w:rPr>
        <w:tab/>
        <w:tab/>
        <w:tab/>
        <w:tab/>
        <w:t>2516 CK  The Hague</w:t>
      </w:r>
    </w:p>
    <w:p>
      <w:pPr>
        <w:pStyle w:val="BodyText"/>
        <w:rPr>
          <w:sz w:val="22"/>
          <w:szCs w:val="22"/>
        </w:rPr>
      </w:pPr>
      <w:r>
        <w:rPr>
          <w:sz w:val="22"/>
          <w:szCs w:val="22"/>
        </w:rPr>
        <w:t>Fax:</w:t>
        <w:tab/>
        <w:tab/>
        <w:tab/>
        <w:t>[●]</w:t>
        <w:tab/>
        <w:t>+31 70 34 35419</w:t>
      </w:r>
    </w:p>
    <w:p>
      <w:pPr>
        <w:pStyle w:val="BodyText"/>
        <w:rPr>
          <w:sz w:val="22"/>
          <w:szCs w:val="22"/>
        </w:rPr>
      </w:pPr>
      <w:r>
        <w:rPr>
          <w:sz w:val="22"/>
          <w:szCs w:val="22"/>
        </w:rPr>
        <w:t>For the attention of:</w:t>
        <w:tab/>
        <w:t>[●]</w:t>
        <w:tab/>
      </w:r>
    </w:p>
    <w:p>
      <w:pPr>
        <w:pStyle w:val="BodyText"/>
        <w:rPr>
          <w:sz w:val="22"/>
          <w:szCs w:val="22"/>
        </w:rPr>
      </w:pPr>
      <w:r>
        <w:rPr>
          <w:sz w:val="22"/>
          <w:szCs w:val="22"/>
        </w:rPr>
      </w:r>
    </w:p>
    <w:p>
      <w:pPr>
        <w:pStyle w:val="BodyText"/>
        <w:rPr>
          <w:sz w:val="22"/>
          <w:szCs w:val="22"/>
        </w:rPr>
      </w:pPr>
      <w:r>
        <w:rPr>
          <w:sz w:val="22"/>
          <w:szCs w:val="22"/>
        </w:rPr>
      </w:r>
    </w:p>
    <w:p>
      <w:pPr>
        <w:pStyle w:val="BodyText"/>
        <w:rPr>
          <w:sz w:val="22"/>
          <w:szCs w:val="22"/>
        </w:rPr>
      </w:pPr>
      <w:r>
        <w:rPr>
          <w:sz w:val="22"/>
          <w:szCs w:val="22"/>
        </w:rPr>
        <w:t>Local EuroBank Affiliate</w:t>
      </w:r>
    </w:p>
    <w:p>
      <w:pPr>
        <w:pStyle w:val="BodyText"/>
        <w:rPr>
          <w:sz w:val="22"/>
          <w:szCs w:val="22"/>
        </w:rPr>
      </w:pPr>
      <w:r>
        <w:rPr>
          <w:sz w:val="22"/>
          <w:szCs w:val="22"/>
        </w:rPr>
        <w:t>Address:</w:t>
        <w:tab/>
        <w:tab/>
        <w:t>[●]</w:t>
        <w:tab/>
        <w:t>Marnixlaan 24, Brussels</w:t>
      </w:r>
    </w:p>
    <w:p>
      <w:pPr>
        <w:pStyle w:val="BodyText"/>
        <w:rPr>
          <w:sz w:val="22"/>
          <w:szCs w:val="22"/>
        </w:rPr>
      </w:pPr>
      <w:r>
        <w:rPr>
          <w:sz w:val="22"/>
          <w:szCs w:val="22"/>
        </w:rPr>
        <w:t>Fax:</w:t>
        <w:tab/>
        <w:tab/>
        <w:tab/>
        <w:t>[●]</w:t>
        <w:tab/>
        <w:t>+32 2 547 2676</w:t>
      </w:r>
    </w:p>
    <w:p>
      <w:pPr>
        <w:pStyle w:val="BodyText"/>
        <w:rPr>
          <w:sz w:val="22"/>
          <w:szCs w:val="22"/>
        </w:rPr>
      </w:pPr>
      <w:r>
        <w:rPr>
          <w:sz w:val="22"/>
          <w:szCs w:val="22"/>
        </w:rPr>
        <w:t>For the attention of:</w:t>
        <w:tab/>
        <w:t>[●]</w:t>
        <w:tab/>
        <w:t>Co-Head legal</w:t>
      </w:r>
    </w:p>
    <w:p>
      <w:pPr>
        <w:pStyle w:val="BodyText"/>
        <w:rPr>
          <w:sz w:val="22"/>
          <w:szCs w:val="22"/>
        </w:rPr>
      </w:pPr>
      <w:r>
        <w:rPr>
          <w:sz w:val="22"/>
          <w:szCs w:val="22"/>
        </w:rPr>
      </w:r>
    </w:p>
    <w:p>
      <w:pPr>
        <w:pStyle w:val="Heading5"/>
        <w:ind w:hanging="0" w:start="0"/>
        <w:rPr>
          <w:bCs/>
          <w:sz w:val="22"/>
        </w:rPr>
      </w:pPr>
      <w:bookmarkStart w:id="12" w:name="__RefHeading___Toc153624650"/>
      <w:bookmarkEnd w:id="12"/>
      <w:r>
        <w:rPr>
          <w:bCs/>
          <w:sz w:val="22"/>
        </w:rPr>
        <w:t>8.</w:t>
        <w:tab/>
        <w:t>GOVERNING LAW AND JURISDICTION</w:t>
      </w:r>
    </w:p>
    <w:p>
      <w:pPr>
        <w:pStyle w:val="Normal"/>
        <w:jc w:val="both"/>
        <w:rPr/>
      </w:pPr>
      <w:r>
        <w:rPr>
          <w:sz w:val="22"/>
          <w:szCs w:val="22"/>
        </w:rPr>
        <w:t>8.1.1</w:t>
        <w:tab/>
        <w:t>Except to the extent prohibited under the laws of any jurisdiction which are applicable in respect of this LATA, this LATA shall be governed by and construed in accordance with the laws of the Netherlands.</w:t>
      </w:r>
    </w:p>
    <w:p>
      <w:pPr>
        <w:pStyle w:val="Normal"/>
        <w:jc w:val="both"/>
        <w:rPr>
          <w:sz w:val="22"/>
          <w:szCs w:val="22"/>
        </w:rPr>
      </w:pPr>
      <w:r>
        <w:rPr>
          <w:sz w:val="22"/>
          <w:szCs w:val="22"/>
        </w:rPr>
      </w:r>
    </w:p>
    <w:p>
      <w:pPr>
        <w:pStyle w:val="Normal"/>
        <w:jc w:val="both"/>
        <w:rPr/>
      </w:pPr>
      <w:r>
        <w:rPr>
          <w:sz w:val="22"/>
          <w:szCs w:val="22"/>
        </w:rPr>
        <w:t>8.1.2</w:t>
        <w:tab/>
        <w:t>To the extent that the provisions of this LATA fail to comply with any requirement under the laws of any jurisdiction (other than the Netherlands) which are applicable in respect of this LATA, the Local Parties shall use their respective reasonable endeavours to ensure that such provisions are amended so as to comply with such laws but so as to minimise the economic effect on either of the Local Parties.</w:t>
      </w:r>
    </w:p>
    <w:p>
      <w:pPr>
        <w:pStyle w:val="Normal"/>
        <w:jc w:val="both"/>
        <w:rPr>
          <w:sz w:val="22"/>
          <w:szCs w:val="22"/>
        </w:rPr>
      </w:pPr>
      <w:r>
        <w:rPr>
          <w:sz w:val="22"/>
          <w:szCs w:val="22"/>
        </w:rPr>
      </w:r>
    </w:p>
    <w:p>
      <w:pPr>
        <w:pStyle w:val="Normal"/>
        <w:jc w:val="both"/>
        <w:rPr>
          <w:sz w:val="22"/>
          <w:szCs w:val="22"/>
        </w:rPr>
      </w:pPr>
      <w:r>
        <w:rPr>
          <w:sz w:val="22"/>
          <w:szCs w:val="22"/>
        </w:rPr>
        <w:t>8.1.3</w:t>
        <w:tab/>
        <w:t xml:space="preserve">All disputes, controversies or claims between arising out of or in connection with this LATA shall be settled in accordance with clause 9.14 of the MATA. </w:t>
      </w:r>
    </w:p>
    <w:p>
      <w:pPr>
        <w:pStyle w:val="Normal"/>
        <w:jc w:val="both"/>
        <w:rPr>
          <w:sz w:val="22"/>
          <w:szCs w:val="22"/>
        </w:rPr>
      </w:pPr>
      <w:r>
        <w:rPr>
          <w:sz w:val="22"/>
          <w:szCs w:val="22"/>
        </w:rPr>
      </w:r>
    </w:p>
    <w:p>
      <w:pPr>
        <w:pStyle w:val="Heading5"/>
        <w:ind w:hanging="0" w:start="0"/>
        <w:rPr>
          <w:bCs/>
          <w:sz w:val="22"/>
        </w:rPr>
      </w:pPr>
      <w:bookmarkStart w:id="13" w:name="__RefHeading___Toc153624651"/>
      <w:bookmarkEnd w:id="13"/>
      <w:r>
        <w:rPr>
          <w:bCs/>
          <w:sz w:val="22"/>
        </w:rPr>
        <w:t>9.</w:t>
        <w:tab/>
        <w:t>COUNTERPARTS</w:t>
      </w:r>
    </w:p>
    <w:p>
      <w:pPr>
        <w:pStyle w:val="Normal"/>
        <w:jc w:val="both"/>
        <w:rPr>
          <w:sz w:val="22"/>
          <w:szCs w:val="22"/>
        </w:rPr>
      </w:pPr>
      <w:r>
        <w:rPr>
          <w:sz w:val="22"/>
          <w:szCs w:val="22"/>
        </w:rPr>
        <w:t>This LATA may be executed in any number of counterparts and by the Local Parties to it on separate counterparts, each of which is an original but all of which taken together shall constitute one and the same instrument.</w:t>
      </w:r>
    </w:p>
    <w:p>
      <w:pPr>
        <w:pStyle w:val="Sealing"/>
        <w:keepNext w:val="true"/>
        <w:rPr>
          <w:sz w:val="22"/>
          <w:szCs w:val="22"/>
        </w:rPr>
      </w:pPr>
      <w:r>
        <w:rPr>
          <w:sz w:val="22"/>
          <w:szCs w:val="22"/>
        </w:rPr>
      </w:r>
    </w:p>
    <w:p>
      <w:pPr>
        <w:pStyle w:val="Sealing"/>
        <w:keepNext w:val="true"/>
        <w:rPr>
          <w:sz w:val="22"/>
          <w:szCs w:val="22"/>
        </w:rPr>
      </w:pPr>
      <w:r>
        <w:rPr>
          <w:sz w:val="22"/>
          <w:szCs w:val="22"/>
        </w:rPr>
        <w:t>EXECUTED by the Local Parties</w:t>
        <w:tab/>
        <w:t>)</w:t>
      </w:r>
    </w:p>
    <w:p>
      <w:pPr>
        <w:pStyle w:val="Sealing"/>
        <w:keepNext w:val="true"/>
        <w:rPr>
          <w:sz w:val="22"/>
          <w:szCs w:val="22"/>
        </w:rPr>
      </w:pPr>
      <w:r>
        <w:rPr>
          <w:sz w:val="22"/>
          <w:szCs w:val="22"/>
        </w:rPr>
        <w:br/>
        <w:t>Signed by</w:t>
        <w:tab/>
        <w:tab/>
        <w:t>)</w:t>
        <w:br/>
        <w:t xml:space="preserve">a duly authorised </w:t>
        <w:tab/>
        <w:tab/>
        <w:t>)</w:t>
        <w:br/>
        <w:t>representative of</w:t>
        <w:tab/>
        <w:tab/>
        <w:t>)</w:t>
        <w:br/>
        <w:t>[insert name of Local EuroBank Affiliate]:</w:t>
        <w:tab/>
        <w:t>)</w:t>
      </w:r>
    </w:p>
    <w:p>
      <w:pPr>
        <w:pStyle w:val="Sealing"/>
        <w:keepNext w:val="true"/>
        <w:rPr>
          <w:sz w:val="22"/>
          <w:szCs w:val="22"/>
        </w:rPr>
      </w:pPr>
      <w:r>
        <w:rPr>
          <w:sz w:val="22"/>
          <w:szCs w:val="22"/>
        </w:rPr>
        <w:t>_________________________</w:t>
        <w:tab/>
        <w:t>Signature</w:t>
      </w:r>
    </w:p>
    <w:p>
      <w:pPr>
        <w:pStyle w:val="Sealing"/>
        <w:keepNext w:val="true"/>
        <w:rPr>
          <w:sz w:val="22"/>
          <w:szCs w:val="22"/>
        </w:rPr>
      </w:pPr>
      <w:r>
        <w:rPr>
          <w:sz w:val="22"/>
          <w:szCs w:val="22"/>
        </w:rPr>
        <w:t>Signed by</w:t>
        <w:tab/>
        <w:tab/>
        <w:t>)</w:t>
        <w:br/>
        <w:t xml:space="preserve">a duly authorised </w:t>
        <w:tab/>
        <w:tab/>
        <w:t>)</w:t>
        <w:br/>
        <w:t>representative of</w:t>
        <w:tab/>
        <w:tab/>
        <w:t>)</w:t>
        <w:br/>
        <w:t>[insert name of Local EuroBank Affiliate]:</w:t>
        <w:tab/>
        <w:t>)</w:t>
      </w:r>
    </w:p>
    <w:p>
      <w:pPr>
        <w:pStyle w:val="Sealing"/>
        <w:keepNext w:val="true"/>
        <w:rPr>
          <w:sz w:val="22"/>
          <w:szCs w:val="22"/>
        </w:rPr>
      </w:pPr>
      <w:r>
        <w:rPr>
          <w:sz w:val="22"/>
          <w:szCs w:val="22"/>
        </w:rPr>
        <w:t>_________________________</w:t>
        <w:tab/>
        <w:t>Signature</w:t>
      </w:r>
    </w:p>
    <w:p>
      <w:pPr>
        <w:pStyle w:val="Sealing"/>
        <w:keepNext w:val="true"/>
        <w:rPr>
          <w:sz w:val="22"/>
          <w:szCs w:val="22"/>
        </w:rPr>
      </w:pPr>
      <w:r>
        <w:rPr>
          <w:sz w:val="22"/>
          <w:szCs w:val="22"/>
        </w:rPr>
      </w:r>
    </w:p>
    <w:p>
      <w:pPr>
        <w:pStyle w:val="Sealing"/>
        <w:keepNext w:val="true"/>
        <w:rPr>
          <w:sz w:val="22"/>
          <w:szCs w:val="22"/>
        </w:rPr>
      </w:pPr>
      <w:r>
        <w:rPr>
          <w:sz w:val="22"/>
          <w:szCs w:val="22"/>
        </w:rPr>
        <w:t>Signed by</w:t>
        <w:tab/>
        <w:tab/>
        <w:t>)</w:t>
        <w:br/>
        <w:t xml:space="preserve">a duly authorised </w:t>
        <w:tab/>
        <w:tab/>
        <w:t>)</w:t>
        <w:br/>
        <w:t>representative of</w:t>
        <w:tab/>
        <w:tab/>
        <w:t>)</w:t>
        <w:br/>
        <w:t>[insert name of Local PST Supplier]</w:t>
        <w:tab/>
        <w:t>)</w:t>
      </w:r>
    </w:p>
    <w:p>
      <w:pPr>
        <w:pStyle w:val="Sealing"/>
        <w:keepNext w:val="true"/>
        <w:rPr>
          <w:b/>
          <w:bCs/>
          <w:sz w:val="22"/>
          <w:szCs w:val="22"/>
        </w:rPr>
      </w:pPr>
      <w:r>
        <w:rPr>
          <w:sz w:val="22"/>
          <w:szCs w:val="22"/>
        </w:rPr>
        <w:t>_________________________</w:t>
        <w:tab/>
        <w:t>Signature</w:t>
      </w:r>
    </w:p>
    <w:p>
      <w:pPr>
        <w:pStyle w:val="Normal"/>
        <w:rPr>
          <w:b/>
          <w:bCs/>
          <w:sz w:val="22"/>
          <w:szCs w:val="22"/>
        </w:rPr>
      </w:pPr>
      <w:r>
        <w:rPr>
          <w:b/>
          <w:bCs/>
          <w:sz w:val="22"/>
          <w:szCs w:val="22"/>
        </w:rPr>
      </w:r>
    </w:p>
    <w:sectPr>
      <w:headerReference w:type="default" r:id="rId10"/>
      <w:headerReference w:type="first" r:id="rId11"/>
      <w:footerReference w:type="default" r:id="rId12"/>
      <w:footerReference w:type="first" r:id="rId13"/>
      <w:type w:val="nextPage"/>
      <w:pgSz w:w="11906" w:h="16838"/>
      <w:pgMar w:left="1800" w:right="1800" w:gutter="0" w:header="720" w:top="1440" w:footer="720" w:bottom="1800"/>
      <w:pgNumType w:start="1"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40" w:leader="none"/>
        <w:tab w:val="right" w:pos="8280" w:leader="none"/>
      </w:tabs>
      <w:rPr>
        <w:rStyle w:val="PageNumber"/>
      </w:rPr>
    </w:pPr>
    <w:r>
      <w:rPr>
        <w:lang w:val="en-US" w:eastAsia="en-US"/>
      </w:rPr>
      <w:t>Ops &amp; IT Banking Confidential</w:t>
      <w:tab/>
    </w: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rPr>
        <w:rStyle w:val="PageNumber"/>
      </w:rPr>
      <w:tab/>
      <w:t>30/11/06</w:t>
    </w:r>
  </w:p>
  <w:p>
    <w:pPr>
      <w:pStyle w:val="Footer"/>
      <w:ind w:firstLine="708" w:end="0"/>
      <w:rPr>
        <w:rStyle w:val="PageNumber"/>
        <w:lang w:val="en-US" w:eastAsia="en-US"/>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bookmarkStart w:id="0" w:name="_Ref532912010"/>
    <w:r>
      <w:rPr>
        <w:color w:val="008000"/>
        <w:lang w:val="en-US" w:eastAsia="en-US"/>
      </w:rPr>
      <w:t>Ops &amp; IT Banking Confidential</w:t>
    </w:r>
    <w:r>
      <w:rPr>
        <w:lang w:val="en-US" w:eastAsia="en-US"/>
      </w:rPr>
      <w:tab/>
    </w:r>
    <w:bookmarkStart w:id="1" w:name="_Ref6280582"/>
    <w:bookmarkStart w:id="2" w:name="_Ref9067"/>
    <w:bookmarkEnd w:id="0"/>
    <w:bookmarkEnd w:id="1"/>
    <w:bookmarkEnd w:id="2"/>
    <w:r>
      <w:rPr>
        <w:color w:val="008000"/>
        <w:lang w:val="en-US" w:eastAsia="en-US"/>
      </w:rPr>
      <w:t>30/11/06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40" w:leader="none"/>
        <w:tab w:val="right" w:pos="8280" w:leader="none"/>
      </w:tabs>
      <w:rPr/>
    </w:pPr>
    <w:r>
      <w:rPr>
        <w:lang w:val="en-US" w:eastAsia="en-US"/>
      </w:rPr>
      <w:t>Ops &amp; IT Banking Confidential</w:t>
      <w:tab/>
    </w: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rPr>
        <w:rStyle w:val="PageNumber"/>
      </w:rPr>
      <w:tab/>
      <w:t>30/11/06</w:t>
    </w:r>
  </w:p>
  <w:p>
    <w:pPr>
      <w:pStyle w:val="Footer"/>
      <w:ind w:firstLine="708" w:end="0"/>
      <w:rPr>
        <w:rStyle w:val="PageNumber"/>
        <w:lang w:val="en-US" w:eastAsia="en-US"/>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320" w:leader="none"/>
        <w:tab w:val="right" w:pos="8280" w:leader="none"/>
      </w:tabs>
      <w:rPr/>
    </w:pPr>
    <w:r>
      <w:rPr>
        <w:color w:val="008000"/>
        <w:lang w:val="en-US" w:eastAsia="en-US"/>
      </w:rPr>
      <w:t>Ops &amp; IT Banking Confidential</w:t>
      <w:tab/>
    </w: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r>
      <w:rPr>
        <w:lang w:val="en-US" w:eastAsia="en-US"/>
      </w:rPr>
      <w:tab/>
    </w:r>
    <w:r>
      <w:rPr>
        <w:color w:val="008000"/>
        <w:lang w:val="en-US" w:eastAsia="en-US"/>
      </w:rPr>
      <w:t>30/11/06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40" w:leader="none"/>
        <w:tab w:val="right" w:pos="8280" w:leader="none"/>
      </w:tabs>
      <w:rPr/>
    </w:pPr>
    <w:r>
      <w:rPr>
        <w:lang w:val="en-US" w:eastAsia="en-US"/>
      </w:rPr>
      <w:t>Ops &amp; IT Banking Confidential</w:t>
      <w:tab/>
    </w: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r>
      <w:rPr>
        <w:rStyle w:val="PageNumber"/>
      </w:rPr>
      <w:tab/>
      <w:t>30/11/06</w:t>
    </w:r>
  </w:p>
  <w:p>
    <w:pPr>
      <w:pStyle w:val="Footer"/>
      <w:ind w:firstLine="708" w:end="0"/>
      <w:rPr>
        <w:rStyle w:val="PageNumber"/>
        <w:lang w:val="en-US" w:eastAsia="en-US"/>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320" w:leader="none"/>
        <w:tab w:val="right" w:pos="8280" w:leader="none"/>
      </w:tabs>
      <w:rPr/>
    </w:pPr>
    <w:r>
      <w:rPr>
        <w:lang w:val="en-US" w:eastAsia="en-US"/>
      </w:rPr>
      <w:t>Ops &amp; IT Banking Confidential</w:t>
    </w:r>
    <w:r>
      <w:rPr>
        <w:color w:val="008000"/>
        <w:lang w:val="en-US" w:eastAsia="en-US"/>
      </w:rP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lang w:val="en-US" w:eastAsia="en-US"/>
      </w:rPr>
      <w:tab/>
    </w:r>
    <w:r>
      <w:rPr>
        <w:color w:val="008000"/>
        <w:lang w:val="en-US" w:eastAsia="en-US"/>
      </w:rPr>
      <w:t>30/11/06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CPN"/>
      <w:tabs>
        <w:tab w:val="clear" w:pos="708"/>
        <w:tab w:val="left" w:pos="0" w:leader="none"/>
        <w:tab w:val="center" w:pos="4140" w:leader="none"/>
        <w:tab w:val="right" w:pos="8280" w:leader="none"/>
      </w:tabs>
      <w:spacing w:before="360" w:after="0"/>
      <w:jc w:val="start"/>
      <w:rPr>
        <w:sz w:val="16"/>
        <w:szCs w:val="16"/>
        <w:lang w:val="pl-PL"/>
      </w:rPr>
    </w:pPr>
    <w:r>
      <w:rPr/>
      <w:drawing>
        <wp:inline distT="0" distB="0" distL="0" distR="0">
          <wp:extent cx="965200" cy="284480"/>
          <wp:effectExtent l="0" t="0" r="0" b="0"/>
          <wp:docPr id="1"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title=""/>
                  <pic:cNvPicPr>
                    <a:picLocks noChangeAspect="1" noChangeArrowheads="1"/>
                  </pic:cNvPicPr>
                </pic:nvPicPr>
                <pic:blipFill>
                  <a:blip r:embed="rId1"/>
                  <a:stretch>
                    <a:fillRect/>
                  </a:stretch>
                </pic:blipFill>
                <pic:spPr bwMode="auto">
                  <a:xfrm>
                    <a:off x="0" y="0"/>
                    <a:ext cx="965200" cy="284480"/>
                  </a:xfrm>
                  <a:prstGeom prst="rect">
                    <a:avLst/>
                  </a:prstGeom>
                </pic:spPr>
              </pic:pic>
            </a:graphicData>
          </a:graphic>
        </wp:inline>
      </w:drawing>
    </w:r>
    <w:r>
      <w:rPr>
        <w:lang w:val="pl-PL"/>
      </w:rPr>
      <w:tab/>
      <w:tab/>
    </w:r>
    <w:r>
      <w:rPr>
        <w:sz w:val="16"/>
        <w:szCs w:val="16"/>
        <w:lang w:val="pl-PL"/>
      </w:rPr>
      <w:fldChar w:fldCharType="begin"/>
    </w:r>
    <w:r>
      <w:rPr>
        <w:sz w:val="16"/>
        <w:szCs w:val="16"/>
        <w:lang w:val="pl-PL"/>
      </w:rPr>
      <w:instrText xml:space="preserve"> FILENAME </w:instrText>
    </w:r>
    <w:r>
      <w:rPr>
        <w:sz w:val="16"/>
        <w:szCs w:val="16"/>
        <w:lang w:val="pl-PL"/>
      </w:rPr>
      <w:fldChar w:fldCharType="separate"/>
    </w:r>
    <w:r>
      <w:rPr>
        <w:sz w:val="16"/>
        <w:szCs w:val="16"/>
        <w:lang w:val="pl-PL"/>
      </w:rPr>
      <w:t>LATA Final v1.3.doc</w:t>
    </w:r>
    <w:r>
      <w:rPr>
        <w:sz w:val="16"/>
        <w:szCs w:val="16"/>
        <w:lang w:val="pl-PL"/>
      </w:rPr>
      <w:fldChar w:fldCharType="end"/>
    </w:r>
  </w:p>
  <w:p>
    <w:pPr>
      <w:pStyle w:val="HeaderCPN"/>
      <w:tabs>
        <w:tab w:val="clear" w:pos="708"/>
        <w:tab w:val="left" w:pos="0" w:leader="none"/>
        <w:tab w:val="center" w:pos="4140" w:leader="none"/>
        <w:tab w:val="right" w:pos="8280" w:leader="none"/>
      </w:tabs>
      <w:spacing w:before="0" w:after="0"/>
      <w:jc w:val="start"/>
      <w:rPr>
        <w:sz w:val="16"/>
        <w:szCs w:val="16"/>
        <w:lang w:val="pl-PL"/>
      </w:rPr>
    </w:pPr>
    <w:r>
      <w:rPr>
        <w:sz w:val="16"/>
        <w:szCs w:val="16"/>
        <w:lang w:val="pl-PL"/>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CPN"/>
      <w:tabs>
        <w:tab w:val="clear" w:pos="708"/>
        <w:tab w:val="left" w:pos="0" w:leader="none"/>
        <w:tab w:val="center" w:pos="4140" w:leader="none"/>
        <w:tab w:val="right" w:pos="8280" w:leader="none"/>
      </w:tabs>
      <w:spacing w:before="0" w:after="0"/>
      <w:jc w:val="start"/>
      <w:rPr/>
    </w:pPr>
    <w:r>
      <w:rPr/>
      <w:drawing>
        <wp:inline distT="0" distB="0" distL="0" distR="0">
          <wp:extent cx="965200" cy="284480"/>
          <wp:effectExtent l="0" t="0" r="0" b="0"/>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LATA Final v1.3.doc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CPN"/>
      <w:tabs>
        <w:tab w:val="clear" w:pos="708"/>
        <w:tab w:val="left" w:pos="0" w:leader="none"/>
        <w:tab w:val="center" w:pos="4140" w:leader="none"/>
        <w:tab w:val="right" w:pos="8280" w:leader="none"/>
      </w:tabs>
      <w:spacing w:before="360" w:after="0"/>
      <w:jc w:val="start"/>
      <w:rPr/>
    </w:pPr>
    <w:r>
      <w:rPr/>
      <w:drawing>
        <wp:inline distT="0" distB="0" distL="0" distR="0">
          <wp:extent cx="965200" cy="28448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965200" cy="284480"/>
                  </a:xfrm>
                  <a:prstGeom prst="rect">
                    <a:avLst/>
                  </a:prstGeom>
                </pic:spPr>
              </pic:pic>
            </a:graphicData>
          </a:graphic>
        </wp:inline>
      </w:drawing>
    </w:r>
    <w:r>
      <w:rPr>
        <w:lang w:val="pl-PL"/>
      </w:rPr>
      <w:tab/>
      <w:tab/>
    </w:r>
    <w:r>
      <w:rPr>
        <w:sz w:val="16"/>
        <w:szCs w:val="16"/>
        <w:lang w:val="pl-PL"/>
      </w:rPr>
      <w:fldChar w:fldCharType="begin"/>
    </w:r>
    <w:r>
      <w:rPr>
        <w:sz w:val="16"/>
        <w:szCs w:val="16"/>
        <w:lang w:val="pl-PL"/>
      </w:rPr>
      <w:instrText xml:space="preserve"> FILENAME </w:instrText>
    </w:r>
    <w:r>
      <w:rPr>
        <w:sz w:val="16"/>
        <w:szCs w:val="16"/>
        <w:lang w:val="pl-PL"/>
      </w:rPr>
      <w:fldChar w:fldCharType="separate"/>
    </w:r>
    <w:r>
      <w:rPr>
        <w:sz w:val="16"/>
        <w:szCs w:val="16"/>
        <w:lang w:val="pl-PL"/>
      </w:rPr>
      <w:t>LATA Final v1.3.doc</w:t>
    </w:r>
    <w:r>
      <w:rPr>
        <w:sz w:val="16"/>
        <w:szCs w:val="16"/>
        <w:lang w:val="pl-PL"/>
      </w:rPr>
      <w:fldChar w:fldCharType="end"/>
    </w:r>
  </w:p>
  <w:p>
    <w:pPr>
      <w:pStyle w:val="HeaderCPN"/>
      <w:tabs>
        <w:tab w:val="clear" w:pos="708"/>
        <w:tab w:val="left" w:pos="0" w:leader="none"/>
        <w:tab w:val="center" w:pos="4140" w:leader="none"/>
        <w:tab w:val="right" w:pos="8280" w:leader="none"/>
      </w:tabs>
      <w:spacing w:before="0" w:after="0"/>
      <w:jc w:val="start"/>
      <w:rPr>
        <w:sz w:val="16"/>
        <w:szCs w:val="16"/>
        <w:lang w:val="pl-PL"/>
      </w:rPr>
    </w:pPr>
    <w:r>
      <w:rPr>
        <w:sz w:val="16"/>
        <w:szCs w:val="16"/>
        <w:lang w:val="pl-PL"/>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CPN"/>
      <w:tabs>
        <w:tab w:val="clear" w:pos="708"/>
        <w:tab w:val="left" w:pos="0" w:leader="none"/>
        <w:tab w:val="center" w:pos="4140" w:leader="none"/>
        <w:tab w:val="right" w:pos="8280" w:leader="none"/>
      </w:tabs>
      <w:spacing w:before="0" w:after="0"/>
      <w:jc w:val="start"/>
      <w:rPr/>
    </w:pPr>
    <w:r>
      <w:rPr/>
      <w:drawing>
        <wp:inline distT="0" distB="0" distL="0" distR="0">
          <wp:extent cx="965200" cy="284480"/>
          <wp:effectExtent l="0" t="0" r="0" b="0"/>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LATA Final v1.3.doc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CPN"/>
      <w:tabs>
        <w:tab w:val="clear" w:pos="708"/>
        <w:tab w:val="left" w:pos="0" w:leader="none"/>
        <w:tab w:val="center" w:pos="4140" w:leader="none"/>
        <w:tab w:val="right" w:pos="8280" w:leader="none"/>
      </w:tabs>
      <w:spacing w:before="360" w:after="0"/>
      <w:jc w:val="start"/>
      <w:rPr/>
    </w:pPr>
    <w:r>
      <w:rPr/>
      <w:drawing>
        <wp:inline distT="0" distB="0" distL="0" distR="0">
          <wp:extent cx="965200" cy="284480"/>
          <wp:effectExtent l="0" t="0" r="0" b="0"/>
          <wp:docPr id="5" name="Image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lang w:val="pl-PL"/>
      </w:rPr>
      <w:tab/>
      <w:tab/>
    </w:r>
    <w:r>
      <w:rPr>
        <w:sz w:val="16"/>
        <w:szCs w:val="16"/>
        <w:lang w:val="pl-PL"/>
      </w:rPr>
      <w:fldChar w:fldCharType="begin"/>
    </w:r>
    <w:r>
      <w:rPr>
        <w:sz w:val="16"/>
        <w:szCs w:val="16"/>
        <w:lang w:val="pl-PL"/>
      </w:rPr>
      <w:instrText xml:space="preserve"> FILENAME </w:instrText>
    </w:r>
    <w:r>
      <w:rPr>
        <w:sz w:val="16"/>
        <w:szCs w:val="16"/>
        <w:lang w:val="pl-PL"/>
      </w:rPr>
      <w:fldChar w:fldCharType="separate"/>
    </w:r>
    <w:r>
      <w:rPr>
        <w:sz w:val="16"/>
        <w:szCs w:val="16"/>
        <w:lang w:val="pl-PL"/>
      </w:rPr>
      <w:t>LATA Final v1.3.doc</w:t>
    </w:r>
    <w:r>
      <w:rPr>
        <w:sz w:val="16"/>
        <w:szCs w:val="16"/>
        <w:lang w:val="pl-PL"/>
      </w:rPr>
      <w:fldChar w:fldCharType="end"/>
    </w:r>
  </w:p>
  <w:p>
    <w:pPr>
      <w:pStyle w:val="HeaderCPN"/>
      <w:tabs>
        <w:tab w:val="clear" w:pos="708"/>
        <w:tab w:val="left" w:pos="0" w:leader="none"/>
        <w:tab w:val="center" w:pos="4140" w:leader="none"/>
        <w:tab w:val="right" w:pos="8280" w:leader="none"/>
      </w:tabs>
      <w:spacing w:before="0" w:after="0"/>
      <w:jc w:val="start"/>
      <w:rPr>
        <w:sz w:val="16"/>
        <w:szCs w:val="16"/>
        <w:lang w:val="pl-PL"/>
      </w:rPr>
    </w:pPr>
    <w:r>
      <w:rPr>
        <w:sz w:val="16"/>
        <w:szCs w:val="16"/>
        <w:lang w:val="pl-PL"/>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CPN"/>
      <w:tabs>
        <w:tab w:val="clear" w:pos="708"/>
        <w:tab w:val="left" w:pos="0" w:leader="none"/>
        <w:tab w:val="center" w:pos="4140" w:leader="none"/>
        <w:tab w:val="right" w:pos="8280" w:leader="none"/>
      </w:tabs>
      <w:spacing w:before="0" w:after="0"/>
      <w:jc w:val="start"/>
      <w:rPr/>
    </w:pPr>
    <w:r>
      <w:rPr/>
      <w:drawing>
        <wp:inline distT="0" distB="0" distL="0" distR="0">
          <wp:extent cx="965200" cy="284480"/>
          <wp:effectExtent l="0" t="0" r="0" b="0"/>
          <wp:docPr id="6"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LATA Final v1.3.doc</w:t>
    </w:r>
    <w:r>
      <w:rPr>
        <w:sz w:val="16"/>
        <w:szCs w:val="16"/>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0" w:hanging="0"/>
      </w:pPr>
      <w:rPr>
        <w:smallCaps w:val="false"/>
        <w:caps w:val="false"/>
        <w:sz w:val="24"/>
        <w:i w:val="false"/>
        <w:u w:val="none"/>
        <w:b/>
        <w:rFonts w:ascii="Times New Roman" w:hAnsi="Times New Roman" w:cs="Times New Roman"/>
        <w:color w:val="000000"/>
      </w:rPr>
    </w:lvl>
    <w:lvl w:ilvl="1">
      <w:start w:val="1"/>
      <w:numFmt w:val="decimal"/>
      <w:lvlText w:val="%1.%2"/>
      <w:lvlJc w:val="start"/>
      <w:pPr>
        <w:tabs>
          <w:tab w:val="num" w:pos="720"/>
        </w:tabs>
        <w:ind w:start="0" w:hanging="0"/>
      </w:pPr>
      <w:rPr>
        <w:smallCaps w:val="false"/>
        <w:caps w:val="false"/>
        <w:sz w:val="24"/>
        <w:i w:val="false"/>
        <w:u w:val="none"/>
        <w:b/>
        <w:rFonts w:ascii="Times New Roman" w:hAnsi="Times New Roman" w:cs="Times New Roman"/>
        <w:color w:val="000000"/>
      </w:rPr>
    </w:lvl>
    <w:lvl w:ilvl="2">
      <w:start w:val="1"/>
      <w:numFmt w:val="decimal"/>
      <w:lvlText w:val="%1.%2.%3"/>
      <w:lvlJc w:val="start"/>
      <w:pPr>
        <w:tabs>
          <w:tab w:val="num" w:pos="720"/>
        </w:tabs>
        <w:ind w:start="0" w:hanging="0"/>
      </w:pPr>
      <w:rPr>
        <w:smallCaps w:val="false"/>
        <w:caps w:val="false"/>
        <w:sz w:val="24"/>
        <w:i w:val="false"/>
        <w:u w:val="none"/>
        <w:b w:val="false"/>
        <w:rFonts w:ascii="Times New Roman" w:hAnsi="Times New Roman" w:eastAsia="Times New Roman" w:cs="Times New Roman"/>
        <w:color w:val="000000"/>
      </w:rPr>
    </w:lvl>
    <w:lvl w:ilvl="3">
      <w:start w:val="1"/>
      <w:numFmt w:val="lowerLetter"/>
      <w:lvlText w:val="(%4)"/>
      <w:lvlJc w:val="start"/>
      <w:pPr>
        <w:tabs>
          <w:tab w:val="num" w:pos="720"/>
        </w:tabs>
        <w:ind w:start="720" w:hanging="720"/>
      </w:pPr>
      <w:rPr>
        <w:smallCaps w:val="false"/>
        <w:caps w:val="false"/>
        <w:sz w:val="24"/>
        <w:i w:val="false"/>
        <w:u w:val="none"/>
        <w:b w:val="false"/>
        <w:rFonts w:ascii="Times New Roman" w:hAnsi="Times New Roman" w:cs="Times New Roman"/>
        <w:color w:val="000000"/>
      </w:rPr>
    </w:lvl>
    <w:lvl w:ilvl="4">
      <w:start w:val="1"/>
      <w:numFmt w:val="lowerRoman"/>
      <w:lvlText w:val="(%5)"/>
      <w:lvlJc w:val="end"/>
      <w:pPr>
        <w:tabs>
          <w:tab w:val="num" w:pos="1440"/>
        </w:tabs>
        <w:ind w:start="1440" w:hanging="216"/>
      </w:pPr>
      <w:rPr>
        <w:smallCaps w:val="false"/>
        <w:caps w:val="false"/>
        <w:sz w:val="24"/>
        <w:i w:val="false"/>
        <w:u w:val="none"/>
        <w:b w:val="false"/>
        <w:rFonts w:ascii="Times New Roman" w:hAnsi="Times New Roman" w:cs="Times New Roman"/>
        <w:color w:val="000000"/>
      </w:rPr>
    </w:lvl>
    <w:lvl w:ilvl="5">
      <w:start w:val="1"/>
      <w:numFmt w:val="upperLetter"/>
      <w:lvlText w:val="(%6)"/>
      <w:lvlJc w:val="start"/>
      <w:pPr>
        <w:tabs>
          <w:tab w:val="num" w:pos="2160"/>
        </w:tabs>
        <w:ind w:start="2160" w:hanging="720"/>
      </w:pPr>
      <w:rPr>
        <w:smallCaps w:val="false"/>
        <w:caps w:val="false"/>
        <w:sz w:val="24"/>
        <w:i w:val="false"/>
        <w:u w:val="none"/>
        <w:b w:val="false"/>
        <w:rFonts w:ascii="Times New Roman" w:hAnsi="Times New Roman" w:cs="Times New Roman"/>
        <w:color w:val="000000"/>
      </w:rPr>
    </w:lvl>
    <w:lvl w:ilvl="6">
      <w:start w:val="1"/>
      <w:numFmt w:val="upperRoman"/>
      <w:lvlText w:val="(%7)"/>
      <w:lvlJc w:val="end"/>
      <w:pPr>
        <w:tabs>
          <w:tab w:val="num" w:pos="2880"/>
        </w:tabs>
        <w:ind w:start="2880" w:hanging="216"/>
      </w:pPr>
      <w:rPr>
        <w:smallCaps w:val="false"/>
        <w:caps w:val="false"/>
        <w:sz w:val="24"/>
        <w:i w:val="false"/>
        <w:u w:val="none"/>
        <w:b w:val="false"/>
        <w:rFonts w:ascii="Times New Roman" w:hAnsi="Times New Roman" w:cs="Times New Roman"/>
        <w:color w:val="000000"/>
      </w:rPr>
    </w:lvl>
    <w:lvl w:ilvl="7">
      <w:start w:val="27"/>
      <w:numFmt w:val="lowerLetter"/>
      <w:lvlText w:val="(%8)"/>
      <w:lvlJc w:val="start"/>
      <w:pPr>
        <w:tabs>
          <w:tab w:val="num" w:pos="3600"/>
        </w:tabs>
        <w:ind w:start="3600" w:hanging="720"/>
      </w:pPr>
      <w:rPr>
        <w:smallCaps w:val="false"/>
        <w:caps w:val="false"/>
        <w:sz w:val="24"/>
        <w:i w:val="false"/>
        <w:u w:val="none"/>
        <w:b w:val="false"/>
        <w:rFonts w:ascii="Times New Roman" w:hAnsi="Times New Roman" w:cs="Times New Roman"/>
        <w:color w:val="000000"/>
      </w:rPr>
    </w:lvl>
    <w:lvl w:ilvl="8">
      <w:start w:val="1"/>
      <w:numFmt w:val="decimal"/>
      <w:lvlText w:val="(%9)"/>
      <w:lvlJc w:val="start"/>
      <w:pPr>
        <w:tabs>
          <w:tab w:val="num" w:pos="4320"/>
        </w:tabs>
        <w:ind w:start="4320" w:hanging="720"/>
      </w:pPr>
      <w:rPr>
        <w:smallCaps w:val="false"/>
        <w:caps w:val="false"/>
        <w:sz w:val="24"/>
        <w:i w:val="false"/>
        <w:u w:val="none"/>
        <w:b w:val="false"/>
        <w:rFonts w:ascii="Times New Roman" w:hAnsi="Times New Roman" w:cs="Times New Roman"/>
        <w:color w:val="000000"/>
      </w:rPr>
    </w:lvl>
  </w:abstractNum>
  <w:abstractNum w:abstractNumId="3">
    <w:lvl w:ilvl="0">
      <w:start w:val="1"/>
      <w:numFmt w:val="decimal"/>
      <w:lvlText w:val="(%1)"/>
      <w:lvlJc w:val="start"/>
      <w:pPr>
        <w:tabs>
          <w:tab w:val="num" w:pos="720"/>
        </w:tabs>
        <w:ind w:start="720" w:hanging="720"/>
      </w:pPr>
      <w:rPr/>
    </w:lvl>
  </w:abstractNum>
  <w:abstractNum w:abstractNumId="4">
    <w:lvl w:ilvl="0">
      <w:start w:val="2"/>
      <w:numFmt w:val="decimal"/>
      <w:lvlText w:val="(%1)"/>
      <w:lvlJc w:val="start"/>
      <w:pPr>
        <w:tabs>
          <w:tab w:val="num" w:pos="708"/>
        </w:tabs>
        <w:ind w:start="720" w:hanging="360"/>
      </w:pPr>
      <w:rPr>
        <w:b/>
      </w:rPr>
    </w:lvl>
  </w:abstractNum>
  <w:abstractNum w:abstractNumId="5">
    <w:lvl w:ilvl="0">
      <w:start w:val="1"/>
      <w:numFmt w:val="upperLetter"/>
      <w:lvlText w:val="(%1)"/>
      <w:lvlJc w:val="start"/>
      <w:pPr>
        <w:tabs>
          <w:tab w:val="num" w:pos="360"/>
        </w:tabs>
        <w:ind w:start="0" w:hanging="0"/>
      </w:pPr>
      <w:rPr/>
    </w:lvl>
  </w:abstractNum>
  <w:num w:numId="1">
    <w:abstractNumId w:val="1"/>
  </w:num>
  <w:num w:numId="2">
    <w:abstractNumId w:val="2"/>
  </w:num>
  <w:num w:numId="3">
    <w:abstractNumId w:val="3"/>
  </w:num>
  <w:num w:numId="4">
    <w:abstractNumId w:val="4"/>
  </w:num>
  <w:num w:numId="5">
    <w:abstractNumId w:val="5"/>
  </w:num>
  <w:num w:numId="6">
    <w:abstractNumId w:val="5"/>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5">
    <w:name w:val="heading 5"/>
    <w:basedOn w:val="BodyText"/>
    <w:next w:val="BodyText"/>
    <w:qFormat/>
    <w:pPr>
      <w:keepNext w:val="true"/>
      <w:keepLines/>
      <w:numPr>
        <w:ilvl w:val="4"/>
        <w:numId w:val="1"/>
      </w:numPr>
      <w:jc w:val="center"/>
      <w:outlineLvl w:val="4"/>
    </w:pPr>
    <w:rPr>
      <w:b/>
      <w:caps/>
    </w:rPr>
  </w:style>
  <w:style w:type="character" w:styleId="WW8Num1z0">
    <w:name w:val="WW8Num1z0"/>
    <w:qFormat/>
    <w:rPr>
      <w:rFonts w:ascii="Times New Roman" w:hAnsi="Times New Roman" w:cs="Times New Roman"/>
      <w:b/>
      <w:i w:val="false"/>
      <w:caps w:val="false"/>
      <w:smallCaps w:val="false"/>
      <w:color w:val="000000"/>
      <w:sz w:val="24"/>
      <w:u w:val="none"/>
    </w:rPr>
  </w:style>
  <w:style w:type="character" w:styleId="WW8Num1z2">
    <w:name w:val="WW8Num1z2"/>
    <w:qFormat/>
    <w:rPr>
      <w:rFonts w:ascii="Times New Roman" w:hAnsi="Times New Roman" w:eastAsia="Times New Roman" w:cs="Times New Roman"/>
      <w:b w:val="false"/>
      <w:i w:val="false"/>
      <w:caps w:val="false"/>
      <w:smallCaps w:val="false"/>
      <w:color w:val="000000"/>
      <w:sz w:val="24"/>
      <w:u w:val="none"/>
    </w:rPr>
  </w:style>
  <w:style w:type="character" w:styleId="WW8Num1z3">
    <w:name w:val="WW8Num1z3"/>
    <w:qFormat/>
    <w:rPr>
      <w:rFonts w:ascii="Times New Roman" w:hAnsi="Times New Roman" w:cs="Times New Roman"/>
      <w:b w:val="false"/>
      <w:i w:val="false"/>
      <w:caps w:val="false"/>
      <w:smallCaps w:val="false"/>
      <w:color w:val="000000"/>
      <w:sz w:val="24"/>
      <w:u w:val="none"/>
    </w:rPr>
  </w:style>
  <w:style w:type="character" w:styleId="WW8Num2z0">
    <w:name w:val="WW8Num2z0"/>
    <w:qFormat/>
    <w:rPr/>
  </w:style>
  <w:style w:type="character" w:styleId="WW8Num3z0">
    <w:name w:val="WW8Num3z0"/>
    <w:qFormat/>
    <w:rPr>
      <w:b/>
    </w:rPr>
  </w:style>
  <w:style w:type="character" w:styleId="WW8Num4z0">
    <w:name w:val="WW8Num4z0"/>
    <w:qFormat/>
    <w:rPr/>
  </w:style>
  <w:style w:type="character" w:styleId="DefaultParagraphFont">
    <w:name w:val="Default Paragraph Font"/>
    <w:qFormat/>
    <w:rPr/>
  </w:style>
  <w:style w:type="character" w:styleId="PageNumber">
    <w:name w:val="page number"/>
    <w:basedOn w:val="DefaultParagraphFont"/>
    <w:rPr>
      <w:rFonts w:ascii="Times New Roman" w:hAnsi="Times New Roman" w:cs="Times New Roman"/>
      <w:sz w:val="16"/>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24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BodyText"/>
    <w:pPr>
      <w:tabs>
        <w:tab w:val="clear" w:pos="708"/>
        <w:tab w:val="right" w:pos="8280" w:leader="none"/>
      </w:tabs>
      <w:spacing w:before="0" w:after="0"/>
    </w:pPr>
    <w:rPr>
      <w:sz w:val="16"/>
    </w:rPr>
  </w:style>
  <w:style w:type="paragraph" w:styleId="Header">
    <w:name w:val="header"/>
    <w:basedOn w:val="BodyText"/>
    <w:pPr>
      <w:tabs>
        <w:tab w:val="clear" w:pos="708"/>
        <w:tab w:val="right" w:pos="8280" w:leader="none"/>
      </w:tabs>
      <w:spacing w:before="0" w:after="0"/>
    </w:pPr>
    <w:rPr>
      <w:sz w:val="16"/>
    </w:rPr>
  </w:style>
  <w:style w:type="paragraph" w:styleId="Sealing">
    <w:name w:val="Sealing"/>
    <w:basedOn w:val="BodyText"/>
    <w:qFormat/>
    <w:pPr>
      <w:keepLines/>
      <w:tabs>
        <w:tab w:val="clear" w:pos="708"/>
        <w:tab w:val="left" w:pos="1728" w:leader="none"/>
        <w:tab w:val="left" w:pos="4320" w:leader="none"/>
      </w:tabs>
      <w:spacing w:before="0" w:after="480"/>
    </w:pPr>
    <w:rPr/>
  </w:style>
  <w:style w:type="paragraph" w:styleId="FWRecital">
    <w:name w:val="FWRecital"/>
    <w:basedOn w:val="BodyText"/>
    <w:qFormat/>
    <w:pPr>
      <w:numPr>
        <w:ilvl w:val="0"/>
        <w:numId w:val="5"/>
      </w:numPr>
      <w:tabs>
        <w:tab w:val="clear" w:pos="708"/>
        <w:tab w:val="left" w:pos="720" w:leader="none"/>
      </w:tabs>
    </w:pPr>
    <w:rPr/>
  </w:style>
  <w:style w:type="paragraph" w:styleId="FWParties">
    <w:name w:val="FWParties"/>
    <w:basedOn w:val="BodyText"/>
    <w:qFormat/>
    <w:pPr>
      <w:numPr>
        <w:ilvl w:val="0"/>
        <w:numId w:val="3"/>
      </w:numPr>
    </w:pPr>
    <w:rPr/>
  </w:style>
  <w:style w:type="paragraph" w:styleId="FWOutCont3">
    <w:name w:val="FWOut Cont 3"/>
    <w:basedOn w:val="Normal"/>
    <w:qFormat/>
    <w:pPr>
      <w:spacing w:before="0" w:after="240"/>
      <w:ind w:firstLine="720" w:start="0" w:end="0"/>
      <w:jc w:val="both"/>
    </w:pPr>
    <w:rPr>
      <w:szCs w:val="20"/>
    </w:rPr>
  </w:style>
  <w:style w:type="paragraph" w:styleId="FWOutL1">
    <w:name w:val="FWOut_L1"/>
    <w:basedOn w:val="Normal"/>
    <w:next w:val="FWOutL2"/>
    <w:qFormat/>
    <w:pPr>
      <w:keepNext w:val="true"/>
      <w:keepLines/>
      <w:numPr>
        <w:ilvl w:val="0"/>
        <w:numId w:val="2"/>
      </w:numPr>
      <w:spacing w:before="0" w:after="240"/>
      <w:jc w:val="center"/>
      <w:outlineLvl w:val="0"/>
    </w:pPr>
    <w:rPr>
      <w:b/>
      <w:caps/>
      <w:szCs w:val="20"/>
    </w:rPr>
  </w:style>
  <w:style w:type="paragraph" w:styleId="FWOutL2">
    <w:name w:val="FWOut_L2"/>
    <w:basedOn w:val="FWOutL1"/>
    <w:qFormat/>
    <w:pPr>
      <w:numPr>
        <w:ilvl w:val="0"/>
        <w:numId w:val="2"/>
      </w:numPr>
      <w:jc w:val="start"/>
      <w:outlineLvl w:val="1"/>
    </w:pPr>
    <w:rPr>
      <w:caps w:val="false"/>
      <w:smallCaps w:val="false"/>
    </w:rPr>
  </w:style>
  <w:style w:type="paragraph" w:styleId="FWOutL3">
    <w:name w:val="FWOut_L3"/>
    <w:basedOn w:val="FWOutL2"/>
    <w:qFormat/>
    <w:pPr>
      <w:keepNext w:val="false"/>
      <w:keepLines w:val="false"/>
      <w:numPr>
        <w:ilvl w:val="0"/>
        <w:numId w:val="2"/>
      </w:numPr>
      <w:jc w:val="both"/>
      <w:outlineLvl w:val="9"/>
    </w:pPr>
    <w:rPr>
      <w:b w:val="false"/>
    </w:rPr>
  </w:style>
  <w:style w:type="paragraph" w:styleId="FWOutL4">
    <w:name w:val="FWOut_L4"/>
    <w:basedOn w:val="FWOutL3"/>
    <w:qFormat/>
    <w:pPr>
      <w:numPr>
        <w:ilvl w:val="0"/>
        <w:numId w:val="2"/>
      </w:numPr>
    </w:pPr>
    <w:rPr/>
  </w:style>
  <w:style w:type="paragraph" w:styleId="FWOutL5">
    <w:name w:val="FWOut_L5"/>
    <w:basedOn w:val="FWOutL4"/>
    <w:qFormat/>
    <w:pPr>
      <w:numPr>
        <w:ilvl w:val="0"/>
        <w:numId w:val="2"/>
      </w:numPr>
    </w:pPr>
    <w:rPr/>
  </w:style>
  <w:style w:type="paragraph" w:styleId="FWOutL6">
    <w:name w:val="FWOut_L6"/>
    <w:basedOn w:val="FWOutL5"/>
    <w:qFormat/>
    <w:pPr>
      <w:numPr>
        <w:ilvl w:val="0"/>
        <w:numId w:val="2"/>
      </w:numPr>
    </w:pPr>
    <w:rPr/>
  </w:style>
  <w:style w:type="paragraph" w:styleId="FWOutL7">
    <w:name w:val="FWOut_L7"/>
    <w:basedOn w:val="FWOutL6"/>
    <w:qFormat/>
    <w:pPr>
      <w:numPr>
        <w:ilvl w:val="0"/>
        <w:numId w:val="2"/>
      </w:numPr>
    </w:pPr>
    <w:rPr/>
  </w:style>
  <w:style w:type="paragraph" w:styleId="FWOutL8">
    <w:name w:val="FWOut_L8"/>
    <w:basedOn w:val="FWOutL7"/>
    <w:qFormat/>
    <w:pPr>
      <w:numPr>
        <w:ilvl w:val="0"/>
        <w:numId w:val="2"/>
      </w:numPr>
    </w:pPr>
    <w:rPr/>
  </w:style>
  <w:style w:type="paragraph" w:styleId="FWOutL9">
    <w:name w:val="FWOut_L9"/>
    <w:basedOn w:val="FWOutL8"/>
    <w:qFormat/>
    <w:pPr>
      <w:numPr>
        <w:ilvl w:val="0"/>
        <w:numId w:val="2"/>
      </w:numPr>
    </w:pPr>
    <w:rPr/>
  </w:style>
  <w:style w:type="paragraph" w:styleId="BalloonText">
    <w:name w:val="Balloon Text"/>
    <w:basedOn w:val="Normal"/>
    <w:qFormat/>
    <w:pPr/>
    <w:rPr>
      <w:rFonts w:ascii="Tahoma" w:hAnsi="Tahoma" w:cs="Tahoma"/>
      <w:sz w:val="16"/>
      <w:szCs w:val="16"/>
    </w:rPr>
  </w:style>
  <w:style w:type="paragraph" w:styleId="HeaderCPN">
    <w:name w:val="HeaderCPN"/>
    <w:basedOn w:val="BodyText"/>
    <w:qFormat/>
    <w:pPr>
      <w:spacing w:before="360" w:after="0"/>
      <w:jc w:val="end"/>
    </w:pPr>
    <w:rPr/>
  </w:style>
  <w:style w:type="paragraph" w:styleId="TOC1">
    <w:name w:val="toc 1"/>
    <w:basedOn w:val="Normal"/>
    <w:next w:val="Normal"/>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2006-12-12T14:21:00Z</dcterms:created>
  <dc:creator>bb</dc:creator>
  <dc:description/>
  <cp:keywords/>
  <dc:language>en-US</dc:language>
  <cp:lastModifiedBy>Stuart Johnson</cp:lastModifiedBy>
  <dcterms:modified xsi:type="dcterms:W3CDTF">2006-12-12T14:23:00Z</dcterms:modified>
  <cp:revision>3</cp:revision>
  <dc:subject/>
  <dc:title>LOCAL ASSET TRANSFER AGREEMENT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1366796347</vt:r8>
  </property>
  <property fmtid="{D5CDD505-2E9C-101B-9397-08002B2CF9AE}" pid="3" name="_AuthorEmail">
    <vt:lpwstr>Yogesh.Dashrath@mail.ing.nl</vt:lpwstr>
  </property>
  <property fmtid="{D5CDD505-2E9C-101B-9397-08002B2CF9AE}" pid="4" name="_AuthorEmailDisplayName">
    <vt:lpwstr>Dashrath, Y.Y. (Yogesh)</vt:lpwstr>
  </property>
  <property fmtid="{D5CDD505-2E9C-101B-9397-08002B2CF9AE}" pid="5" name="_EmailSubject">
    <vt:lpwstr>MATA, LATA &amp; ETA</vt:lpwstr>
  </property>
  <property fmtid="{D5CDD505-2E9C-101B-9397-08002B2CF9AE}" pid="6" name="_ReviewingToolsShownOnce">
    <vt:lpwstr/>
  </property>
</Properties>
</file>