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rPr>
      </w:pPr>
      <w:r>
        <w:rPr>
          <w:b/>
          <w:bCs/>
        </w:rPr>
      </w:r>
    </w:p>
    <w:p>
      <w:pPr>
        <w:pStyle w:val="Heading"/>
        <w:rPr>
          <w:b w:val="false"/>
          <w:bCs w:val="false"/>
          <w:lang w:val="en-GB"/>
        </w:rPr>
      </w:pPr>
      <w:r>
        <w:rPr>
          <w:b w:val="false"/>
          <w:bCs w:val="false"/>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Local Services Agreement (LSA)</w:t>
      </w:r>
    </w:p>
    <w:p>
      <w:pPr>
        <w:pStyle w:val="Heading"/>
        <w:rPr>
          <w:lang w:val="en-GB"/>
        </w:rPr>
      </w:pPr>
      <w:r>
        <w:rPr>
          <w:lang w:val="en-GB"/>
        </w:rPr>
      </w:r>
    </w:p>
    <w:p>
      <w:pPr>
        <w:pStyle w:val="Heading"/>
        <w:rPr>
          <w:lang w:val="en-GB"/>
        </w:rPr>
      </w:pPr>
      <w:r>
        <w:rPr>
          <w:lang w:val="en-GB"/>
        </w:rPr>
        <w:t>Belgium - Vendor Beta</w:t>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sectPr>
          <w:headerReference w:type="default" r:id="rId2"/>
          <w:headerReference w:type="first" r:id="rId3"/>
          <w:footerReference w:type="default" r:id="rId4"/>
          <w:footerReference w:type="first" r:id="rId5"/>
          <w:type w:val="nextPage"/>
          <w:pgSz w:w="11906" w:h="16838"/>
          <w:pgMar w:left="1797" w:right="1797" w:gutter="0" w:header="720" w:top="1440" w:footer="720" w:bottom="1797"/>
          <w:pgNumType w:start="1" w:fmt="decimal"/>
          <w:formProt w:val="false"/>
          <w:titlePg/>
          <w:textDirection w:val="lrTb"/>
          <w:docGrid w:type="default" w:linePitch="360" w:charSpace="0"/>
        </w:sectPr>
        <w:pStyle w:val="Heading"/>
        <w:rPr>
          <w:lang w:val="en-GB"/>
        </w:rPr>
      </w:pPr>
      <w:r>
        <w:rPr>
          <w:lang w:val="en-GB"/>
        </w:rPr>
      </w:r>
    </w:p>
    <w:p>
      <w:pPr>
        <w:pStyle w:val="BodyText"/>
        <w:rPr>
          <w:b/>
          <w:bCs/>
          <w:lang w:val="en-GB"/>
        </w:rPr>
      </w:pPr>
      <w:r>
        <w:rPr>
          <w:b/>
          <w:bCs/>
          <w:lang w:val="en-GB"/>
        </w:rPr>
      </w:r>
    </w:p>
    <w:p>
      <w:pPr>
        <w:pStyle w:val="Heading"/>
        <w:rPr/>
      </w:pPr>
      <w:r>
        <w:rPr/>
        <w:t>Table of Contents</w:t>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caps/>
              <w:sz w:val="18"/>
              <w:szCs w:val="18"/>
              <w:lang w:val="en-US" w:eastAsia="en-US"/>
            </w:rPr>
            <w:instrText xml:space="preserve"> TOC \t "Heading 5,1,FWOut_L1,1,FWOut_L2,2" </w:instrText>
          </w:r>
          <w:r>
            <w:rPr>
              <w:caps/>
              <w:sz w:val="18"/>
              <w:szCs w:val="18"/>
              <w:lang w:val="en-US" w:eastAsia="en-US"/>
            </w:rPr>
            <w:fldChar w:fldCharType="separate"/>
          </w:r>
          <w:r>
            <w:rPr>
              <w:caps/>
              <w:sz w:val="18"/>
              <w:szCs w:val="18"/>
              <w:lang w:val="en-US" w:eastAsia="en-US"/>
            </w:rPr>
            <w:t>RECITALS</w:t>
            <w:tab/>
          </w:r>
          <w:hyperlink w:anchor="__RefHeading___Toc153354944">
            <w:r>
              <w:rPr>
                <w:rStyle w:val="IndexLink"/>
                <w:caps/>
                <w:sz w:val="18"/>
                <w:szCs w:val="18"/>
                <w:lang w:val="en-US" w:eastAsia="en-US"/>
              </w:rPr>
              <w:t>1</w:t>
            </w:r>
          </w:hyperlink>
        </w:p>
        <w:p>
          <w:pPr>
            <w:pStyle w:val="TOC1"/>
            <w:rPr>
              <w:caps w:val="false"/>
              <w:smallCaps w:val="false"/>
              <w:sz w:val="18"/>
              <w:szCs w:val="18"/>
              <w:lang w:val="en-US" w:eastAsia="en-US"/>
            </w:rPr>
          </w:pPr>
          <w:r>
            <w:rPr>
              <w:caps w:val="false"/>
              <w:smallCaps w:val="false"/>
              <w:sz w:val="18"/>
              <w:szCs w:val="18"/>
              <w:lang w:val="en-US" w:eastAsia="en-US"/>
            </w:rPr>
            <w:t>1.</w:t>
          </w:r>
          <w:r>
            <w:rPr>
              <w:caps w:val="false"/>
              <w:smallCaps w:val="false"/>
              <w:sz w:val="18"/>
              <w:szCs w:val="18"/>
              <w:lang w:val="en-US" w:eastAsia="en-US"/>
            </w:rPr>
            <w:tab/>
          </w:r>
          <w:r>
            <w:rPr>
              <w:sz w:val="18"/>
              <w:szCs w:val="18"/>
              <w:lang w:val="en-US" w:eastAsia="en-US"/>
            </w:rPr>
            <w:t>Incorporation of MSA</w:t>
            <w:tab/>
          </w:r>
          <w:hyperlink w:anchor="__RefHeading___Toc153354945">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2.</w:t>
          </w:r>
          <w:r>
            <w:rPr>
              <w:caps w:val="false"/>
              <w:smallCaps w:val="false"/>
              <w:sz w:val="18"/>
              <w:szCs w:val="18"/>
              <w:lang w:val="en-US" w:eastAsia="en-US"/>
            </w:rPr>
            <w:tab/>
          </w:r>
          <w:r>
            <w:rPr>
              <w:sz w:val="18"/>
              <w:szCs w:val="18"/>
              <w:lang w:val="en-US" w:eastAsia="en-US"/>
            </w:rPr>
            <w:t>LSA</w:t>
            <w:tab/>
          </w:r>
          <w:hyperlink w:anchor="__RefHeading___Toc153354946">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3.</w:t>
          </w:r>
          <w:r>
            <w:rPr>
              <w:caps w:val="false"/>
              <w:smallCaps w:val="false"/>
              <w:sz w:val="18"/>
              <w:szCs w:val="18"/>
              <w:lang w:val="en-US" w:eastAsia="en-US"/>
            </w:rPr>
            <w:tab/>
          </w:r>
          <w:r>
            <w:rPr>
              <w:sz w:val="18"/>
              <w:szCs w:val="18"/>
              <w:lang w:val="en-US" w:eastAsia="en-US"/>
            </w:rPr>
            <w:t>Services</w:t>
            <w:tab/>
          </w:r>
          <w:hyperlink w:anchor="__RefHeading___Toc153354947">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4.</w:t>
          </w:r>
          <w:r>
            <w:rPr>
              <w:caps w:val="false"/>
              <w:smallCaps w:val="false"/>
              <w:sz w:val="18"/>
              <w:szCs w:val="18"/>
              <w:lang w:val="en-US" w:eastAsia="en-US"/>
            </w:rPr>
            <w:tab/>
          </w:r>
          <w:r>
            <w:rPr>
              <w:sz w:val="18"/>
              <w:szCs w:val="18"/>
              <w:lang w:val="en-US" w:eastAsia="en-US"/>
            </w:rPr>
            <w:t>Notices</w:t>
            <w:tab/>
          </w:r>
          <w:hyperlink w:anchor="__RefHeading___Toc153354951">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5.</w:t>
          </w:r>
          <w:r>
            <w:rPr>
              <w:caps w:val="false"/>
              <w:smallCaps w:val="false"/>
              <w:sz w:val="18"/>
              <w:szCs w:val="18"/>
              <w:lang w:val="en-US" w:eastAsia="en-US"/>
            </w:rPr>
            <w:tab/>
          </w:r>
          <w:r>
            <w:rPr>
              <w:sz w:val="18"/>
              <w:szCs w:val="18"/>
              <w:lang w:val="en-US" w:eastAsia="en-US"/>
            </w:rPr>
            <w:t>Governing Law and jurisdiction</w:t>
            <w:tab/>
          </w:r>
          <w:hyperlink w:anchor="__RefHeading___Toc153354952">
            <w:r>
              <w:rPr>
                <w:rStyle w:val="IndexLink"/>
                <w:sz w:val="18"/>
                <w:szCs w:val="18"/>
                <w:lang w:val="en-US" w:eastAsia="en-US"/>
              </w:rPr>
              <w:t>3</w:t>
            </w:r>
          </w:hyperlink>
        </w:p>
        <w:p>
          <w:pPr>
            <w:pStyle w:val="TOC1"/>
            <w:rPr>
              <w:sz w:val="18"/>
              <w:szCs w:val="18"/>
              <w:lang w:val="en-US" w:eastAsia="en-US"/>
            </w:rPr>
          </w:pPr>
          <w:r>
            <w:rPr>
              <w:caps w:val="false"/>
              <w:smallCaps w:val="false"/>
              <w:sz w:val="18"/>
              <w:szCs w:val="18"/>
              <w:lang w:val="en-US" w:eastAsia="en-US"/>
            </w:rPr>
            <w:t>6.</w:t>
          </w:r>
          <w:r>
            <w:rPr>
              <w:caps w:val="false"/>
              <w:smallCaps w:val="false"/>
              <w:sz w:val="18"/>
              <w:szCs w:val="18"/>
              <w:lang w:val="en-US" w:eastAsia="en-US"/>
            </w:rPr>
            <w:tab/>
          </w:r>
          <w:r>
            <w:rPr>
              <w:caps w:val="false"/>
              <w:smallCaps w:val="false"/>
              <w:sz w:val="18"/>
              <w:szCs w:val="18"/>
              <w:lang w:val="en-US" w:eastAsia="en-US"/>
            </w:rPr>
            <w:t>Counterparts</w:t>
            <w:tab/>
          </w:r>
          <w:hyperlink w:anchor="__RefHeading___Toc153354953">
            <w:r>
              <w:rPr>
                <w:rStyle w:val="IndexLink"/>
                <w:caps w:val="false"/>
                <w:smallCaps w:val="false"/>
                <w:sz w:val="18"/>
                <w:szCs w:val="18"/>
                <w:lang w:val="en-US" w:eastAsia="en-US"/>
              </w:rPr>
              <w:t>3</w:t>
            </w:r>
          </w:hyperlink>
          <w:r>
            <w:rPr>
              <w:rStyle w:val="IndexLink"/>
              <w:smallCaps w:val="false"/>
              <w:caps w:val="false"/>
              <w:sz w:val="18"/>
              <w:szCs w:val="18"/>
              <w:lang w:val="en-US" w:eastAsia="en-US"/>
            </w:rPr>
            <w:fldChar w:fldCharType="end"/>
          </w:r>
        </w:p>
      </w:sdtContent>
    </w:sdt>
    <w:p>
      <w:pPr>
        <w:pStyle w:val="BodyText"/>
        <w:rPr>
          <w:b/>
          <w:bCs/>
          <w:caps/>
          <w:sz w:val="18"/>
          <w:szCs w:val="18"/>
          <w:lang w:val="en-US" w:eastAsia="en-US"/>
        </w:rPr>
      </w:pPr>
      <w:r>
        <w:rPr>
          <w:b/>
          <w:bCs/>
          <w:caps/>
          <w:sz w:val="18"/>
          <w:szCs w:val="18"/>
          <w:lang w:val="en-US" w:eastAsia="en-US"/>
        </w:rPr>
      </w:r>
    </w:p>
    <w:p>
      <w:pPr>
        <w:sectPr>
          <w:headerReference w:type="default" r:id="rId6"/>
          <w:headerReference w:type="first" r:id="rId7"/>
          <w:footerReference w:type="default" r:id="rId8"/>
          <w:footerReference w:type="first" r:id="rId9"/>
          <w:type w:val="nextPage"/>
          <w:pgSz w:w="11906" w:h="16838"/>
          <w:pgMar w:left="1797" w:right="1797" w:gutter="0" w:header="720" w:top="1440" w:footer="720" w:bottom="1797"/>
          <w:pgNumType w:start="1" w:fmt="lowerRoman"/>
          <w:formProt w:val="false"/>
          <w:titlePg/>
          <w:textDirection w:val="lrTb"/>
          <w:docGrid w:type="default" w:linePitch="360" w:charSpace="0"/>
        </w:sectPr>
        <w:pStyle w:val="BodyText"/>
        <w:rPr>
          <w:b/>
          <w:bCs/>
          <w:sz w:val="18"/>
          <w:szCs w:val="18"/>
        </w:rPr>
      </w:pPr>
      <w:r>
        <w:rPr>
          <w:b/>
          <w:bCs/>
          <w:sz w:val="18"/>
          <w:szCs w:val="18"/>
        </w:rPr>
      </w:r>
    </w:p>
    <w:p>
      <w:pPr>
        <w:pStyle w:val="BodyText"/>
        <w:jc w:val="start"/>
        <w:rPr>
          <w:b/>
          <w:bCs/>
        </w:rPr>
      </w:pPr>
      <w:r>
        <w:rPr>
          <w:b/>
          <w:bCs/>
        </w:rPr>
      </w:r>
    </w:p>
    <w:p>
      <w:pPr>
        <w:pStyle w:val="BodyText"/>
        <w:jc w:val="center"/>
        <w:rPr>
          <w:b/>
          <w:bCs/>
        </w:rPr>
      </w:pPr>
      <w:r>
        <w:rPr>
          <w:b/>
          <w:bCs/>
        </w:rPr>
        <w:t>LOCAL SERVICES AGREEMENT</w:t>
      </w:r>
    </w:p>
    <w:p>
      <w:pPr>
        <w:pStyle w:val="BodyText"/>
        <w:jc w:val="center"/>
        <w:rPr/>
      </w:pPr>
      <w:r>
        <w:rPr/>
        <w:t>made on _____ _____ _____ 2006</w:t>
      </w:r>
    </w:p>
    <w:p>
      <w:pPr>
        <w:pStyle w:val="Heading4"/>
        <w:ind w:hanging="0" w:start="0"/>
        <w:jc w:val="center"/>
        <w:rPr/>
      </w:pPr>
      <w:r>
        <w:rPr/>
        <w:t>BETWEEN</w:t>
      </w:r>
    </w:p>
    <w:p>
      <w:pPr>
        <w:pStyle w:val="FWParties"/>
        <w:numPr>
          <w:ilvl w:val="0"/>
          <w:numId w:val="7"/>
        </w:numPr>
        <w:ind w:hanging="0" w:start="0"/>
        <w:rPr/>
      </w:pPr>
      <w:r>
        <w:rPr>
          <w:b/>
        </w:rPr>
        <w:t>EuroBank België NV, a company incorporated under the laws of Belgium under company number RPR 0403.263.642 whose registered office is at Marnixlaan 24, Brussels, Belgium (the Local EuroBank Affiliate); and</w:t>
      </w:r>
      <w:r>
        <w:rPr/>
      </w:r>
      <w:r>
        <w:rPr>
          <w:b/>
          <w:bCs/>
          <w:i/>
          <w:iCs/>
        </w:rPr>
      </w:r>
      <w:r>
        <w:rPr/>
      </w:r>
    </w:p>
    <w:p>
      <w:pPr>
        <w:pStyle w:val="FWParties"/>
        <w:numPr>
          <w:ilvl w:val="0"/>
          <w:numId w:val="7"/>
        </w:numPr>
        <w:ind w:hanging="0" w:start="0"/>
        <w:rPr/>
      </w:pPr>
      <w:r>
        <w:rPr>
          <w:b/>
        </w:rPr>
        <w:t>Vendor Beta NV/SA, a company incorporated under the laws of Belgium under company number 0438.675.669 whose registered office is at  Koningsstraat 145 Rue Royale, 1000 Brussels (the Local PST Supplier).</w:t>
      </w:r>
      <w:r>
        <w:rPr/>
      </w:r>
      <w:r>
        <w:rPr>
          <w:b/>
          <w:bCs/>
          <w:i/>
          <w:iCs/>
        </w:rPr>
      </w:r>
      <w:r>
        <w:rPr/>
      </w:r>
    </w:p>
    <w:p>
      <w:pPr>
        <w:pStyle w:val="FWParties"/>
        <w:numPr>
          <w:ilvl w:val="0"/>
          <w:numId w:val="0"/>
        </w:numPr>
        <w:ind w:hanging="0" w:start="0"/>
        <w:rPr/>
      </w:pPr>
      <w:r>
        <w:rPr/>
        <w:t>The Local EuroBank Affiliate and the Local PST Supplier hereinafter referred to as: the Local Parties.</w:t>
      </w:r>
      <w:r>
        <w:rPr>
          <w:b/>
          <w:bCs/>
          <w:i/>
          <w:iCs/>
        </w:rPr>
      </w:r>
      <w:r>
        <w:rPr/>
      </w:r>
    </w:p>
    <w:p>
      <w:pPr>
        <w:pStyle w:val="Heading5"/>
        <w:ind w:hanging="0" w:start="0"/>
        <w:rPr/>
      </w:pPr>
      <w:bookmarkStart w:id="0" w:name="__RefHeading___Toc153354944"/>
      <w:bookmarkEnd w:id="0"/>
      <w:r>
        <w:rPr/>
        <w:t>RECITALS</w:t>
      </w:r>
    </w:p>
    <w:p>
      <w:pPr>
        <w:pStyle w:val="FWRecital"/>
        <w:numPr>
          <w:ilvl w:val="0"/>
          <w:numId w:val="11"/>
        </w:numPr>
        <w:ind w:hanging="0" w:start="0"/>
        <w:rPr/>
      </w:pPr>
      <w:r>
        <w:rPr/>
        <w:t>Following a strategic review of the EuroBank Group’s workplace IT infrastructure function, EuroBank and the PST Supplier have agreed to enter into an outsourcing arrangement whereby EuroBank Group will outsource its workplace services function as member of the integrated PST.</w:t>
      </w:r>
    </w:p>
    <w:p>
      <w:pPr>
        <w:pStyle w:val="FWRecital"/>
        <w:numPr>
          <w:ilvl w:val="0"/>
          <w:numId w:val="11"/>
        </w:numPr>
        <w:ind w:hanging="0" w:start="0"/>
        <w:rPr/>
      </w:pPr>
      <w:r>
        <w:rPr/>
        <w:t>The PST Supplier and the EuroBank Group have entered into an MSA on the [date hereof], which agreement sets out the general terms and conditions for the performance of the Services to the EuroBank Group members.</w:t>
      </w:r>
      <w:r>
        <w:rPr>
          <w:highlight w:val="yellow"/>
        </w:rPr>
      </w:r>
      <w:r>
        <w:rPr/>
      </w:r>
    </w:p>
    <w:p>
      <w:pPr>
        <w:pStyle w:val="FWRecital"/>
        <w:numPr>
          <w:ilvl w:val="0"/>
          <w:numId w:val="11"/>
        </w:numPr>
        <w:ind w:hanging="0" w:start="0"/>
        <w:rPr/>
      </w:pPr>
      <w:r>
        <w:rPr>
          <w:b/>
          <w:bCs/>
          <w:i/>
          <w:iCs/>
        </w:rPr>
        <w:t xml:space="preserve">[In the case of TelCo:] Simultaneously with entering into the MSA, the PST Supplier and EuroBank have entered into the MATA and the Local PST Supplier and the Local EuroBank Affiliate have entered into a LATA on the same date as the MSA, which sets out the terms on which the EuroBank shall transfer [assets and contracts].] </w:t>
      </w:r>
      <w:r>
        <w:rPr/>
      </w:r>
    </w:p>
    <w:p>
      <w:pPr>
        <w:pStyle w:val="FWRecital"/>
        <w:numPr>
          <w:ilvl w:val="0"/>
          <w:numId w:val="11"/>
        </w:numPr>
        <w:ind w:hanging="0" w:start="0"/>
        <w:rPr/>
      </w:pPr>
      <w:r>
        <w:rPr/>
        <w:t>The PST Supplier, EuroBank and certain EuroBank Affiliates have entered into the ETA on the same date as the MSA, which sets out the terms on which the EuroBank Group shall transfer the Affected Employees to the PST Supplier.</w:t>
      </w:r>
      <w:r>
        <w:rPr>
          <w:bCs/>
        </w:rPr>
      </w:r>
      <w:r>
        <w:rPr/>
      </w:r>
    </w:p>
    <w:p>
      <w:pPr>
        <w:pStyle w:val="FWRecital"/>
        <w:numPr>
          <w:ilvl w:val="0"/>
          <w:numId w:val="11"/>
        </w:numPr>
        <w:ind w:hanging="0" w:start="0"/>
        <w:rPr/>
      </w:pPr>
      <w:r>
        <w:rPr/>
        <w:t>Pursuant to the MSA, the provision by the PST Supplier of the Services to the EuroBank Group members in the In-Scope Countries will be arranged by one or more of the local Affiliates of the EuroBank Group entering into a LSA with a local Affiliate of the PST Supplier as regards the Services that are to be supplied by such local Affiliate of the PST Supplier to the local Affiliates of the EuroBank Group members;</w:t>
      </w:r>
    </w:p>
    <w:p>
      <w:pPr>
        <w:pStyle w:val="FWRecital"/>
        <w:numPr>
          <w:ilvl w:val="0"/>
          <w:numId w:val="11"/>
        </w:numPr>
        <w:ind w:hanging="0" w:start="0"/>
        <w:rPr/>
      </w:pPr>
      <w:r>
        <w:rPr/>
        <w:t>Those of the Services which are to be provided in Belgium by the PST Supplier to the EuroBank Group members shall be regulated by this LSA.</w:t>
      </w:r>
    </w:p>
    <w:p>
      <w:pPr>
        <w:pStyle w:val="FWRecital"/>
        <w:numPr>
          <w:ilvl w:val="0"/>
          <w:numId w:val="11"/>
        </w:numPr>
        <w:ind w:hanging="0" w:start="0"/>
        <w:rPr/>
      </w:pPr>
      <w:r>
        <w:rPr/>
        <w:t>In order to effectuate the provisions of the MSA, the Local EuroBank Affiliate and the Local PST Supplier have, in accordance with article 1.3 of the MSA, negotiated and agreed to the following terms and conditions for the provisions of the Services by the Local PST Supplier to the Local EuroBank Affiliates.</w:t>
      </w:r>
    </w:p>
    <w:p>
      <w:pPr>
        <w:pStyle w:val="BodyText"/>
        <w:rPr/>
      </w:pPr>
      <w:r>
        <w:rPr>
          <w:b/>
          <w:bCs/>
        </w:rPr>
        <w:t xml:space="preserve">THE LOCAL PARTIES AGREE </w:t>
      </w:r>
      <w:r>
        <w:rPr/>
        <w:t>as follows:</w:t>
      </w:r>
    </w:p>
    <w:p>
      <w:pPr>
        <w:pStyle w:val="FWOutL1"/>
        <w:numPr>
          <w:ilvl w:val="0"/>
          <w:numId w:val="8"/>
        </w:numPr>
        <w:ind w:hanging="0" w:start="0"/>
        <w:rPr/>
      </w:pPr>
      <w:bookmarkStart w:id="1" w:name="__RefHeading___Toc153354945"/>
      <w:bookmarkEnd w:id="1"/>
      <w:r>
        <w:rPr/>
        <w:t>Incorporation of MSA</w:t>
      </w:r>
    </w:p>
    <w:p>
      <w:pPr>
        <w:pStyle w:val="FWOutL3"/>
        <w:numPr>
          <w:ilvl w:val="2"/>
          <w:numId w:val="8"/>
        </w:numPr>
        <w:ind w:hanging="0" w:start="0"/>
        <w:rPr/>
      </w:pPr>
      <w:r>
        <w:rPr/>
        <w:t>Except as expressly stated herein or in the MSA all terms and conditions of the MSA (including its Exhibits, Attachments and Appendices) are incorporated herein by reference, and the Local EuroBank Affiliate and the Local PST Supplier hereby confirm that they are bound by, and shall observe and comply with, such provisions.</w:t>
      </w:r>
    </w:p>
    <w:p>
      <w:pPr>
        <w:pStyle w:val="FWOutL3"/>
        <w:numPr>
          <w:ilvl w:val="2"/>
          <w:numId w:val="8"/>
        </w:numPr>
        <w:ind w:hanging="0" w:start="0"/>
        <w:rPr/>
      </w:pPr>
      <w:r>
        <w:rPr/>
        <w:t>Unless explicitly described otherwise herein, all references to EuroBank in the MSA shall be deemed to be a reference to the Local EuroBank Affiliate for the purpose of this agreement, and all references to Supplier in the MSA shall be deemed to be a reference to the Local PST Supplier for the purpose of this agreement.</w:t>
      </w:r>
    </w:p>
    <w:p>
      <w:pPr>
        <w:pStyle w:val="FWOutL1"/>
        <w:numPr>
          <w:ilvl w:val="0"/>
          <w:numId w:val="8"/>
        </w:numPr>
        <w:ind w:hanging="0" w:start="0"/>
        <w:rPr/>
      </w:pPr>
      <w:bookmarkStart w:id="2" w:name="__RefHeading___Toc153354946"/>
      <w:bookmarkEnd w:id="2"/>
      <w:r>
        <w:rPr/>
        <w:t>LSA</w:t>
      </w:r>
    </w:p>
    <w:p>
      <w:pPr>
        <w:pStyle w:val="FWOutL3"/>
        <w:numPr>
          <w:ilvl w:val="2"/>
          <w:numId w:val="8"/>
        </w:numPr>
        <w:ind w:hanging="0" w:start="0"/>
        <w:rPr/>
      </w:pPr>
      <w:r>
        <w:rPr/>
        <w:t xml:space="preserve">This agreement constitutes an LSA between the local Affiliates of the Parties in </w:t>
      </w:r>
      <w:bookmarkStart w:id="3" w:name="_Ref115147551"/>
      <w:r>
        <w:rPr/>
        <w:t>Belgium as referred to in clause 1.3.1 of the MSA.</w:t>
      </w:r>
    </w:p>
    <w:p>
      <w:pPr>
        <w:pStyle w:val="FWOutL1"/>
        <w:numPr>
          <w:ilvl w:val="0"/>
          <w:numId w:val="8"/>
        </w:numPr>
        <w:ind w:hanging="0" w:start="0"/>
        <w:rPr/>
      </w:pPr>
      <w:bookmarkStart w:id="4" w:name="__RefHeading___Toc153354947"/>
      <w:bookmarkEnd w:id="4"/>
      <w:r>
        <w:rPr/>
        <w:t>Services</w:t>
      </w:r>
    </w:p>
    <w:p>
      <w:pPr>
        <w:pStyle w:val="FWOutL3"/>
        <w:numPr>
          <w:ilvl w:val="2"/>
          <w:numId w:val="8"/>
        </w:numPr>
        <w:ind w:hanging="0" w:start="0"/>
        <w:rPr/>
      </w:pPr>
      <w:r>
        <w:rPr/>
        <w:t xml:space="preserve">The Services covered by the MSA are described in clause 4.2 and Exhibit 2 of the MSA. </w:t>
      </w:r>
    </w:p>
    <w:p>
      <w:pPr>
        <w:pStyle w:val="FWOutL3"/>
        <w:numPr>
          <w:ilvl w:val="2"/>
          <w:numId w:val="8"/>
        </w:numPr>
        <w:ind w:hanging="0" w:start="0"/>
        <w:rPr/>
      </w:pPr>
      <w:r>
        <w:rPr/>
        <w:t>The Services shall be supplied on the terms and conditions set forth in the MSA.</w:t>
      </w:r>
    </w:p>
    <w:p>
      <w:pPr>
        <w:pStyle w:val="FWOutL1"/>
        <w:numPr>
          <w:ilvl w:val="0"/>
          <w:numId w:val="8"/>
        </w:numPr>
        <w:ind w:hanging="0" w:start="0"/>
        <w:rPr/>
      </w:pPr>
      <w:bookmarkStart w:id="5" w:name="__RefHeading___Toc153354951"/>
      <w:bookmarkEnd w:id="5"/>
      <w:r>
        <w:rPr/>
        <w:t>Notices</w:t>
      </w:r>
    </w:p>
    <w:p>
      <w:pPr>
        <w:pStyle w:val="FWOutL3"/>
        <w:numPr>
          <w:ilvl w:val="2"/>
          <w:numId w:val="8"/>
        </w:numPr>
        <w:ind w:hanging="0" w:start="0"/>
        <w:rPr/>
      </w:pPr>
      <w:bookmarkStart w:id="6" w:name="_Ref110877593"/>
      <w:bookmarkEnd w:id="3"/>
      <w:r>
        <w:rPr/>
        <w:t>The addresses and fax numbers of the Local Parties for the purpose of clause 19.11.2 of the MSA are as follows:</w:t>
      </w:r>
      <w:bookmarkEnd w:id="6"/>
    </w:p>
    <w:p>
      <w:pPr>
        <w:pStyle w:val="BodyText"/>
        <w:rPr/>
      </w:pPr>
      <w:r>
        <w:rPr/>
        <w:t>The Local PST Supplier</w:t>
        <w:tab/>
        <w:tab/>
        <w:t>Vendor Beta NV/SA</w:t>
      </w:r>
    </w:p>
    <w:p>
      <w:pPr>
        <w:pStyle w:val="BodyText"/>
        <w:rPr/>
      </w:pPr>
      <w:r>
        <w:rPr/>
        <w:t>Address:</w:t>
        <w:tab/>
        <w:tab/>
        <w:tab/>
        <w:t>Koningsstraat 145 Rue Royale, 1000 Brussels, Belgium</w:t>
      </w:r>
    </w:p>
    <w:p>
      <w:pPr>
        <w:pStyle w:val="BodyText"/>
        <w:rPr/>
      </w:pPr>
      <w:r>
        <w:rPr/>
        <w:t>Fax:</w:t>
        <w:tab/>
        <w:tab/>
        <w:tab/>
        <w:tab/>
      </w:r>
      <w:r>
        <w:rPr>
          <w:szCs w:val="20"/>
        </w:rPr>
        <w:t>+32 2 226 72 33</w:t>
      </w:r>
    </w:p>
    <w:p>
      <w:pPr>
        <w:pStyle w:val="BodyText"/>
        <w:rPr/>
      </w:pPr>
      <w:r>
        <w:rPr/>
        <w:t>For the attention of:</w:t>
        <w:tab/>
        <w:tab/>
        <w:t>Edwin Van der Ouderaa</w:t>
      </w:r>
    </w:p>
    <w:p>
      <w:pPr>
        <w:pStyle w:val="BodyText"/>
        <w:rPr/>
      </w:pPr>
      <w:r>
        <w:rPr/>
      </w:r>
    </w:p>
    <w:p>
      <w:pPr>
        <w:pStyle w:val="BodyText"/>
        <w:rPr/>
      </w:pPr>
      <w:r>
        <w:rPr/>
        <w:t>With a copy to:</w:t>
        <w:tab/>
        <w:tab/>
        <w:tab/>
        <w:t>Vendor Beta BV</w:t>
      </w:r>
    </w:p>
    <w:p>
      <w:pPr>
        <w:pStyle w:val="BodyText"/>
        <w:rPr/>
      </w:pPr>
      <w:r>
        <w:rPr/>
        <w:t>The Supplier</w:t>
      </w:r>
    </w:p>
    <w:p>
      <w:pPr>
        <w:pStyle w:val="BodyText"/>
        <w:rPr/>
      </w:pPr>
      <w:r>
        <w:rPr/>
        <w:t>Address:</w:t>
        <w:tab/>
        <w:tab/>
        <w:tab/>
        <w:t>Apollolaan 150, 1077 BG Amsterdam, The Netherlands</w:t>
      </w:r>
    </w:p>
    <w:p>
      <w:pPr>
        <w:pStyle w:val="BodyText"/>
        <w:rPr/>
      </w:pPr>
      <w:r>
        <w:rPr/>
        <w:t>Fax:</w:t>
        <w:tab/>
        <w:tab/>
        <w:tab/>
        <w:tab/>
        <w:t>+31 (0)20 493 8080</w:t>
      </w:r>
    </w:p>
    <w:p>
      <w:pPr>
        <w:pStyle w:val="BodyText"/>
        <w:rPr/>
      </w:pPr>
      <w:r>
        <w:rPr/>
        <w:t>For the attention of:</w:t>
        <w:tab/>
        <w:tab/>
        <w:t>Edwin Van der Ouderaa</w:t>
      </w:r>
    </w:p>
    <w:p>
      <w:pPr>
        <w:pStyle w:val="BodyText"/>
        <w:rPr/>
      </w:pPr>
      <w:r>
        <w:rPr/>
      </w:r>
    </w:p>
    <w:p>
      <w:pPr>
        <w:pStyle w:val="BodyText"/>
        <w:rPr/>
      </w:pPr>
      <w:r>
        <w:rPr/>
        <w:t>Local EuroBank Affiliate</w:t>
        <w:tab/>
        <w:tab/>
        <w:t>EuroBank Belgium NV</w:t>
      </w:r>
    </w:p>
    <w:p>
      <w:pPr>
        <w:pStyle w:val="BodyText"/>
        <w:rPr/>
      </w:pPr>
      <w:r>
        <w:rPr/>
        <w:t>Address:</w:t>
        <w:tab/>
        <w:tab/>
        <w:tab/>
        <w:t>Marnixlaan 24, Brussels, Belgium</w:t>
      </w:r>
    </w:p>
    <w:p>
      <w:pPr>
        <w:pStyle w:val="BodyText"/>
        <w:rPr/>
      </w:pPr>
      <w:r>
        <w:rPr/>
        <w:t>Fax:</w:t>
        <w:tab/>
        <w:tab/>
        <w:tab/>
        <w:tab/>
        <w:t>+32 2 547 2676</w:t>
      </w:r>
    </w:p>
    <w:p>
      <w:pPr>
        <w:pStyle w:val="BodyText"/>
        <w:rPr/>
      </w:pPr>
      <w:r>
        <w:rPr/>
        <w:t>For the attention of:</w:t>
        <w:tab/>
        <w:tab/>
        <w:t>Mr. J. Cattaruzza</w:t>
      </w:r>
    </w:p>
    <w:p>
      <w:pPr>
        <w:pStyle w:val="BodyText"/>
        <w:rPr/>
      </w:pPr>
      <w:r>
        <w:rPr/>
      </w:r>
    </w:p>
    <w:p>
      <w:pPr>
        <w:pStyle w:val="BodyText"/>
        <w:rPr/>
      </w:pPr>
      <w:r>
        <w:rPr/>
        <w:t>With a copy to:</w:t>
      </w:r>
    </w:p>
    <w:p>
      <w:pPr>
        <w:pStyle w:val="BodyText"/>
        <w:rPr/>
      </w:pPr>
      <w:r>
        <w:rPr/>
        <w:t>EuroBank</w:t>
        <w:tab/>
        <w:tab/>
        <w:tab/>
        <w:tab/>
        <w:t>EuroBank NV</w:t>
      </w:r>
    </w:p>
    <w:p>
      <w:pPr>
        <w:pStyle w:val="BodyText"/>
        <w:rPr/>
      </w:pPr>
      <w:r>
        <w:rPr/>
        <w:t>Address:</w:t>
        <w:tab/>
        <w:tab/>
        <w:tab/>
        <w:t>Bijlmerdreef 24, ACT C.07.407</w:t>
      </w:r>
    </w:p>
    <w:p>
      <w:pPr>
        <w:pStyle w:val="BodyText"/>
        <w:rPr/>
      </w:pPr>
      <w:r>
        <w:rPr/>
        <w:t>Fax:</w:t>
        <w:tab/>
        <w:tab/>
        <w:tab/>
        <w:tab/>
        <w:t>+31 20 576 7918</w:t>
      </w:r>
    </w:p>
    <w:p>
      <w:pPr>
        <w:pStyle w:val="BodyText"/>
        <w:rPr/>
      </w:pPr>
      <w:r>
        <w:rPr/>
        <w:t>For the attention of:</w:t>
        <w:tab/>
        <w:tab/>
        <w:t>MSP</w:t>
      </w:r>
    </w:p>
    <w:p>
      <w:pPr>
        <w:pStyle w:val="FWOutL2"/>
        <w:numPr>
          <w:ilvl w:val="0"/>
          <w:numId w:val="0"/>
        </w:numPr>
        <w:ind w:hanging="0" w:start="0"/>
        <w:rPr/>
      </w:pPr>
      <w:r>
        <w:rPr/>
      </w:r>
    </w:p>
    <w:p>
      <w:pPr>
        <w:pStyle w:val="FWOutL1"/>
        <w:numPr>
          <w:ilvl w:val="0"/>
          <w:numId w:val="8"/>
        </w:numPr>
        <w:ind w:hanging="0" w:start="0"/>
        <w:rPr/>
      </w:pPr>
      <w:bookmarkStart w:id="7" w:name="__RefHeading___Toc153354952"/>
      <w:bookmarkEnd w:id="7"/>
      <w:r>
        <w:rPr/>
        <w:t>Governing Law and jurisdiction</w:t>
      </w:r>
    </w:p>
    <w:p>
      <w:pPr>
        <w:pStyle w:val="FWOutL3"/>
        <w:numPr>
          <w:ilvl w:val="2"/>
          <w:numId w:val="8"/>
        </w:numPr>
        <w:ind w:hanging="0" w:start="0"/>
        <w:rPr/>
      </w:pPr>
      <w:r>
        <w:rPr/>
        <w:t>Except to the extent prohibited under the laws of any jurisdiction which are applicable in respect of this agreement, this agreement shall be governed by and construed in accordance with the laws of the Netherlands.</w:t>
      </w:r>
    </w:p>
    <w:p>
      <w:pPr>
        <w:pStyle w:val="FWOutL3"/>
        <w:numPr>
          <w:ilvl w:val="2"/>
          <w:numId w:val="8"/>
        </w:numPr>
        <w:ind w:hanging="0" w:start="0"/>
        <w:rPr/>
      </w:pPr>
      <w:r>
        <w:rPr/>
        <w:t xml:space="preserve"> </w:t>
      </w:r>
      <w:r>
        <w:rPr/>
        <w:t>To the extent that the provisions of this agreement fail to comply with any requirement under the laws of any jurisdiction (other than the Netherlands) which are applicable in respect of this agreement, the Local Parties shall use their respective reasonable endeavours to ensure that such provisions are amended so as to comply with such laws but so as to minimise the economic effect on either of the Local Parties.</w:t>
      </w:r>
    </w:p>
    <w:p>
      <w:pPr>
        <w:pStyle w:val="FWOutL3"/>
        <w:numPr>
          <w:ilvl w:val="2"/>
          <w:numId w:val="8"/>
        </w:numPr>
        <w:ind w:hanging="0" w:start="0"/>
        <w:rPr/>
      </w:pPr>
      <w:r>
        <w:rPr/>
        <w:t>All disputes, controversies or claims between the Local Parties arising out of or in connection with this agreement will be referred to the Parties of the MSA in order that the Parties of the MSA may apply the provisions set out in the MSA. No Local Party shall initiate any arbitration or court proceedings hereunder unless such Local Party’s respective Party under the MSA has (i) informed the Local Party that the Parties have failed to reach a solution of the disputed matter and (ii) has instructed the Local Party to initiate legal proceedings hereunder.</w:t>
      </w:r>
    </w:p>
    <w:p>
      <w:pPr>
        <w:pStyle w:val="FWOutL1"/>
        <w:numPr>
          <w:ilvl w:val="0"/>
          <w:numId w:val="8"/>
        </w:numPr>
        <w:ind w:hanging="0" w:start="0"/>
        <w:rPr/>
      </w:pPr>
      <w:bookmarkStart w:id="8" w:name="__RefHeading___Toc153354953"/>
      <w:bookmarkEnd w:id="8"/>
      <w:r>
        <w:rPr/>
        <w:t>Counterparts</w:t>
      </w:r>
    </w:p>
    <w:p>
      <w:pPr>
        <w:pStyle w:val="FWOutCont3"/>
        <w:rPr/>
      </w:pPr>
      <w:r>
        <w:rPr/>
        <w:t>This LSA may be executed in any number of counterparts and by the Local Parties to it on separate counterparts, each of which is an original but all of which taken together shall constitute one and the same instrument.</w:t>
      </w:r>
    </w:p>
    <w:p>
      <w:pPr>
        <w:pStyle w:val="Sealing"/>
        <w:keepNext w:val="true"/>
        <w:rPr/>
      </w:pPr>
      <w:r>
        <w:rPr/>
        <w:t>EXECUTED by the Local Parties</w:t>
        <w:tab/>
        <w:t>)</w:t>
      </w:r>
    </w:p>
    <w:p>
      <w:pPr>
        <w:pStyle w:val="Sealing"/>
        <w:keepNext w:val="true"/>
        <w:jc w:val="start"/>
        <w:rPr/>
      </w:pPr>
      <w:r>
        <w:rPr/>
        <w:br/>
        <w:t>Signed by</w:t>
        <w:tab/>
        <w:tab/>
        <w:t>)</w:t>
        <w:tab/>
        <w:t>A. Vanden Camp</w:t>
        <w:br/>
        <w:t xml:space="preserve">a duly authorised </w:t>
        <w:tab/>
        <w:tab/>
        <w:t>)</w:t>
        <w:tab/>
        <w:t>Managing Director</w:t>
        <w:br/>
        <w:t>representative of</w:t>
        <w:tab/>
        <w:tab/>
        <w:t>)</w:t>
        <w:br/>
        <w:t>EuroBank België NV:</w:t>
        <w:tab/>
        <w:tab/>
        <w:t>)</w:t>
      </w:r>
    </w:p>
    <w:p>
      <w:pPr>
        <w:pStyle w:val="Sealing"/>
        <w:keepNext w:val="true"/>
        <w:jc w:val="start"/>
        <w:rPr/>
      </w:pPr>
      <w:r>
        <w:rPr/>
        <w:t>_________________________</w:t>
        <w:tab/>
        <w:t>Signature</w:t>
      </w:r>
    </w:p>
    <w:p>
      <w:pPr>
        <w:pStyle w:val="Sealing"/>
        <w:keepNext w:val="true"/>
        <w:jc w:val="start"/>
        <w:rPr/>
      </w:pPr>
      <w:r>
        <w:rPr/>
        <w:t>Signed by</w:t>
        <w:tab/>
        <w:tab/>
        <w:t>)</w:t>
        <w:br/>
        <w:t xml:space="preserve">a duly authorised </w:t>
        <w:tab/>
        <w:tab/>
        <w:t>)</w:t>
        <w:br/>
        <w:t>representative of</w:t>
        <w:tab/>
        <w:tab/>
        <w:t>)</w:t>
        <w:br/>
        <w:t>[insert name of Local PST Supplier]</w:t>
        <w:tab/>
        <w:t>)</w:t>
      </w:r>
    </w:p>
    <w:p>
      <w:pPr>
        <w:pStyle w:val="Sealing"/>
        <w:keepNext w:val="true"/>
        <w:jc w:val="start"/>
        <w:rPr/>
      </w:pPr>
      <w:r>
        <w:rPr/>
        <w:t>_________________________</w:t>
        <w:tab/>
        <w:t>Signature</w:t>
      </w:r>
    </w:p>
    <w:p>
      <w:pPr>
        <w:pStyle w:val="Sealing"/>
        <w:keepNext w:val="true"/>
        <w:rPr/>
      </w:pPr>
      <w:r>
        <w:rPr/>
      </w:r>
    </w:p>
    <w:p>
      <w:pPr>
        <w:pStyle w:val="Sealing"/>
        <w:keepNext w:val="true"/>
        <w:rPr/>
      </w:pPr>
      <w:r>
        <w:rPr/>
      </w:r>
    </w:p>
    <w:p>
      <w:pPr>
        <w:pStyle w:val="IndexHeading"/>
        <w:keepNext w:val="true"/>
        <w:keepLines/>
        <w:spacing w:before="0" w:after="480"/>
        <w:rPr/>
      </w:pPr>
      <w:r>
        <w:rPr/>
      </w:r>
      <w:bookmarkStart w:id="9" w:name="Position"/>
      <w:bookmarkStart w:id="10" w:name="Position"/>
      <w:bookmarkEnd w:id="10"/>
    </w:p>
    <w:sectPr>
      <w:headerReference w:type="default" r:id="rId10"/>
      <w:headerReference w:type="first" r:id="rId11"/>
      <w:footerReference w:type="default" r:id="rId12"/>
      <w:footerReference w:type="first" r:id="rId13"/>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color w:val="008000"/>
      </w:rPr>
      <w:t>Ops&amp;IT Banking Confidential</w:t>
    </w:r>
    <w:r>
      <w:rPr/>
      <w:tab/>
      <w:tab/>
      <w:t>8/12/06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color w:val="008000"/>
      </w:rPr>
      <w:t>Ops&amp;IT Banking Confidential</w:t>
    </w:r>
    <w:r>
      <w:rPr/>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8/12/06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tab/>
      <w:t>8/12/06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Beta.doc</w:t>
    </w:r>
    <w:r>
      <w:rPr/>
    </w:r>
    <w:r>
      <w:rPr/>
    </w:r>
    <w:r>
      <w:rPr/>
    </w:r>
    <w:r>
      <w:rPr/>
    </w:r>
    <w:r>
      <w:rPr/>
    </w: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Vendor Beta.doc</w:t>
    </w:r>
    <w:r>
      <w:rPr>
        <w:lang w:val="nl-NL"/>
      </w:rPr>
    </w:r>
    <w:r>
      <w:rPr>
        <w:lang w:val="nl-NL"/>
      </w:rPr>
    </w:r>
    <w:r>
      <w:rPr>
        <w:lang w:val="nl-NL"/>
      </w:rPr>
    </w:r>
    <w:r>
      <w:rPr>
        <w:lang w:val="nl-NL"/>
      </w:rPr>
    </w:r>
    <w:r>
      <w:rPr>
        <w:lang w:val="nl-NL"/>
      </w:rPr>
    </w:r>
    <w:r>
      <w:rPr>
        <w:lang w:val="nl-N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Beta.doc</w:t>
    </w:r>
    <w:r>
      <w:rPr/>
    </w:r>
    <w:r>
      <w:rPr/>
    </w:r>
    <w:r>
      <w:rPr/>
    </w:r>
    <w:r>
      <w:rPr/>
    </w:r>
    <w:r>
      <w:rPr/>
    </w: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Vendor Beta.doc</w:t>
    </w:r>
    <w:r>
      <w:rPr>
        <w:lang w:val="nl-NL"/>
      </w:rPr>
    </w:r>
    <w:r>
      <w:rPr>
        <w:lang w:val="nl-NL"/>
      </w:rPr>
    </w:r>
    <w:r>
      <w:rPr>
        <w:lang w:val="nl-NL"/>
      </w:rPr>
    </w:r>
    <w:r>
      <w:rPr>
        <w:lang w:val="nl-NL"/>
      </w:rPr>
    </w:r>
    <w:r>
      <w:rPr>
        <w:lang w:val="nl-NL"/>
      </w:rPr>
    </w:r>
    <w:r>
      <w:rPr>
        <w:lang w:val="nl-N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Beta.doc</w:t>
    </w:r>
    <w:r>
      <w:rPr/>
    </w:r>
    <w:r>
      <w:rPr/>
    </w:r>
    <w:r>
      <w:rPr/>
    </w:r>
    <w:r>
      <w:rPr/>
    </w:r>
    <w:r>
      <w:rPr/>
    </w: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0">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1">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Carien Verhaar"/>
    <w:docVar w:name="authEmail" w:val="carien.verhaar@freshfields.com"/>
    <w:docVar w:name="authExtension" w:val="7663"/>
    <w:docVar w:name="authFax" w:val="31 20 572 7663"/>
    <w:docVar w:name="authId" w:val="CVERHAAR"/>
    <w:docVar w:name="authLocation" w:val="Amsterdam"/>
    <w:docVar w:name="authName" w:val="Verhaar, Carien"/>
    <w:docVar w:name="authPhone" w:val="31 20 485 7663"/>
    <w:docVar w:name="docClass" w:val="-NONE-"/>
    <w:docVar w:name="docClient" w:val="104955"/>
    <w:docVar w:name="docCliMat" w:val="104955-0076"/>
    <w:docVar w:name="docDesc" w:val="SWS / LSA / Template"/>
    <w:docVar w:name="docGlobPracGroup" w:val="IPT"/>
    <w:docVar w:name="docGroup" w:val="document"/>
    <w:docVar w:name="docId" w:val="AMS106063"/>
    <w:docVar w:name="docIdVer" w:val="AMS106063/1"/>
    <w:docVar w:name="docLangId" w:val="2057"/>
    <w:docVar w:name="docLanguage" w:val="EN(UK)"/>
    <w:docVar w:name="docMatter" w:val="0076"/>
    <w:docVar w:name="docTemplate" w:val="document_english_portrait_a4.xml"/>
    <w:docVar w:name="docType" w:val="New Document"/>
    <w:docVar w:name="docVersion" w:val="1"/>
    <w:docVar w:name="operClass" w:val="Fee Earner"/>
    <w:docVar w:name="operCorresp" w:val="Carien Verhaar"/>
    <w:docVar w:name="operEmail" w:val="carien.verhaar@freshfields.com"/>
    <w:docVar w:name="operExtension" w:val="7663"/>
    <w:docVar w:name="operFax" w:val="31 20 572 7663"/>
    <w:docVar w:name="operId" w:val="CVERHAAR"/>
    <w:docVar w:name="operLocation" w:val="Amsterdam"/>
    <w:docVar w:name="operName" w:val="Verhaar, Carien"/>
    <w:docVar w:name="operPhone" w:val="31 20 485 7663"/>
    <w:docVar w:name="zzmpAMBody" w:val="||AM Body Text|2|3|1|1|0|49||1|0|32||1|0|32||1|0|32||1|0|32||1|0|32||1|0|32||1|0|32||mpNA||"/>
    <w:docVar w:name="zzmpFixedCurScheme" w:val="FWOut"/>
    <w:docVar w:name="zzmpFixedCurScheme_9.0" w:val="1zzmpFWOut"/>
    <w:docVar w:name="zzmpFWB" w:val="||FW Body Text|2|3|0|1|0|49||1|0|32||1|0|32||1|0|32||1|0|32||1|0|32||1|0|32||1|0|32||mpNA||"/>
    <w:docVar w:name="zzmpFWOut" w:val="||FW Outsourcing|2|3|0|1|2|41||1|2|33||1|0|32||1|0|32||1|0|32||1|0|32||1|0|32||1|0|32||1|0|32||"/>
    <w:docVar w:name="zzmpLTFontsClean" w:val="True"/>
    <w:docVar w:name="zzmpnSession" w:val="0,4926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Times New Roman" w:hAnsi="Times New Roman" w:cs="Times New Roman"/>
      <w:b/>
      <w:i w:val="false"/>
      <w:caps w:val="false"/>
      <w:smallCaps w:val="false"/>
      <w:color w:val="000000"/>
      <w:sz w:val="22"/>
      <w:u w:val="none"/>
    </w:rPr>
  </w:style>
  <w:style w:type="character" w:styleId="WW8Num7z2">
    <w:name w:val="WW8Num7z2"/>
    <w:qFormat/>
    <w:rPr>
      <w:rFonts w:ascii="Times New Roman" w:hAnsi="Times New Roman" w:cs="Times New Roman"/>
      <w:b w:val="false"/>
      <w:i w:val="false"/>
      <w:caps w:val="false"/>
      <w:smallCaps w:val="false"/>
      <w:color w:val="000000"/>
      <w:sz w:val="22"/>
      <w:u w:val="none"/>
    </w:rPr>
  </w:style>
  <w:style w:type="character" w:styleId="WW8Num8z0">
    <w:name w:val="WW8Num8z0"/>
    <w:qFormat/>
    <w:rPr>
      <w:rFonts w:ascii="Times New Roman" w:hAnsi="Times New Roman" w:cs="Times New Roman"/>
      <w:b/>
      <w:i w:val="false"/>
      <w:caps w:val="false"/>
      <w:smallCaps w:val="false"/>
      <w:color w:val="000000"/>
      <w:sz w:val="24"/>
      <w:u w:val="none"/>
    </w:rPr>
  </w:style>
  <w:style w:type="character" w:styleId="WW8Num8z1">
    <w:name w:val="WW8Num8z1"/>
    <w:qFormat/>
    <w:rPr>
      <w:rFonts w:ascii="Times New Roman" w:hAnsi="Times New Roman" w:cs="Times New Roman"/>
      <w:b w:val="false"/>
      <w:i w:val="false"/>
      <w:caps w:val="false"/>
      <w:smallCaps w:val="false"/>
      <w:color w:val="000000"/>
      <w:sz w:val="24"/>
      <w:u w:val="none"/>
    </w:rPr>
  </w:style>
  <w:style w:type="character" w:styleId="WW8Num9z0">
    <w:name w:val="WW8Num9z0"/>
    <w:qFormat/>
    <w:rPr>
      <w:rFonts w:ascii="Times New Roman" w:hAnsi="Times New Roman" w:cs="Times New Roman"/>
      <w:b/>
      <w:i w:val="false"/>
      <w:caps w:val="false"/>
      <w:smallCaps w:val="false"/>
      <w:color w:val="000000"/>
      <w:u w:val="none"/>
    </w:rPr>
  </w:style>
  <w:style w:type="character" w:styleId="WW8Num9z1">
    <w:name w:val="WW8Num9z1"/>
    <w:qFormat/>
    <w:rPr>
      <w:rFonts w:ascii="Times New Roman" w:hAnsi="Times New Roman" w:cs="Times New Roman"/>
      <w:b w:val="false"/>
      <w:i w:val="false"/>
      <w:caps w:val="false"/>
      <w:smallCaps w:val="false"/>
      <w:color w:val="000000"/>
      <w:u w:val="none"/>
    </w:rPr>
  </w:style>
  <w:style w:type="character" w:styleId="WW8Num10z0">
    <w:name w:val="WW8Num10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DeltaViewInsertion">
    <w:name w:val="DeltaView Insertion"/>
    <w:qFormat/>
    <w:rPr>
      <w:color w:val="0000FF"/>
      <w:spacing w:val="0"/>
      <w:u w:val="double"/>
    </w:rPr>
  </w:style>
  <w:style w:type="character" w:styleId="CommentReference">
    <w:name w:val="Comment Reference"/>
    <w:basedOn w:val="DefaultParagraphFont"/>
    <w:qFormat/>
    <w:rPr>
      <w:sz w:val="16"/>
      <w:szCs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1"/>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0"/>
      </w:numPr>
      <w:spacing w:before="0" w:after="240"/>
      <w:outlineLvl w:val="0"/>
    </w:pPr>
    <w:rPr>
      <w:b/>
      <w:smallCaps/>
      <w:szCs w:val="20"/>
    </w:rPr>
  </w:style>
  <w:style w:type="paragraph" w:styleId="FWBL2">
    <w:name w:val="FWB_L2"/>
    <w:basedOn w:val="FWBL1"/>
    <w:qFormat/>
    <w:pPr>
      <w:keepNext w:val="false"/>
      <w:keepLines w:val="false"/>
      <w:numPr>
        <w:ilvl w:val="0"/>
        <w:numId w:val="10"/>
      </w:numPr>
      <w:jc w:val="both"/>
      <w:outlineLvl w:val="9"/>
    </w:pPr>
    <w:rPr>
      <w:b w:val="false"/>
      <w:caps w:val="false"/>
      <w:smallCaps w:val="false"/>
    </w:rPr>
  </w:style>
  <w:style w:type="paragraph" w:styleId="FWBL3">
    <w:name w:val="FWB_L3"/>
    <w:basedOn w:val="FWBL2"/>
    <w:qFormat/>
    <w:pPr>
      <w:numPr>
        <w:ilvl w:val="0"/>
        <w:numId w:val="10"/>
      </w:numPr>
    </w:pPr>
    <w:rPr/>
  </w:style>
  <w:style w:type="paragraph" w:styleId="FWBL4">
    <w:name w:val="FWB_L4"/>
    <w:basedOn w:val="FWBL3"/>
    <w:qFormat/>
    <w:pPr>
      <w:numPr>
        <w:ilvl w:val="0"/>
        <w:numId w:val="10"/>
      </w:numPr>
    </w:pPr>
    <w:rPr/>
  </w:style>
  <w:style w:type="paragraph" w:styleId="FWBL5">
    <w:name w:val="FWB_L5"/>
    <w:basedOn w:val="FWBL4"/>
    <w:qFormat/>
    <w:pPr>
      <w:numPr>
        <w:ilvl w:val="0"/>
        <w:numId w:val="10"/>
      </w:numPr>
    </w:pPr>
    <w:rPr/>
  </w:style>
  <w:style w:type="paragraph" w:styleId="FWBL6">
    <w:name w:val="FWB_L6"/>
    <w:basedOn w:val="FWBL5"/>
    <w:qFormat/>
    <w:pPr>
      <w:numPr>
        <w:ilvl w:val="0"/>
        <w:numId w:val="10"/>
      </w:numPr>
    </w:pPr>
    <w:rPr/>
  </w:style>
  <w:style w:type="paragraph" w:styleId="FWBL7">
    <w:name w:val="FWB_L7"/>
    <w:basedOn w:val="FWBL6"/>
    <w:qFormat/>
    <w:pPr>
      <w:numPr>
        <w:ilvl w:val="0"/>
        <w:numId w:val="10"/>
      </w:numPr>
    </w:pPr>
    <w:rPr/>
  </w:style>
  <w:style w:type="paragraph" w:styleId="FWBL8">
    <w:name w:val="FWB_L8"/>
    <w:basedOn w:val="FWBL7"/>
    <w:qFormat/>
    <w:pPr>
      <w:numPr>
        <w:ilvl w:val="0"/>
        <w:numId w:val="10"/>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8"/>
      </w:numPr>
      <w:spacing w:before="0" w:after="240"/>
      <w:jc w:val="center"/>
      <w:outlineLvl w:val="0"/>
    </w:pPr>
    <w:rPr>
      <w:b/>
      <w:caps/>
      <w:szCs w:val="20"/>
    </w:rPr>
  </w:style>
  <w:style w:type="paragraph" w:styleId="FWOutL2">
    <w:name w:val="FWOut_L2"/>
    <w:basedOn w:val="FWOutL1"/>
    <w:qFormat/>
    <w:pPr>
      <w:numPr>
        <w:ilvl w:val="0"/>
        <w:numId w:val="8"/>
      </w:numPr>
      <w:jc w:val="start"/>
      <w:outlineLvl w:val="1"/>
    </w:pPr>
    <w:rPr>
      <w:caps w:val="false"/>
      <w:smallCaps w:val="false"/>
    </w:rPr>
  </w:style>
  <w:style w:type="paragraph" w:styleId="FWOutL3">
    <w:name w:val="FWOut_L3"/>
    <w:basedOn w:val="FWOutL2"/>
    <w:qFormat/>
    <w:pPr>
      <w:keepNext w:val="false"/>
      <w:keepLines w:val="false"/>
      <w:numPr>
        <w:ilvl w:val="0"/>
        <w:numId w:val="8"/>
      </w:numPr>
      <w:jc w:val="both"/>
      <w:outlineLvl w:val="9"/>
    </w:pPr>
    <w:rPr>
      <w:b w:val="false"/>
    </w:rPr>
  </w:style>
  <w:style w:type="paragraph" w:styleId="FWOutL4">
    <w:name w:val="FWOut_L4"/>
    <w:basedOn w:val="FWOutL3"/>
    <w:qFormat/>
    <w:pPr>
      <w:numPr>
        <w:ilvl w:val="0"/>
        <w:numId w:val="8"/>
      </w:numPr>
    </w:pPr>
    <w:rPr/>
  </w:style>
  <w:style w:type="paragraph" w:styleId="FWOutL5">
    <w:name w:val="FWOut_L5"/>
    <w:basedOn w:val="FWOutL4"/>
    <w:qFormat/>
    <w:pPr>
      <w:numPr>
        <w:ilvl w:val="0"/>
        <w:numId w:val="8"/>
      </w:numPr>
    </w:pPr>
    <w:rPr/>
  </w:style>
  <w:style w:type="paragraph" w:styleId="FWOutL6">
    <w:name w:val="FWOut_L6"/>
    <w:basedOn w:val="FWOutL5"/>
    <w:qFormat/>
    <w:pPr>
      <w:numPr>
        <w:ilvl w:val="0"/>
        <w:numId w:val="8"/>
      </w:numPr>
    </w:pPr>
    <w:rPr/>
  </w:style>
  <w:style w:type="paragraph" w:styleId="FWOutL7">
    <w:name w:val="FWOut_L7"/>
    <w:basedOn w:val="FWOutL6"/>
    <w:qFormat/>
    <w:pPr>
      <w:numPr>
        <w:ilvl w:val="0"/>
        <w:numId w:val="8"/>
      </w:numPr>
    </w:pPr>
    <w:rPr/>
  </w:style>
  <w:style w:type="paragraph" w:styleId="FWOutL8">
    <w:name w:val="FWOut_L8"/>
    <w:basedOn w:val="FWOutL7"/>
    <w:qFormat/>
    <w:pPr>
      <w:numPr>
        <w:ilvl w:val="0"/>
        <w:numId w:val="8"/>
      </w:numPr>
    </w:pPr>
    <w:rPr/>
  </w:style>
  <w:style w:type="paragraph" w:styleId="FWOutL9">
    <w:name w:val="FWOut_L9"/>
    <w:basedOn w:val="FWOutL8"/>
    <w:qFormat/>
    <w:pPr>
      <w:numPr>
        <w:ilvl w:val="0"/>
        <w:numId w:val="8"/>
      </w:numPr>
    </w:pPr>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AMBodyL1">
    <w:name w:val="AMBody_L1"/>
    <w:basedOn w:val="Normal"/>
    <w:next w:val="AMBodyL2"/>
    <w:qFormat/>
    <w:pPr>
      <w:keepNext w:val="true"/>
      <w:keepLines/>
      <w:numPr>
        <w:ilvl w:val="0"/>
        <w:numId w:val="9"/>
      </w:numPr>
      <w:spacing w:before="0" w:after="240"/>
      <w:outlineLvl w:val="0"/>
    </w:pPr>
    <w:rPr>
      <w:b/>
      <w:smallCaps/>
      <w:sz w:val="24"/>
      <w:szCs w:val="20"/>
      <w:lang w:val="nl-NL"/>
    </w:rPr>
  </w:style>
  <w:style w:type="paragraph" w:styleId="AMBodyL2">
    <w:name w:val="AMBody_L2"/>
    <w:basedOn w:val="AMBodyL1"/>
    <w:qFormat/>
    <w:pPr>
      <w:keepNext w:val="false"/>
      <w:keepLines w:val="false"/>
      <w:numPr>
        <w:ilvl w:val="0"/>
        <w:numId w:val="9"/>
      </w:numPr>
      <w:ind w:hanging="0" w:start="0" w:end="0"/>
      <w:jc w:val="both"/>
      <w:outlineLvl w:val="9"/>
    </w:pPr>
    <w:rPr>
      <w:b w:val="false"/>
      <w:caps w:val="false"/>
      <w:smallCaps w:val="false"/>
    </w:rPr>
  </w:style>
  <w:style w:type="paragraph" w:styleId="AMBodyL3">
    <w:name w:val="AMBody_L3"/>
    <w:basedOn w:val="AMBodyL2"/>
    <w:qFormat/>
    <w:pPr>
      <w:numPr>
        <w:ilvl w:val="0"/>
        <w:numId w:val="9"/>
      </w:numPr>
      <w:tabs>
        <w:tab w:val="left" w:pos="720" w:leader="none"/>
      </w:tabs>
      <w:ind w:hanging="0" w:start="720" w:end="0"/>
    </w:pPr>
    <w:rPr/>
  </w:style>
  <w:style w:type="paragraph" w:styleId="AMBodyL4">
    <w:name w:val="AMBody_L4"/>
    <w:basedOn w:val="AMBodyL3"/>
    <w:qFormat/>
    <w:pPr>
      <w:numPr>
        <w:ilvl w:val="0"/>
        <w:numId w:val="9"/>
      </w:numPr>
      <w:tabs>
        <w:tab w:val="left" w:pos="720" w:leader="none"/>
        <w:tab w:val="left" w:pos="1440" w:leader="none"/>
      </w:tabs>
      <w:ind w:hanging="216" w:start="1440" w:end="0"/>
    </w:pPr>
    <w:rPr/>
  </w:style>
  <w:style w:type="paragraph" w:styleId="AMBodyL5">
    <w:name w:val="AMBody_L5"/>
    <w:basedOn w:val="AMBodyL4"/>
    <w:qFormat/>
    <w:pPr>
      <w:numPr>
        <w:ilvl w:val="0"/>
        <w:numId w:val="9"/>
      </w:numPr>
      <w:tabs>
        <w:tab w:val="left" w:pos="720" w:leader="none"/>
        <w:tab w:val="left" w:pos="1440" w:leader="none"/>
        <w:tab w:val="left" w:pos="2160" w:leader="none"/>
      </w:tabs>
      <w:ind w:hanging="216" w:start="2160" w:end="0"/>
    </w:pPr>
    <w:rPr/>
  </w:style>
  <w:style w:type="paragraph" w:styleId="AMBodyL6">
    <w:name w:val="AMBody_L6"/>
    <w:basedOn w:val="AMBodyL5"/>
    <w:qFormat/>
    <w:pPr>
      <w:numPr>
        <w:ilvl w:val="0"/>
        <w:numId w:val="9"/>
      </w:numPr>
      <w:tabs>
        <w:tab w:val="left" w:pos="720" w:leader="none"/>
        <w:tab w:val="left" w:pos="1440" w:leader="none"/>
        <w:tab w:val="left" w:pos="2160" w:leader="none"/>
        <w:tab w:val="left" w:pos="2880" w:leader="none"/>
      </w:tabs>
      <w:ind w:hanging="216" w:start="2880" w:end="0"/>
    </w:pPr>
    <w:rPr/>
  </w:style>
  <w:style w:type="paragraph" w:styleId="AMBodyL7">
    <w:name w:val="AMBody_L7"/>
    <w:basedOn w:val="AMBodyL6"/>
    <w:qFormat/>
    <w:pPr>
      <w:numPr>
        <w:ilvl w:val="0"/>
        <w:numId w:val="9"/>
      </w:numPr>
      <w:tabs>
        <w:tab w:val="left" w:pos="720" w:leader="none"/>
        <w:tab w:val="left" w:pos="1440" w:leader="none"/>
        <w:tab w:val="left" w:pos="2160" w:leader="none"/>
        <w:tab w:val="left" w:pos="2880" w:leader="none"/>
        <w:tab w:val="left" w:pos="3600" w:leader="none"/>
      </w:tabs>
      <w:ind w:hanging="720" w:start="3600" w:end="0"/>
    </w:pPr>
    <w:rPr/>
  </w:style>
  <w:style w:type="paragraph" w:styleId="AMBodyL8">
    <w:name w:val="AMBody_L8"/>
    <w:basedOn w:val="AMBodyL7"/>
    <w:qFormat/>
    <w:pPr>
      <w:numPr>
        <w:ilvl w:val="0"/>
        <w:numId w:val="9"/>
      </w:numPr>
      <w:tabs>
        <w:tab w:val="left" w:pos="720" w:leader="none"/>
        <w:tab w:val="left" w:pos="1440" w:leader="none"/>
        <w:tab w:val="left" w:pos="2160" w:leader="none"/>
        <w:tab w:val="left" w:pos="2880" w:leader="none"/>
        <w:tab w:val="left" w:pos="3600" w:leader="none"/>
        <w:tab w:val="left" w:pos="4320" w:leader="none"/>
      </w:tabs>
      <w:ind w:hanging="720" w:start="432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2006-12-12T14:01:00Z</dcterms:created>
  <dc:creator>Linda Price</dc:creator>
  <dc:description/>
  <cp:keywords/>
  <dc:language>en-US</dc:language>
  <cp:lastModifiedBy>Stuart Johnson</cp:lastModifiedBy>
  <cp:lastPrinted>2006-10-10T15:28:00Z</cp:lastPrinted>
  <dcterms:modified xsi:type="dcterms:W3CDTF">2006-12-12T14:07:00Z</dcterms:modified>
  <cp:revision>5</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1.0.2</vt:lpwstr>
  </property>
  <property fmtid="{D5CDD505-2E9C-101B-9397-08002B2CF9AE}" pid="3" name="authClass">
    <vt:lpwstr>Fee Earner</vt:lpwstr>
  </property>
  <property fmtid="{D5CDD505-2E9C-101B-9397-08002B2CF9AE}" pid="4" name="authCorresp">
    <vt:lpwstr>Carien Verhaar</vt:lpwstr>
  </property>
  <property fmtid="{D5CDD505-2E9C-101B-9397-08002B2CF9AE}" pid="5" name="authEmail">
    <vt:lpwstr>carien.verhaar@freshfields.com</vt:lpwstr>
  </property>
  <property fmtid="{D5CDD505-2E9C-101B-9397-08002B2CF9AE}" pid="6" name="authExtension">
    <vt:lpwstr>7663</vt:lpwstr>
  </property>
  <property fmtid="{D5CDD505-2E9C-101B-9397-08002B2CF9AE}" pid="7" name="authFax">
    <vt:lpwstr>31 20 572 7663</vt:lpwstr>
  </property>
  <property fmtid="{D5CDD505-2E9C-101B-9397-08002B2CF9AE}" pid="8" name="authId">
    <vt:lpwstr>CVERHAAR</vt:lpwstr>
  </property>
  <property fmtid="{D5CDD505-2E9C-101B-9397-08002B2CF9AE}" pid="9" name="authInitials">
    <vt:lpwstr/>
  </property>
  <property fmtid="{D5CDD505-2E9C-101B-9397-08002B2CF9AE}" pid="10" name="authLocation">
    <vt:lpwstr>Amsterdam</vt:lpwstr>
  </property>
  <property fmtid="{D5CDD505-2E9C-101B-9397-08002B2CF9AE}" pid="11" name="authName">
    <vt:lpwstr>Verhaar, Carien</vt:lpwstr>
  </property>
  <property fmtid="{D5CDD505-2E9C-101B-9397-08002B2CF9AE}" pid="12" name="authPhone">
    <vt:lpwstr>31 20 485 7663</vt:lpwstr>
  </property>
  <property fmtid="{D5CDD505-2E9C-101B-9397-08002B2CF9AE}" pid="13" name="docClass">
    <vt:lpwstr>-NONE-</vt:lpwstr>
  </property>
  <property fmtid="{D5CDD505-2E9C-101B-9397-08002B2CF9AE}" pid="14" name="docCliMat">
    <vt:lpwstr>104955-0076</vt:lpwstr>
  </property>
  <property fmtid="{D5CDD505-2E9C-101B-9397-08002B2CF9AE}" pid="15" name="docClient">
    <vt:lpwstr>104955</vt:lpwstr>
  </property>
  <property fmtid="{D5CDD505-2E9C-101B-9397-08002B2CF9AE}" pid="16" name="docDesc">
    <vt:lpwstr>SWS / LSA / Template</vt:lpwstr>
  </property>
  <property fmtid="{D5CDD505-2E9C-101B-9397-08002B2CF9AE}" pid="17" name="docGlobPracGroup">
    <vt:lpwstr>IPT</vt:lpwstr>
  </property>
  <property fmtid="{D5CDD505-2E9C-101B-9397-08002B2CF9AE}" pid="18" name="docGlobSectGroup">
    <vt:lpwstr/>
  </property>
  <property fmtid="{D5CDD505-2E9C-101B-9397-08002B2CF9AE}" pid="19" name="docGroup">
    <vt:lpwstr>document</vt:lpwstr>
  </property>
  <property fmtid="{D5CDD505-2E9C-101B-9397-08002B2CF9AE}" pid="20" name="docId">
    <vt:lpwstr>AMS106063</vt:lpwstr>
  </property>
  <property fmtid="{D5CDD505-2E9C-101B-9397-08002B2CF9AE}" pid="21" name="docIdVer">
    <vt:lpwstr>AMS106063/1</vt:lpwstr>
  </property>
  <property fmtid="{D5CDD505-2E9C-101B-9397-08002B2CF9AE}" pid="22" name="docLangId">
    <vt:lpwstr>2057</vt:lpwstr>
  </property>
  <property fmtid="{D5CDD505-2E9C-101B-9397-08002B2CF9AE}" pid="23" name="docLanguage">
    <vt:lpwstr>EN(UK)</vt:lpwstr>
  </property>
  <property fmtid="{D5CDD505-2E9C-101B-9397-08002B2CF9AE}" pid="24" name="docMatter">
    <vt:lpwstr>0076</vt:lpwstr>
  </property>
  <property fmtid="{D5CDD505-2E9C-101B-9397-08002B2CF9AE}" pid="25" name="docOrganisation">
    <vt:lpwstr/>
  </property>
  <property fmtid="{D5CDD505-2E9C-101B-9397-08002B2CF9AE}" pid="26" name="docParams">
    <vt:lpwstr/>
  </property>
  <property fmtid="{D5CDD505-2E9C-101B-9397-08002B2CF9AE}" pid="27" name="docSubClass">
    <vt:lpwstr/>
  </property>
  <property fmtid="{D5CDD505-2E9C-101B-9397-08002B2CF9AE}" pid="28" name="docTemplate">
    <vt:lpwstr>document_english_portrait_a4.xml</vt:lpwstr>
  </property>
  <property fmtid="{D5CDD505-2E9C-101B-9397-08002B2CF9AE}" pid="29" name="docType">
    <vt:lpwstr>New Document</vt:lpwstr>
  </property>
  <property fmtid="{D5CDD505-2E9C-101B-9397-08002B2CF9AE}" pid="30" name="docVersion">
    <vt:lpwstr>1</vt:lpwstr>
  </property>
  <property fmtid="{D5CDD505-2E9C-101B-9397-08002B2CF9AE}" pid="31" name="operClass">
    <vt:lpwstr>Fee Earner</vt:lpwstr>
  </property>
  <property fmtid="{D5CDD505-2E9C-101B-9397-08002B2CF9AE}" pid="32" name="operCorresp">
    <vt:lpwstr>Carien Verhaar</vt:lpwstr>
  </property>
  <property fmtid="{D5CDD505-2E9C-101B-9397-08002B2CF9AE}" pid="33" name="operEmail">
    <vt:lpwstr>carien.verhaar@freshfields.com</vt:lpwstr>
  </property>
  <property fmtid="{D5CDD505-2E9C-101B-9397-08002B2CF9AE}" pid="34" name="operExtension">
    <vt:lpwstr>7663</vt:lpwstr>
  </property>
  <property fmtid="{D5CDD505-2E9C-101B-9397-08002B2CF9AE}" pid="35" name="operFax">
    <vt:lpwstr>31 20 572 7663</vt:lpwstr>
  </property>
  <property fmtid="{D5CDD505-2E9C-101B-9397-08002B2CF9AE}" pid="36" name="operId">
    <vt:lpwstr>CVERHAAR</vt:lpwstr>
  </property>
  <property fmtid="{D5CDD505-2E9C-101B-9397-08002B2CF9AE}" pid="37" name="operInitials">
    <vt:lpwstr/>
  </property>
  <property fmtid="{D5CDD505-2E9C-101B-9397-08002B2CF9AE}" pid="38" name="operLocation">
    <vt:lpwstr>Amsterdam</vt:lpwstr>
  </property>
  <property fmtid="{D5CDD505-2E9C-101B-9397-08002B2CF9AE}" pid="39" name="operName">
    <vt:lpwstr>Verhaar, Carien</vt:lpwstr>
  </property>
  <property fmtid="{D5CDD505-2E9C-101B-9397-08002B2CF9AE}" pid="40" name="operPhone">
    <vt:lpwstr>31 20 485 7663</vt:lpwstr>
  </property>
</Properties>
</file>