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rPr>
          <w:bCs/>
          <w:iCs/>
          <w:sz w:val="16"/>
          <w:szCs w:val="16"/>
        </w:rPr>
      </w:pPr>
      <w:r>
        <w:rPr>
          <w:bCs/>
          <w:iCs/>
          <w:sz w:val="16"/>
          <w:szCs w:val="16"/>
        </w:rPr>
      </w:r>
    </w:p>
    <w:p>
      <w:pPr>
        <w:pStyle w:val="FWNCont1"/>
        <w:rPr>
          <w:b/>
          <w:bCs/>
          <w:iCs/>
          <w:sz w:val="22"/>
          <w:szCs w:val="16"/>
        </w:rPr>
      </w:pPr>
      <w:r>
        <w:rPr>
          <w:b/>
          <w:bCs/>
          <w:iCs/>
          <w:sz w:val="22"/>
          <w:szCs w:val="16"/>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jc w:val="center"/>
        <w:rPr>
          <w:b/>
          <w:sz w:val="32"/>
          <w:szCs w:val="32"/>
        </w:rPr>
      </w:pPr>
      <w:r>
        <w:rPr>
          <w:b/>
          <w:sz w:val="32"/>
          <w:szCs w:val="32"/>
        </w:rPr>
        <w:t>EuroBank</w:t>
      </w:r>
    </w:p>
    <w:p>
      <w:pPr>
        <w:pStyle w:val="FWNCont1"/>
        <w:jc w:val="center"/>
        <w:rPr>
          <w:b/>
          <w:sz w:val="32"/>
          <w:szCs w:val="32"/>
        </w:rPr>
      </w:pPr>
      <w:r>
        <w:rPr>
          <w:b/>
          <w:sz w:val="32"/>
          <w:szCs w:val="32"/>
        </w:rPr>
      </w:r>
    </w:p>
    <w:p>
      <w:pPr>
        <w:pStyle w:val="FWNCont1"/>
        <w:jc w:val="center"/>
        <w:rPr>
          <w:b/>
          <w:sz w:val="32"/>
          <w:szCs w:val="32"/>
        </w:rPr>
      </w:pPr>
      <w:r>
        <w:rPr>
          <w:b/>
          <w:sz w:val="32"/>
          <w:szCs w:val="32"/>
        </w:rPr>
      </w:r>
    </w:p>
    <w:p>
      <w:pPr>
        <w:pStyle w:val="FWNCont1"/>
        <w:jc w:val="center"/>
        <w:rPr>
          <w:b/>
          <w:sz w:val="32"/>
          <w:szCs w:val="32"/>
        </w:rPr>
      </w:pPr>
      <w:r>
        <w:rPr>
          <w:b/>
          <w:sz w:val="32"/>
          <w:szCs w:val="32"/>
        </w:rPr>
        <w:t>MASTER ASSET TRANSFER AGREEMENT (MATA)</w:t>
      </w:r>
    </w:p>
    <w:p>
      <w:pPr>
        <w:pStyle w:val="FWNCont1"/>
        <w:rPr>
          <w:b/>
          <w:sz w:val="22"/>
          <w:szCs w:val="32"/>
        </w:rPr>
      </w:pPr>
      <w:r>
        <w:rPr>
          <w:b/>
          <w:sz w:val="22"/>
          <w:szCs w:val="3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pStyle w:val="FWNCont1"/>
        <w:rPr>
          <w:b/>
          <w:sz w:val="22"/>
        </w:rPr>
      </w:pPr>
      <w:r>
        <w:rPr>
          <w:b/>
          <w:sz w:val="22"/>
        </w:rPr>
      </w:r>
    </w:p>
    <w:p>
      <w:pPr>
        <w:sectPr>
          <w:headerReference w:type="default" r:id="rId2"/>
          <w:headerReference w:type="first" r:id="rId3"/>
          <w:footerReference w:type="default" r:id="rId4"/>
          <w:footerReference w:type="first" r:id="rId5"/>
          <w:type w:val="nextPage"/>
          <w:pgSz w:w="11906" w:h="16838"/>
          <w:pgMar w:left="1800" w:right="1800" w:gutter="0" w:header="720" w:top="1440" w:footer="720" w:bottom="1800"/>
          <w:pgNumType w:start="1" w:fmt="lowerRoman"/>
          <w:formProt w:val="false"/>
          <w:titlePg/>
          <w:textDirection w:val="lrTb"/>
          <w:docGrid w:type="default" w:linePitch="326" w:charSpace="0"/>
        </w:sectPr>
        <w:pStyle w:val="FWNCont1"/>
        <w:rPr>
          <w:b/>
          <w:sz w:val="22"/>
        </w:rPr>
      </w:pPr>
      <w:r>
        <w:rPr>
          <w:b/>
          <w:sz w:val="22"/>
        </w:rPr>
      </w:r>
    </w:p>
    <w:p>
      <w:pPr>
        <w:pStyle w:val="FWNCont1"/>
        <w:rPr>
          <w:b/>
          <w:sz w:val="22"/>
        </w:rPr>
      </w:pPr>
      <w:r>
        <w:rPr>
          <w:b/>
          <w:sz w:val="22"/>
        </w:rPr>
      </w:r>
    </w:p>
    <w:p>
      <w:pPr>
        <w:pStyle w:val="FWNCont1"/>
        <w:jc w:val="center"/>
        <w:rPr>
          <w:b/>
          <w:sz w:val="18"/>
          <w:szCs w:val="18"/>
        </w:rPr>
      </w:pPr>
      <w:r>
        <w:rPr>
          <w:b/>
          <w:sz w:val="18"/>
          <w:szCs w:val="18"/>
        </w:rPr>
        <w:t>TABLE OF CONTENTS</w:t>
      </w:r>
    </w:p>
    <w:p>
      <w:pPr>
        <w:pStyle w:val="FWNCont1"/>
        <w:jc w:val="center"/>
        <w:rPr>
          <w:b/>
          <w:sz w:val="18"/>
          <w:szCs w:val="18"/>
        </w:rPr>
      </w:pPr>
      <w:r>
        <w:rPr>
          <w:b/>
          <w:sz w:val="18"/>
          <w:szCs w:val="18"/>
        </w:rPr>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smallCaps w:val="false"/>
              <w:caps w:val="false"/>
              <w:sz w:val="18"/>
              <w:szCs w:val="18"/>
              <w:lang w:val="en-US" w:eastAsia="en-US"/>
            </w:rPr>
            <w:instrText xml:space="preserve"> TOC \o "1-3" \u </w:instrText>
          </w:r>
          <w:r>
            <w:rPr>
              <w:smallCaps w:val="false"/>
              <w:caps w:val="false"/>
              <w:sz w:val="18"/>
              <w:szCs w:val="18"/>
              <w:lang w:val="en-US" w:eastAsia="en-US"/>
            </w:rPr>
            <w:fldChar w:fldCharType="separate"/>
          </w:r>
          <w:r>
            <w:rPr>
              <w:caps w:val="false"/>
              <w:smallCaps w:val="false"/>
              <w:sz w:val="18"/>
              <w:szCs w:val="18"/>
              <w:lang w:val="en-US" w:eastAsia="en-US"/>
            </w:rPr>
            <w:t>1.</w:t>
            <w:tab/>
          </w:r>
          <w:r>
            <w:rPr>
              <w:caps/>
              <w:sz w:val="18"/>
              <w:szCs w:val="18"/>
              <w:lang w:val="en-US" w:eastAsia="en-US"/>
            </w:rPr>
            <w:t>Interpretation</w:t>
            <w:tab/>
          </w:r>
          <w:hyperlink w:anchor="__RefHeading___Toc153622610">
            <w:r>
              <w:rPr>
                <w:rStyle w:val="IndexLink"/>
                <w:caps/>
                <w:sz w:val="18"/>
                <w:szCs w:val="18"/>
                <w:lang w:val="en-US" w:eastAsia="en-US"/>
              </w:rPr>
              <w:t>1</w:t>
            </w:r>
          </w:hyperlink>
        </w:p>
        <w:p>
          <w:pPr>
            <w:pStyle w:val="TOC2"/>
            <w:rPr>
              <w:caps w:val="false"/>
              <w:smallCaps w:val="false"/>
              <w:sz w:val="18"/>
              <w:szCs w:val="18"/>
              <w:lang w:val="en-US" w:eastAsia="en-US"/>
            </w:rPr>
          </w:pPr>
          <w:r>
            <w:rPr>
              <w:sz w:val="18"/>
              <w:szCs w:val="18"/>
            </w:rPr>
            <w:t>1.1</w:t>
          </w:r>
          <w:r>
            <w:rPr>
              <w:caps w:val="false"/>
              <w:smallCaps w:val="false"/>
              <w:sz w:val="18"/>
              <w:szCs w:val="18"/>
              <w:lang w:val="en-US" w:eastAsia="en-US"/>
            </w:rPr>
            <w:tab/>
          </w:r>
          <w:r>
            <w:rPr>
              <w:sz w:val="18"/>
              <w:szCs w:val="18"/>
            </w:rPr>
            <w:t>Definitions and interpretation</w:t>
            <w:tab/>
          </w:r>
          <w:hyperlink w:anchor="__RefHeading___Toc153622611">
            <w:r>
              <w:rPr>
                <w:rStyle w:val="IndexLink"/>
                <w:sz w:val="18"/>
                <w:szCs w:val="18"/>
              </w:rPr>
              <w:t>1</w:t>
            </w:r>
          </w:hyperlink>
        </w:p>
        <w:p>
          <w:pPr>
            <w:pStyle w:val="TOC1"/>
            <w:rPr>
              <w:caps w:val="false"/>
              <w:smallCaps w:val="false"/>
              <w:sz w:val="18"/>
              <w:szCs w:val="18"/>
              <w:lang w:val="en-US" w:eastAsia="en-US"/>
            </w:rPr>
          </w:pPr>
          <w:r>
            <w:rPr>
              <w:caps w:val="false"/>
              <w:smallCaps w:val="false"/>
              <w:sz w:val="18"/>
              <w:szCs w:val="18"/>
              <w:lang w:val="en-US" w:eastAsia="en-US"/>
            </w:rPr>
            <w:t>2.</w:t>
            <w:tab/>
          </w:r>
          <w:r>
            <w:rPr>
              <w:sz w:val="18"/>
              <w:szCs w:val="18"/>
              <w:lang w:val="en-US" w:eastAsia="en-US"/>
            </w:rPr>
            <w:t>Undertakings of ING and PST Supplier</w:t>
            <w:tab/>
          </w:r>
          <w:hyperlink w:anchor="__RefHeading___Toc153622612">
            <w:r>
              <w:rPr>
                <w:rStyle w:val="IndexLink"/>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3.</w:t>
            <w:tab/>
          </w:r>
          <w:r>
            <w:rPr>
              <w:sz w:val="18"/>
              <w:szCs w:val="18"/>
              <w:lang w:val="en-US" w:eastAsia="en-US"/>
            </w:rPr>
            <w:t>Completion</w:t>
            <w:tab/>
          </w:r>
          <w:hyperlink w:anchor="__RefHeading___Toc153622613">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tab/>
          </w:r>
          <w:r>
            <w:rPr>
              <w:sz w:val="18"/>
              <w:szCs w:val="18"/>
              <w:lang w:val="en-US" w:eastAsia="en-US"/>
            </w:rPr>
            <w:t>Consideration and payment</w:t>
            <w:tab/>
          </w:r>
          <w:hyperlink w:anchor="__RefHeading___Toc153622614">
            <w:r>
              <w:rPr>
                <w:rStyle w:val="IndexLink"/>
                <w:sz w:val="18"/>
                <w:szCs w:val="18"/>
                <w:lang w:val="en-US" w:eastAsia="en-US"/>
              </w:rPr>
              <w:t>2</w:t>
            </w:r>
          </w:hyperlink>
        </w:p>
        <w:p>
          <w:pPr>
            <w:pStyle w:val="TOC2"/>
            <w:rPr>
              <w:caps w:val="false"/>
              <w:smallCaps w:val="false"/>
              <w:sz w:val="18"/>
              <w:szCs w:val="18"/>
              <w:lang w:val="en-US" w:eastAsia="en-US"/>
            </w:rPr>
          </w:pPr>
          <w:r>
            <w:rPr>
              <w:sz w:val="18"/>
              <w:szCs w:val="18"/>
            </w:rPr>
            <w:t>4.1</w:t>
          </w:r>
          <w:r>
            <w:rPr>
              <w:caps w:val="false"/>
              <w:smallCaps w:val="false"/>
              <w:sz w:val="18"/>
              <w:szCs w:val="18"/>
              <w:lang w:val="en-US" w:eastAsia="en-US"/>
            </w:rPr>
            <w:tab/>
          </w:r>
          <w:r>
            <w:rPr>
              <w:sz w:val="18"/>
              <w:szCs w:val="18"/>
            </w:rPr>
            <w:t>Purchase Price</w:t>
            <w:tab/>
          </w:r>
          <w:hyperlink w:anchor="__RefHeading___Toc153622615">
            <w:r>
              <w:rPr>
                <w:rStyle w:val="IndexLink"/>
                <w:sz w:val="18"/>
                <w:szCs w:val="18"/>
              </w:rPr>
              <w:t>2</w:t>
            </w:r>
          </w:hyperlink>
        </w:p>
        <w:p>
          <w:pPr>
            <w:pStyle w:val="TOC2"/>
            <w:rPr>
              <w:caps w:val="false"/>
              <w:smallCaps w:val="false"/>
              <w:sz w:val="18"/>
              <w:szCs w:val="18"/>
              <w:lang w:val="en-US" w:eastAsia="en-US"/>
            </w:rPr>
          </w:pPr>
          <w:r>
            <w:rPr>
              <w:sz w:val="18"/>
              <w:szCs w:val="18"/>
            </w:rPr>
            <w:t>4.2</w:t>
          </w:r>
          <w:r>
            <w:rPr>
              <w:caps w:val="false"/>
              <w:smallCaps w:val="false"/>
              <w:sz w:val="18"/>
              <w:szCs w:val="18"/>
              <w:lang w:val="en-US" w:eastAsia="en-US"/>
            </w:rPr>
            <w:tab/>
          </w:r>
          <w:r>
            <w:rPr>
              <w:sz w:val="18"/>
              <w:szCs w:val="18"/>
            </w:rPr>
            <w:t>Apportionment</w:t>
            <w:tab/>
          </w:r>
          <w:hyperlink w:anchor="__RefHeading___Toc153622616">
            <w:r>
              <w:rPr>
                <w:rStyle w:val="IndexLink"/>
                <w:sz w:val="18"/>
                <w:szCs w:val="18"/>
              </w:rPr>
              <w:t>2</w:t>
            </w:r>
          </w:hyperlink>
        </w:p>
        <w:p>
          <w:pPr>
            <w:pStyle w:val="TOC2"/>
            <w:rPr>
              <w:caps w:val="false"/>
              <w:smallCaps w:val="false"/>
              <w:sz w:val="18"/>
              <w:szCs w:val="18"/>
              <w:lang w:val="en-US" w:eastAsia="en-US"/>
            </w:rPr>
          </w:pPr>
          <w:r>
            <w:rPr>
              <w:sz w:val="18"/>
              <w:szCs w:val="18"/>
            </w:rPr>
            <w:t>4.3</w:t>
          </w:r>
          <w:r>
            <w:rPr>
              <w:caps w:val="false"/>
              <w:smallCaps w:val="false"/>
              <w:sz w:val="18"/>
              <w:szCs w:val="18"/>
              <w:lang w:val="en-US" w:eastAsia="en-US"/>
            </w:rPr>
            <w:tab/>
          </w:r>
          <w:r>
            <w:rPr>
              <w:sz w:val="18"/>
              <w:szCs w:val="18"/>
            </w:rPr>
            <w:t>Payment</w:t>
            <w:tab/>
          </w:r>
          <w:hyperlink w:anchor="__RefHeading___Toc153622617">
            <w:r>
              <w:rPr>
                <w:rStyle w:val="IndexLink"/>
                <w:sz w:val="18"/>
                <w:szCs w:val="18"/>
              </w:rPr>
              <w:t>3</w:t>
            </w:r>
          </w:hyperlink>
        </w:p>
        <w:p>
          <w:pPr>
            <w:pStyle w:val="TOC1"/>
            <w:rPr>
              <w:caps w:val="false"/>
              <w:smallCaps w:val="false"/>
              <w:sz w:val="18"/>
              <w:szCs w:val="18"/>
              <w:lang w:val="en-US" w:eastAsia="en-US"/>
            </w:rPr>
          </w:pPr>
          <w:r>
            <w:rPr>
              <w:caps w:val="false"/>
              <w:smallCaps w:val="false"/>
              <w:sz w:val="18"/>
              <w:szCs w:val="18"/>
              <w:lang w:val="en-US" w:eastAsia="en-US"/>
            </w:rPr>
            <w:t>5.</w:t>
            <w:tab/>
          </w:r>
          <w:r>
            <w:rPr>
              <w:sz w:val="18"/>
              <w:szCs w:val="18"/>
              <w:lang w:val="en-US" w:eastAsia="en-US"/>
            </w:rPr>
            <w:t>Warranties</w:t>
            <w:tab/>
          </w:r>
          <w:hyperlink w:anchor="__RefHeading___Toc153622618">
            <w:r>
              <w:rPr>
                <w:rStyle w:val="IndexLink"/>
                <w:sz w:val="18"/>
                <w:szCs w:val="18"/>
                <w:lang w:val="en-US" w:eastAsia="en-US"/>
              </w:rPr>
              <w:t>3</w:t>
            </w:r>
          </w:hyperlink>
        </w:p>
        <w:p>
          <w:pPr>
            <w:pStyle w:val="TOC2"/>
            <w:rPr>
              <w:caps w:val="false"/>
              <w:smallCaps w:val="false"/>
              <w:sz w:val="18"/>
              <w:szCs w:val="18"/>
              <w:lang w:val="en-US" w:eastAsia="en-US"/>
            </w:rPr>
          </w:pPr>
          <w:r>
            <w:rPr>
              <w:sz w:val="18"/>
              <w:szCs w:val="18"/>
            </w:rPr>
            <w:t>5.1</w:t>
          </w:r>
          <w:r>
            <w:rPr>
              <w:caps w:val="false"/>
              <w:smallCaps w:val="false"/>
              <w:sz w:val="18"/>
              <w:szCs w:val="18"/>
              <w:lang w:val="en-US" w:eastAsia="en-US"/>
            </w:rPr>
            <w:tab/>
          </w:r>
          <w:r>
            <w:rPr>
              <w:sz w:val="18"/>
              <w:szCs w:val="18"/>
            </w:rPr>
            <w:t>Mutual Warranties</w:t>
            <w:tab/>
          </w:r>
          <w:hyperlink w:anchor="__RefHeading___Toc153622619">
            <w:r>
              <w:rPr>
                <w:rStyle w:val="IndexLink"/>
                <w:sz w:val="18"/>
                <w:szCs w:val="18"/>
              </w:rPr>
              <w:t>3</w:t>
            </w:r>
          </w:hyperlink>
        </w:p>
        <w:p>
          <w:pPr>
            <w:pStyle w:val="TOC2"/>
            <w:rPr>
              <w:caps w:val="false"/>
              <w:smallCaps w:val="false"/>
              <w:sz w:val="18"/>
              <w:szCs w:val="18"/>
              <w:lang w:val="en-US" w:eastAsia="en-US"/>
            </w:rPr>
          </w:pPr>
          <w:r>
            <w:rPr>
              <w:sz w:val="18"/>
              <w:szCs w:val="18"/>
            </w:rPr>
            <w:t>5.2</w:t>
          </w:r>
          <w:r>
            <w:rPr>
              <w:caps w:val="false"/>
              <w:smallCaps w:val="false"/>
              <w:sz w:val="18"/>
              <w:szCs w:val="18"/>
              <w:lang w:val="en-US" w:eastAsia="en-US"/>
            </w:rPr>
            <w:tab/>
          </w:r>
          <w:r>
            <w:rPr>
              <w:sz w:val="18"/>
              <w:szCs w:val="18"/>
            </w:rPr>
            <w:t>General</w:t>
            <w:tab/>
          </w:r>
          <w:hyperlink w:anchor="__RefHeading___Toc153622620">
            <w:r>
              <w:rPr>
                <w:rStyle w:val="IndexLink"/>
                <w:sz w:val="18"/>
                <w:szCs w:val="18"/>
              </w:rPr>
              <w:t>3</w:t>
            </w:r>
          </w:hyperlink>
        </w:p>
        <w:p>
          <w:pPr>
            <w:pStyle w:val="TOC1"/>
            <w:rPr>
              <w:caps w:val="false"/>
              <w:smallCaps w:val="false"/>
              <w:sz w:val="18"/>
              <w:szCs w:val="18"/>
              <w:lang w:val="en-US" w:eastAsia="en-US"/>
            </w:rPr>
          </w:pPr>
          <w:r>
            <w:rPr>
              <w:caps w:val="false"/>
              <w:smallCaps w:val="false"/>
              <w:sz w:val="18"/>
              <w:szCs w:val="18"/>
              <w:lang w:val="en-US" w:eastAsia="en-US"/>
            </w:rPr>
            <w:t>6.</w:t>
            <w:tab/>
          </w:r>
          <w:r>
            <w:rPr>
              <w:sz w:val="18"/>
              <w:szCs w:val="18"/>
              <w:lang w:val="en-US" w:eastAsia="en-US"/>
            </w:rPr>
            <w:t>Liability</w:t>
            <w:tab/>
          </w:r>
          <w:hyperlink w:anchor="__RefHeading___Toc153622621">
            <w:r>
              <w:rPr>
                <w:rStyle w:val="IndexLink"/>
                <w:sz w:val="18"/>
                <w:szCs w:val="18"/>
                <w:lang w:val="en-US" w:eastAsia="en-US"/>
              </w:rPr>
              <w:t>4</w:t>
            </w:r>
          </w:hyperlink>
        </w:p>
        <w:p>
          <w:pPr>
            <w:pStyle w:val="TOC1"/>
            <w:rPr>
              <w:caps w:val="false"/>
              <w:smallCaps w:val="false"/>
              <w:sz w:val="18"/>
              <w:szCs w:val="18"/>
              <w:lang w:val="en-US" w:eastAsia="en-US"/>
            </w:rPr>
          </w:pPr>
          <w:r>
            <w:rPr>
              <w:caps w:val="false"/>
              <w:smallCaps w:val="false"/>
              <w:sz w:val="18"/>
              <w:szCs w:val="18"/>
              <w:lang w:val="en-US" w:eastAsia="en-US"/>
            </w:rPr>
            <w:t>7.</w:t>
            <w:tab/>
          </w:r>
          <w:r>
            <w:rPr>
              <w:sz w:val="18"/>
              <w:szCs w:val="18"/>
              <w:lang w:val="en-US" w:eastAsia="en-US"/>
            </w:rPr>
            <w:t>Tax</w:t>
            <w:tab/>
          </w:r>
          <w:hyperlink w:anchor="__RefHeading___Toc153622622">
            <w:r>
              <w:rPr>
                <w:rStyle w:val="IndexLink"/>
                <w:sz w:val="18"/>
                <w:szCs w:val="18"/>
                <w:lang w:val="en-US" w:eastAsia="en-US"/>
              </w:rPr>
              <w:t>5</w:t>
            </w:r>
          </w:hyperlink>
        </w:p>
        <w:p>
          <w:pPr>
            <w:pStyle w:val="TOC1"/>
            <w:rPr>
              <w:caps w:val="false"/>
              <w:smallCaps w:val="false"/>
              <w:sz w:val="18"/>
              <w:szCs w:val="18"/>
              <w:lang w:val="en-US" w:eastAsia="en-US"/>
            </w:rPr>
          </w:pPr>
          <w:r>
            <w:rPr>
              <w:caps w:val="false"/>
              <w:smallCaps w:val="false"/>
              <w:sz w:val="18"/>
              <w:szCs w:val="18"/>
              <w:lang w:val="en-US" w:eastAsia="en-US"/>
            </w:rPr>
            <w:t>8.</w:t>
            <w:tab/>
          </w:r>
          <w:r>
            <w:rPr>
              <w:sz w:val="18"/>
              <w:szCs w:val="18"/>
              <w:lang w:val="en-US" w:eastAsia="en-US"/>
            </w:rPr>
            <w:t>Parent Company guarantee</w:t>
          </w:r>
          <w:r>
            <w:rPr>
              <w:sz w:val="18"/>
              <w:szCs w:val="18"/>
              <w:lang w:val="en-US" w:eastAsia="en-US"/>
            </w:rPr>
            <w:tab/>
          </w:r>
          <w:hyperlink w:anchor="__RefHeading___Toc153622623">
            <w:r>
              <w:rPr>
                <w:rStyle w:val="IndexLink"/>
                <w:sz w:val="18"/>
                <w:szCs w:val="18"/>
                <w:lang w:val="en-US" w:eastAsia="en-US"/>
              </w:rPr>
              <w:t>5</w:t>
            </w:r>
          </w:hyperlink>
        </w:p>
        <w:p>
          <w:pPr>
            <w:pStyle w:val="TOC1"/>
            <w:rPr>
              <w:caps w:val="false"/>
              <w:smallCaps w:val="false"/>
              <w:sz w:val="18"/>
              <w:szCs w:val="18"/>
              <w:lang w:val="en-US" w:eastAsia="en-US"/>
            </w:rPr>
          </w:pPr>
          <w:r>
            <w:rPr>
              <w:caps w:val="false"/>
              <w:smallCaps w:val="false"/>
              <w:sz w:val="18"/>
              <w:szCs w:val="18"/>
              <w:lang w:val="en-US" w:eastAsia="en-US"/>
            </w:rPr>
            <w:t>9.</w:t>
          </w:r>
          <w:r>
            <w:rPr>
              <w:caps w:val="false"/>
              <w:smallCaps w:val="false"/>
              <w:sz w:val="18"/>
              <w:szCs w:val="18"/>
              <w:lang w:val="en-US" w:eastAsia="en-US"/>
            </w:rPr>
            <w:tab/>
          </w:r>
          <w:r>
            <w:rPr>
              <w:sz w:val="18"/>
              <w:szCs w:val="18"/>
              <w:lang w:val="en-US" w:eastAsia="en-US"/>
            </w:rPr>
            <w:t>General</w:t>
          </w:r>
          <w:r>
            <w:rPr>
              <w:sz w:val="18"/>
              <w:szCs w:val="18"/>
              <w:lang w:val="en-US" w:eastAsia="en-US"/>
            </w:rPr>
            <w:tab/>
          </w:r>
          <w:hyperlink w:anchor="__RefHeading___Toc153622624">
            <w:r>
              <w:rPr>
                <w:rStyle w:val="IndexLink"/>
                <w:sz w:val="18"/>
                <w:szCs w:val="18"/>
                <w:lang w:val="en-US" w:eastAsia="en-US"/>
              </w:rPr>
              <w:t>5</w:t>
            </w:r>
          </w:hyperlink>
        </w:p>
        <w:p>
          <w:pPr>
            <w:pStyle w:val="TOC2"/>
            <w:rPr>
              <w:caps w:val="false"/>
              <w:smallCaps w:val="false"/>
              <w:sz w:val="18"/>
              <w:szCs w:val="18"/>
              <w:lang w:val="en-US" w:eastAsia="en-US"/>
            </w:rPr>
          </w:pPr>
          <w:r>
            <w:rPr>
              <w:sz w:val="18"/>
              <w:szCs w:val="18"/>
              <w:lang w:val="en-US" w:eastAsia="en-US"/>
            </w:rPr>
            <w:t>9.1</w:t>
          </w:r>
          <w:r>
            <w:rPr>
              <w:caps w:val="false"/>
              <w:smallCaps w:val="false"/>
              <w:sz w:val="18"/>
              <w:szCs w:val="18"/>
              <w:lang w:val="en-US" w:eastAsia="en-US"/>
            </w:rPr>
            <w:tab/>
          </w:r>
          <w:r>
            <w:rPr>
              <w:sz w:val="18"/>
              <w:szCs w:val="18"/>
              <w:lang w:val="en-US" w:eastAsia="en-US"/>
            </w:rPr>
            <w:t>Announcements</w:t>
          </w:r>
          <w:r>
            <w:rPr>
              <w:sz w:val="18"/>
              <w:szCs w:val="18"/>
            </w:rPr>
            <w:tab/>
          </w:r>
          <w:hyperlink w:anchor="__RefHeading___Toc153622625">
            <w:r>
              <w:rPr>
                <w:rStyle w:val="IndexLink"/>
                <w:sz w:val="18"/>
                <w:szCs w:val="18"/>
              </w:rPr>
              <w:t>5</w:t>
            </w:r>
          </w:hyperlink>
        </w:p>
        <w:p>
          <w:pPr>
            <w:pStyle w:val="TOC2"/>
            <w:rPr>
              <w:caps w:val="false"/>
              <w:smallCaps w:val="false"/>
              <w:sz w:val="18"/>
              <w:szCs w:val="18"/>
              <w:lang w:val="en-US" w:eastAsia="en-US"/>
            </w:rPr>
          </w:pPr>
          <w:r>
            <w:rPr>
              <w:sz w:val="18"/>
              <w:szCs w:val="18"/>
            </w:rPr>
            <w:t>9.2</w:t>
          </w:r>
          <w:r>
            <w:rPr>
              <w:caps w:val="false"/>
              <w:smallCaps w:val="false"/>
              <w:sz w:val="18"/>
              <w:szCs w:val="18"/>
              <w:lang w:val="en-US" w:eastAsia="en-US"/>
            </w:rPr>
            <w:tab/>
          </w:r>
          <w:r>
            <w:rPr>
              <w:sz w:val="18"/>
              <w:szCs w:val="18"/>
            </w:rPr>
            <w:t>No suspension (</w:t>
          </w:r>
          <w:r>
            <w:rPr>
              <w:i/>
              <w:iCs/>
              <w:sz w:val="18"/>
              <w:szCs w:val="18"/>
            </w:rPr>
            <w:t>opschorting</w:t>
          </w:r>
          <w:r>
            <w:rPr>
              <w:sz w:val="18"/>
              <w:szCs w:val="18"/>
            </w:rPr>
            <w:t>) or set off (</w:t>
          </w:r>
          <w:r>
            <w:rPr>
              <w:i/>
              <w:iCs/>
              <w:sz w:val="18"/>
              <w:szCs w:val="18"/>
            </w:rPr>
            <w:t>verrekening</w:t>
          </w:r>
          <w:r>
            <w:rPr>
              <w:sz w:val="18"/>
              <w:szCs w:val="18"/>
            </w:rPr>
            <w:t>)</w:t>
            <w:tab/>
          </w:r>
          <w:hyperlink w:anchor="__RefHeading___Toc153622626">
            <w:r>
              <w:rPr>
                <w:rStyle w:val="IndexLink"/>
                <w:sz w:val="18"/>
                <w:szCs w:val="18"/>
              </w:rPr>
              <w:t>5</w:t>
            </w:r>
          </w:hyperlink>
        </w:p>
        <w:p>
          <w:pPr>
            <w:pStyle w:val="TOC2"/>
            <w:rPr>
              <w:caps w:val="false"/>
              <w:smallCaps w:val="false"/>
              <w:sz w:val="18"/>
              <w:szCs w:val="18"/>
              <w:lang w:val="en-US" w:eastAsia="en-US"/>
            </w:rPr>
          </w:pPr>
          <w:r>
            <w:rPr>
              <w:sz w:val="18"/>
              <w:szCs w:val="18"/>
            </w:rPr>
            <w:t>9.3</w:t>
          </w:r>
          <w:r>
            <w:rPr>
              <w:caps w:val="false"/>
              <w:smallCaps w:val="false"/>
              <w:sz w:val="18"/>
              <w:szCs w:val="18"/>
              <w:lang w:val="en-US" w:eastAsia="en-US"/>
            </w:rPr>
            <w:tab/>
          </w:r>
          <w:r>
            <w:rPr>
              <w:sz w:val="18"/>
              <w:szCs w:val="18"/>
            </w:rPr>
            <w:t>Confidentiality</w:t>
            <w:tab/>
          </w:r>
          <w:hyperlink w:anchor="__RefHeading___Toc153622627">
            <w:r>
              <w:rPr>
                <w:rStyle w:val="IndexLink"/>
                <w:sz w:val="18"/>
                <w:szCs w:val="18"/>
              </w:rPr>
              <w:t>6</w:t>
            </w:r>
          </w:hyperlink>
        </w:p>
        <w:p>
          <w:pPr>
            <w:pStyle w:val="TOC2"/>
            <w:rPr>
              <w:caps w:val="false"/>
              <w:smallCaps w:val="false"/>
              <w:sz w:val="18"/>
              <w:szCs w:val="18"/>
              <w:lang w:val="en-US" w:eastAsia="en-US"/>
            </w:rPr>
          </w:pPr>
          <w:r>
            <w:rPr>
              <w:sz w:val="18"/>
              <w:szCs w:val="18"/>
            </w:rPr>
            <w:t>9.4</w:t>
          </w:r>
          <w:r>
            <w:rPr>
              <w:caps w:val="false"/>
              <w:smallCaps w:val="false"/>
              <w:sz w:val="18"/>
              <w:szCs w:val="18"/>
              <w:lang w:val="en-US" w:eastAsia="en-US"/>
            </w:rPr>
            <w:tab/>
          </w:r>
          <w:r>
            <w:rPr>
              <w:sz w:val="18"/>
              <w:szCs w:val="18"/>
            </w:rPr>
            <w:t>Assignment</w:t>
            <w:tab/>
          </w:r>
          <w:hyperlink w:anchor="__RefHeading___Toc153622628">
            <w:r>
              <w:rPr>
                <w:rStyle w:val="IndexLink"/>
                <w:sz w:val="18"/>
                <w:szCs w:val="18"/>
              </w:rPr>
              <w:t>7</w:t>
            </w:r>
          </w:hyperlink>
        </w:p>
        <w:p>
          <w:pPr>
            <w:pStyle w:val="TOC2"/>
            <w:rPr>
              <w:caps w:val="false"/>
              <w:smallCaps w:val="false"/>
              <w:sz w:val="18"/>
              <w:szCs w:val="18"/>
              <w:lang w:val="en-US" w:eastAsia="en-US"/>
            </w:rPr>
          </w:pPr>
          <w:r>
            <w:rPr>
              <w:sz w:val="18"/>
              <w:szCs w:val="18"/>
            </w:rPr>
            <w:t>9.5</w:t>
          </w:r>
          <w:r>
            <w:rPr>
              <w:caps w:val="false"/>
              <w:smallCaps w:val="false"/>
              <w:sz w:val="18"/>
              <w:szCs w:val="18"/>
              <w:lang w:val="en-US" w:eastAsia="en-US"/>
            </w:rPr>
            <w:tab/>
          </w:r>
          <w:r>
            <w:rPr>
              <w:sz w:val="18"/>
              <w:szCs w:val="18"/>
            </w:rPr>
            <w:t>Further Assurance</w:t>
            <w:tab/>
          </w:r>
          <w:hyperlink w:anchor="__RefHeading___Toc153622629">
            <w:r>
              <w:rPr>
                <w:rStyle w:val="IndexLink"/>
                <w:sz w:val="18"/>
                <w:szCs w:val="18"/>
              </w:rPr>
              <w:t>7</w:t>
            </w:r>
          </w:hyperlink>
        </w:p>
        <w:p>
          <w:pPr>
            <w:pStyle w:val="TOC2"/>
            <w:rPr>
              <w:caps w:val="false"/>
              <w:smallCaps w:val="false"/>
              <w:sz w:val="18"/>
              <w:szCs w:val="18"/>
              <w:lang w:val="en-US" w:eastAsia="en-US"/>
            </w:rPr>
          </w:pPr>
          <w:r>
            <w:rPr>
              <w:sz w:val="18"/>
              <w:szCs w:val="18"/>
            </w:rPr>
            <w:t>9.6</w:t>
          </w:r>
          <w:r>
            <w:rPr>
              <w:caps w:val="false"/>
              <w:smallCaps w:val="false"/>
              <w:sz w:val="18"/>
              <w:szCs w:val="18"/>
              <w:lang w:val="en-US" w:eastAsia="en-US"/>
            </w:rPr>
            <w:tab/>
          </w:r>
          <w:r>
            <w:rPr>
              <w:sz w:val="18"/>
              <w:szCs w:val="18"/>
            </w:rPr>
            <w:t>Entire Agreement</w:t>
            <w:tab/>
          </w:r>
          <w:hyperlink w:anchor="__RefHeading___Toc153622630">
            <w:r>
              <w:rPr>
                <w:rStyle w:val="IndexLink"/>
                <w:sz w:val="18"/>
                <w:szCs w:val="18"/>
              </w:rPr>
              <w:t>7</w:t>
            </w:r>
          </w:hyperlink>
        </w:p>
        <w:p>
          <w:pPr>
            <w:pStyle w:val="TOC2"/>
            <w:rPr>
              <w:caps w:val="false"/>
              <w:smallCaps w:val="false"/>
              <w:sz w:val="18"/>
              <w:szCs w:val="18"/>
              <w:lang w:val="en-US" w:eastAsia="en-US"/>
            </w:rPr>
          </w:pPr>
          <w:r>
            <w:rPr>
              <w:sz w:val="18"/>
              <w:szCs w:val="18"/>
            </w:rPr>
            <w:t>9.7</w:t>
          </w:r>
          <w:r>
            <w:rPr>
              <w:caps w:val="false"/>
              <w:smallCaps w:val="false"/>
              <w:sz w:val="18"/>
              <w:szCs w:val="18"/>
              <w:lang w:val="en-US" w:eastAsia="en-US"/>
            </w:rPr>
            <w:tab/>
          </w:r>
          <w:r>
            <w:rPr>
              <w:sz w:val="18"/>
              <w:szCs w:val="18"/>
            </w:rPr>
            <w:t>Costs</w:t>
            <w:tab/>
          </w:r>
          <w:hyperlink w:anchor="__RefHeading___Toc153622631">
            <w:r>
              <w:rPr>
                <w:rStyle w:val="IndexLink"/>
                <w:sz w:val="18"/>
                <w:szCs w:val="18"/>
              </w:rPr>
              <w:t>8</w:t>
            </w:r>
          </w:hyperlink>
        </w:p>
        <w:p>
          <w:pPr>
            <w:pStyle w:val="TOC2"/>
            <w:rPr>
              <w:caps w:val="false"/>
              <w:smallCaps w:val="false"/>
              <w:sz w:val="18"/>
              <w:szCs w:val="18"/>
              <w:lang w:val="en-US" w:eastAsia="en-US"/>
            </w:rPr>
          </w:pPr>
          <w:r>
            <w:rPr>
              <w:sz w:val="18"/>
              <w:szCs w:val="18"/>
            </w:rPr>
            <w:t>9.8</w:t>
          </w:r>
          <w:r>
            <w:rPr>
              <w:caps w:val="false"/>
              <w:smallCaps w:val="false"/>
              <w:sz w:val="18"/>
              <w:szCs w:val="18"/>
              <w:lang w:val="en-US" w:eastAsia="en-US"/>
            </w:rPr>
            <w:tab/>
          </w:r>
          <w:r>
            <w:rPr>
              <w:sz w:val="18"/>
              <w:szCs w:val="18"/>
            </w:rPr>
            <w:t>Conduct of claims</w:t>
            <w:tab/>
          </w:r>
          <w:hyperlink w:anchor="__RefHeading___Toc153622632">
            <w:r>
              <w:rPr>
                <w:rStyle w:val="IndexLink"/>
                <w:sz w:val="18"/>
                <w:szCs w:val="18"/>
              </w:rPr>
              <w:t>8</w:t>
            </w:r>
          </w:hyperlink>
        </w:p>
        <w:p>
          <w:pPr>
            <w:pStyle w:val="TOC2"/>
            <w:rPr>
              <w:caps w:val="false"/>
              <w:smallCaps w:val="false"/>
              <w:sz w:val="18"/>
              <w:szCs w:val="18"/>
              <w:lang w:val="en-US" w:eastAsia="en-US"/>
            </w:rPr>
          </w:pPr>
          <w:r>
            <w:rPr>
              <w:sz w:val="18"/>
              <w:szCs w:val="18"/>
            </w:rPr>
            <w:t>9.9</w:t>
          </w:r>
          <w:r>
            <w:rPr>
              <w:caps w:val="false"/>
              <w:smallCaps w:val="false"/>
              <w:sz w:val="18"/>
              <w:szCs w:val="18"/>
              <w:lang w:val="en-US" w:eastAsia="en-US"/>
            </w:rPr>
            <w:tab/>
          </w:r>
          <w:r>
            <w:rPr>
              <w:sz w:val="18"/>
              <w:szCs w:val="18"/>
            </w:rPr>
            <w:t>Notices</w:t>
            <w:tab/>
          </w:r>
          <w:hyperlink w:anchor="__RefHeading___Toc153622633">
            <w:r>
              <w:rPr>
                <w:rStyle w:val="IndexLink"/>
                <w:sz w:val="18"/>
                <w:szCs w:val="18"/>
              </w:rPr>
              <w:t>8</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9.10</w:t>
          </w:r>
          <w:r>
            <w:rPr>
              <w:caps w:val="false"/>
              <w:smallCaps w:val="false"/>
              <w:sz w:val="18"/>
              <w:szCs w:val="18"/>
              <w:lang w:val="en-US" w:eastAsia="en-US"/>
            </w:rPr>
            <w:tab/>
          </w:r>
          <w:r>
            <w:rPr>
              <w:sz w:val="18"/>
              <w:szCs w:val="18"/>
            </w:rPr>
            <w:t>Conflict with other Agreements</w:t>
            <w:tab/>
          </w:r>
          <w:hyperlink w:anchor="__RefHeading___Toc153622634">
            <w:r>
              <w:rPr>
                <w:rStyle w:val="IndexLink"/>
                <w:sz w:val="18"/>
                <w:szCs w:val="18"/>
              </w:rPr>
              <w:t>10</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9.11</w:t>
          </w:r>
          <w:r>
            <w:rPr>
              <w:caps w:val="false"/>
              <w:smallCaps w:val="false"/>
              <w:sz w:val="18"/>
              <w:szCs w:val="18"/>
              <w:lang w:val="en-US" w:eastAsia="en-US"/>
            </w:rPr>
            <w:tab/>
          </w:r>
          <w:r>
            <w:rPr>
              <w:sz w:val="18"/>
              <w:szCs w:val="18"/>
              <w:lang w:val="en-US" w:eastAsia="en-US"/>
            </w:rPr>
            <w:t>Survival</w:t>
          </w:r>
          <w:r>
            <w:rPr>
              <w:sz w:val="18"/>
              <w:szCs w:val="18"/>
            </w:rPr>
            <w:tab/>
          </w:r>
          <w:hyperlink w:anchor="__RefHeading___Toc153622635">
            <w:r>
              <w:rPr>
                <w:rStyle w:val="IndexLink"/>
                <w:sz w:val="18"/>
                <w:szCs w:val="18"/>
              </w:rPr>
              <w:t>10</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9.12</w:t>
          </w:r>
          <w:r>
            <w:rPr>
              <w:caps w:val="false"/>
              <w:smallCaps w:val="false"/>
              <w:sz w:val="18"/>
              <w:szCs w:val="18"/>
              <w:lang w:val="en-US" w:eastAsia="en-US"/>
            </w:rPr>
            <w:tab/>
          </w:r>
          <w:r>
            <w:rPr>
              <w:sz w:val="18"/>
              <w:szCs w:val="18"/>
            </w:rPr>
            <w:t>Variation</w:t>
            <w:tab/>
          </w:r>
          <w:hyperlink w:anchor="__RefHeading___Toc153622636">
            <w:r>
              <w:rPr>
                <w:rStyle w:val="IndexLink"/>
                <w:sz w:val="18"/>
                <w:szCs w:val="18"/>
              </w:rPr>
              <w:t>10</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9.13</w:t>
          </w:r>
          <w:r>
            <w:rPr>
              <w:caps w:val="false"/>
              <w:smallCaps w:val="false"/>
              <w:sz w:val="18"/>
              <w:szCs w:val="18"/>
              <w:lang w:val="en-US" w:eastAsia="en-US"/>
            </w:rPr>
            <w:tab/>
          </w:r>
          <w:r>
            <w:rPr>
              <w:sz w:val="18"/>
              <w:szCs w:val="18"/>
            </w:rPr>
            <w:t>Severability</w:t>
            <w:tab/>
          </w:r>
          <w:hyperlink w:anchor="__RefHeading___Toc153622637">
            <w:r>
              <w:rPr>
                <w:rStyle w:val="IndexLink"/>
                <w:sz w:val="18"/>
                <w:szCs w:val="18"/>
              </w:rPr>
              <w:t>11</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9.14</w:t>
          </w:r>
          <w:r>
            <w:rPr>
              <w:caps w:val="false"/>
              <w:smallCaps w:val="false"/>
              <w:sz w:val="18"/>
              <w:szCs w:val="18"/>
              <w:lang w:val="en-US" w:eastAsia="en-US"/>
            </w:rPr>
            <w:tab/>
          </w:r>
          <w:r>
            <w:rPr>
              <w:sz w:val="18"/>
              <w:szCs w:val="18"/>
            </w:rPr>
            <w:t>Governing Law, Jurisdiction and Service of Process</w:t>
            <w:tab/>
          </w:r>
          <w:hyperlink w:anchor="__RefHeading___Toc153622638">
            <w:r>
              <w:rPr>
                <w:rStyle w:val="IndexLink"/>
                <w:sz w:val="18"/>
                <w:szCs w:val="18"/>
              </w:rPr>
              <w:t>11</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9.15</w:t>
          </w:r>
          <w:r>
            <w:rPr>
              <w:caps w:val="false"/>
              <w:smallCaps w:val="false"/>
              <w:sz w:val="18"/>
              <w:szCs w:val="18"/>
              <w:lang w:val="en-US" w:eastAsia="en-US"/>
            </w:rPr>
            <w:tab/>
          </w:r>
          <w:r>
            <w:rPr>
              <w:sz w:val="18"/>
              <w:szCs w:val="18"/>
            </w:rPr>
            <w:t>English Language</w:t>
            <w:tab/>
          </w:r>
          <w:hyperlink w:anchor="__RefHeading___Toc153622639">
            <w:r>
              <w:rPr>
                <w:rStyle w:val="IndexLink"/>
                <w:sz w:val="18"/>
                <w:szCs w:val="18"/>
              </w:rPr>
              <w:t>12</w:t>
            </w:r>
          </w:hyperlink>
        </w:p>
        <w:p>
          <w:pPr>
            <w:pStyle w:val="TOC2"/>
            <w:tabs>
              <w:tab w:val="left" w:pos="357" w:leader="none"/>
              <w:tab w:val="left" w:pos="720" w:leader="none"/>
              <w:tab w:val="left" w:pos="1440" w:leader="none"/>
              <w:tab w:val="right" w:pos="8307" w:leader="dot"/>
            </w:tabs>
            <w:rPr>
              <w:caps w:val="false"/>
              <w:smallCaps w:val="false"/>
              <w:sz w:val="18"/>
              <w:szCs w:val="18"/>
              <w:lang w:val="en-US" w:eastAsia="en-US"/>
            </w:rPr>
          </w:pPr>
          <w:r>
            <w:rPr>
              <w:sz w:val="18"/>
              <w:szCs w:val="18"/>
            </w:rPr>
            <w:t>9.16</w:t>
          </w:r>
          <w:r>
            <w:rPr>
              <w:caps w:val="false"/>
              <w:smallCaps w:val="false"/>
              <w:sz w:val="18"/>
              <w:szCs w:val="18"/>
              <w:lang w:val="en-US" w:eastAsia="en-US"/>
            </w:rPr>
            <w:tab/>
          </w:r>
          <w:r>
            <w:rPr>
              <w:sz w:val="18"/>
              <w:szCs w:val="18"/>
            </w:rPr>
            <w:t>Counterparts</w:t>
            <w:tab/>
          </w:r>
          <w:hyperlink w:anchor="__RefHeading___Toc153622640">
            <w:r>
              <w:rPr>
                <w:rStyle w:val="IndexLink"/>
                <w:sz w:val="18"/>
                <w:szCs w:val="18"/>
              </w:rPr>
              <w:t>12</w:t>
            </w:r>
          </w:hyperlink>
        </w:p>
        <w:p>
          <w:pPr>
            <w:pStyle w:val="TOC1"/>
            <w:rPr>
              <w:caps w:val="false"/>
              <w:smallCaps w:val="false"/>
              <w:sz w:val="18"/>
              <w:szCs w:val="18"/>
              <w:lang w:val="en-US" w:eastAsia="en-US"/>
            </w:rPr>
          </w:pPr>
          <w:r>
            <w:rPr>
              <w:sz w:val="18"/>
              <w:szCs w:val="18"/>
              <w:lang w:val="en-US" w:eastAsia="en-US"/>
            </w:rPr>
            <w:t>SCHEDULE 1 - definitions and INTERPRETATION</w:t>
            <w:tab/>
          </w:r>
          <w:hyperlink w:anchor="__RefHeading___Toc153622641">
            <w:r>
              <w:rPr>
                <w:rStyle w:val="IndexLink"/>
                <w:sz w:val="18"/>
                <w:szCs w:val="18"/>
                <w:lang w:val="en-US" w:eastAsia="en-US"/>
              </w:rPr>
              <w:t>13</w:t>
            </w:r>
          </w:hyperlink>
        </w:p>
        <w:p>
          <w:pPr>
            <w:pStyle w:val="TOC1"/>
            <w:rPr>
              <w:caps w:val="false"/>
              <w:smallCaps w:val="false"/>
              <w:sz w:val="18"/>
              <w:szCs w:val="18"/>
              <w:lang w:val="en-US" w:eastAsia="en-US"/>
            </w:rPr>
          </w:pPr>
          <w:r>
            <w:rPr>
              <w:sz w:val="18"/>
              <w:szCs w:val="18"/>
              <w:lang w:val="en-US" w:eastAsia="en-US"/>
            </w:rPr>
            <w:t>SCHEDULE 2 - list of Transfer Assets</w:t>
            <w:tab/>
          </w:r>
          <w:hyperlink w:anchor="__RefHeading___Toc153622642">
            <w:r>
              <w:rPr>
                <w:rStyle w:val="IndexLink"/>
                <w:sz w:val="18"/>
                <w:szCs w:val="18"/>
                <w:lang w:val="en-US" w:eastAsia="en-US"/>
              </w:rPr>
              <w:t>17</w:t>
            </w:r>
          </w:hyperlink>
        </w:p>
        <w:p>
          <w:pPr>
            <w:pStyle w:val="TOC1"/>
            <w:rPr>
              <w:caps w:val="false"/>
              <w:smallCaps w:val="false"/>
              <w:sz w:val="18"/>
              <w:szCs w:val="18"/>
              <w:lang w:val="en-US" w:eastAsia="en-US"/>
            </w:rPr>
          </w:pPr>
          <w:r>
            <w:rPr>
              <w:sz w:val="18"/>
              <w:szCs w:val="18"/>
              <w:lang w:val="en-US" w:eastAsia="en-US"/>
            </w:rPr>
            <w:t>SCHEDULE 3 - Apportionment of purchase price</w:t>
            <w:tab/>
          </w:r>
          <w:hyperlink w:anchor="__RefHeading___Toc153622643">
            <w:r>
              <w:rPr>
                <w:rStyle w:val="IndexLink"/>
                <w:sz w:val="18"/>
                <w:szCs w:val="18"/>
                <w:lang w:val="en-US" w:eastAsia="en-US"/>
              </w:rPr>
              <w:t>18</w:t>
            </w:r>
          </w:hyperlink>
        </w:p>
        <w:p>
          <w:pPr>
            <w:pStyle w:val="TOC1"/>
            <w:rPr>
              <w:sz w:val="18"/>
              <w:szCs w:val="18"/>
              <w:lang w:val="nl-NL" w:eastAsia="en-US"/>
            </w:rPr>
          </w:pPr>
          <w:r>
            <w:rPr>
              <w:caps w:val="false"/>
              <w:smallCaps w:val="false"/>
              <w:sz w:val="18"/>
              <w:szCs w:val="18"/>
              <w:lang w:val="en-US" w:eastAsia="en-US"/>
            </w:rPr>
            <w:t>SCHEDULE 4 - FORM OF LATA</w:t>
            <w:tab/>
          </w:r>
          <w:hyperlink w:anchor="__RefHeading___Toc153622644">
            <w:r>
              <w:rPr>
                <w:rStyle w:val="IndexLink"/>
                <w:caps w:val="false"/>
                <w:smallCaps w:val="false"/>
                <w:sz w:val="18"/>
                <w:szCs w:val="18"/>
                <w:lang w:val="en-US" w:eastAsia="en-US"/>
              </w:rPr>
              <w:t>19</w:t>
            </w:r>
          </w:hyperlink>
          <w:r>
            <w:rPr>
              <w:rStyle w:val="IndexLink"/>
              <w:smallCaps w:val="false"/>
              <w:caps w:val="false"/>
              <w:sz w:val="18"/>
              <w:szCs w:val="18"/>
              <w:lang w:val="en-US" w:eastAsia="en-US"/>
            </w:rPr>
            <w:fldChar w:fldCharType="end"/>
          </w:r>
        </w:p>
      </w:sdtContent>
    </w:sdt>
    <w:p>
      <w:pPr>
        <w:pStyle w:val="FWNCont1"/>
        <w:jc w:val="center"/>
        <w:rPr>
          <w:b/>
          <w:caps/>
          <w:sz w:val="18"/>
          <w:szCs w:val="18"/>
          <w:lang w:val="nl-NL" w:eastAsia="en-US"/>
        </w:rPr>
      </w:pPr>
      <w:r>
        <w:rPr>
          <w:b/>
          <w:caps/>
          <w:sz w:val="18"/>
          <w:szCs w:val="18"/>
          <w:lang w:val="nl-NL" w:eastAsia="en-US"/>
        </w:rPr>
      </w:r>
    </w:p>
    <w:p>
      <w:pPr>
        <w:pStyle w:val="FWNCont1"/>
        <w:rPr>
          <w:b/>
          <w:sz w:val="18"/>
          <w:szCs w:val="18"/>
        </w:rPr>
      </w:pPr>
      <w:r>
        <w:rPr>
          <w:b/>
          <w:sz w:val="18"/>
          <w:szCs w:val="18"/>
        </w:rPr>
      </w:r>
    </w:p>
    <w:p>
      <w:pPr>
        <w:sectPr>
          <w:headerReference w:type="default" r:id="rId6"/>
          <w:headerReference w:type="first" r:id="rId7"/>
          <w:footerReference w:type="default" r:id="rId8"/>
          <w:footerReference w:type="first" r:id="rId9"/>
          <w:type w:val="nextPage"/>
          <w:pgSz w:w="11906" w:h="16838"/>
          <w:pgMar w:left="1800" w:right="1800" w:gutter="0" w:header="720" w:top="1440" w:footer="720" w:bottom="1800"/>
          <w:pgNumType w:start="1" w:fmt="lowerRoman"/>
          <w:formProt w:val="false"/>
          <w:titlePg/>
          <w:textDirection w:val="lrTb"/>
          <w:docGrid w:type="default" w:linePitch="326" w:charSpace="0"/>
        </w:sectPr>
        <w:pStyle w:val="FWNCont1"/>
        <w:rPr>
          <w:b/>
          <w:sz w:val="18"/>
          <w:szCs w:val="18"/>
        </w:rPr>
      </w:pPr>
      <w:r>
        <w:rPr>
          <w:b/>
          <w:sz w:val="18"/>
          <w:szCs w:val="18"/>
        </w:rPr>
      </w:r>
    </w:p>
    <w:p>
      <w:pPr>
        <w:pStyle w:val="FWNCont1"/>
        <w:rPr>
          <w:b/>
          <w:sz w:val="22"/>
          <w:szCs w:val="18"/>
        </w:rPr>
      </w:pPr>
      <w:r>
        <w:rPr>
          <w:b/>
          <w:sz w:val="22"/>
          <w:szCs w:val="18"/>
        </w:rPr>
      </w:r>
    </w:p>
    <w:p>
      <w:pPr>
        <w:pStyle w:val="FWNCont1"/>
        <w:rPr/>
      </w:pPr>
      <w:r>
        <w:rPr>
          <w:b/>
          <w:sz w:val="22"/>
        </w:rPr>
        <w:t xml:space="preserve">AN AGREEMENT </w:t>
      </w:r>
      <w:r>
        <w:rPr>
          <w:sz w:val="22"/>
        </w:rPr>
        <w:t>made on _____ 2006</w:t>
      </w:r>
    </w:p>
    <w:p>
      <w:pPr>
        <w:pStyle w:val="FWNCont1"/>
        <w:rPr>
          <w:sz w:val="22"/>
        </w:rPr>
      </w:pPr>
      <w:r>
        <w:rPr>
          <w:sz w:val="22"/>
        </w:rPr>
      </w:r>
    </w:p>
    <w:p>
      <w:pPr>
        <w:pStyle w:val="FWBCont1"/>
        <w:jc w:val="center"/>
        <w:rPr>
          <w:smallCaps/>
          <w:sz w:val="22"/>
        </w:rPr>
      </w:pPr>
      <w:r>
        <w:rPr>
          <w:b/>
          <w:bCs/>
          <w:smallCaps/>
          <w:sz w:val="22"/>
        </w:rPr>
        <w:t>Between</w:t>
      </w:r>
    </w:p>
    <w:p>
      <w:pPr>
        <w:pStyle w:val="FWParties"/>
        <w:numPr>
          <w:ilvl w:val="0"/>
          <w:numId w:val="8"/>
        </w:numPr>
        <w:ind w:hanging="0" w:start="0"/>
        <w:rPr>
          <w:sz w:val="22"/>
        </w:rPr>
      </w:pPr>
      <w:r>
        <w:rPr>
          <w:b/>
          <w:bCs/>
          <w:sz w:val="22"/>
        </w:rPr>
        <w:t xml:space="preserve">EUROBANK N.V., a company incorporated under the laws of the Netherlands under company number 99887766 whose registered office is at Keizersgracht 100, 1015 AA Rotterdam (EuroBank  Netherlands); </w:t>
      </w:r>
      <w:r>
        <w:rPr>
          <w:b/>
          <w:bCs/>
          <w:i/>
          <w:iCs/>
          <w:sz w:val="22"/>
        </w:rPr>
      </w:r>
      <w:r>
        <w:rPr>
          <w:b/>
          <w:bCs/>
          <w:sz w:val="22"/>
        </w:rPr>
      </w:r>
      <w:r>
        <w:rPr>
          <w:sz w:val="22"/>
        </w:rPr>
      </w:r>
      <w:r>
        <w:rPr>
          <w:b/>
          <w:bCs/>
          <w:i/>
          <w:iCs/>
          <w:sz w:val="22"/>
        </w:rPr>
      </w:r>
      <w:r>
        <w:rPr>
          <w:sz w:val="22"/>
        </w:rPr>
      </w:r>
      <w:r/>
    </w:p>
    <w:p>
      <w:pPr>
        <w:pStyle w:val="FWParties"/>
        <w:numPr>
          <w:ilvl w:val="0"/>
          <w:numId w:val="8"/>
        </w:numPr>
        <w:ind w:hanging="0" w:start="0"/>
        <w:rPr>
          <w:sz w:val="22"/>
        </w:rPr>
      </w:pPr>
      <w:r>
        <w:rPr>
          <w:b/>
          <w:bCs/>
          <w:sz w:val="22"/>
        </w:rPr>
        <w:t xml:space="preserve">EuroBank België N.V., a company incorporated under the laws of the Netherlands under company number [] whose registered office is at [] (EuroBank  Belgium) and </w:t>
      </w:r>
      <w:r>
        <w:rPr>
          <w:sz w:val="22"/>
        </w:rPr>
      </w:r>
      <w:r>
        <w:rPr>
          <w:b/>
          <w:bCs/>
          <w:i/>
          <w:iCs/>
          <w:sz w:val="22"/>
        </w:rPr>
      </w:r>
      <w:r>
        <w:rPr>
          <w:sz w:val="22"/>
        </w:rPr>
      </w:r>
    </w:p>
    <w:p>
      <w:pPr>
        <w:pStyle w:val="FWParties"/>
        <w:numPr>
          <w:ilvl w:val="0"/>
          <w:numId w:val="8"/>
        </w:numPr>
        <w:ind w:hanging="0" w:start="0"/>
        <w:rPr>
          <w:sz w:val="22"/>
        </w:rPr>
      </w:pPr>
      <w:r>
        <w:rPr>
          <w:b/>
          <w:bCs/>
          <w:sz w:val="22"/>
        </w:rPr>
        <w:t>TelCo Telecom B.V., a company incorporated under the laws of the Netherlands under company number [_____] whose registered office is at Maanplein 55, the Hague, the Netherlands (the PST Supplier).</w:t>
      </w:r>
      <w:r>
        <w:rPr>
          <w:sz w:val="22"/>
        </w:rPr>
      </w:r>
      <w:r>
        <w:rPr>
          <w:b/>
          <w:bCs/>
          <w:sz w:val="22"/>
        </w:rPr>
      </w:r>
      <w:r>
        <w:rPr>
          <w:sz w:val="22"/>
        </w:rPr>
      </w:r>
      <w:r>
        <w:rPr>
          <w:b/>
          <w:bCs/>
          <w:i/>
          <w:iCs/>
          <w:sz w:val="22"/>
        </w:rPr>
      </w:r>
      <w:r>
        <w:rPr>
          <w:sz w:val="22"/>
        </w:rPr>
      </w:r>
    </w:p>
    <w:p>
      <w:pPr>
        <w:pStyle w:val="FWBCont1"/>
        <w:jc w:val="center"/>
        <w:rPr>
          <w:smallCaps/>
          <w:sz w:val="28"/>
        </w:rPr>
      </w:pPr>
      <w:r>
        <w:rPr>
          <w:b/>
          <w:bCs/>
          <w:smallCaps/>
          <w:sz w:val="28"/>
        </w:rPr>
        <w:t>recitals</w:t>
      </w:r>
    </w:p>
    <w:p>
      <w:pPr>
        <w:pStyle w:val="FWRecital"/>
        <w:numPr>
          <w:ilvl w:val="0"/>
          <w:numId w:val="20"/>
        </w:numPr>
        <w:ind w:hanging="0" w:start="0"/>
        <w:rPr>
          <w:sz w:val="22"/>
        </w:rPr>
      </w:pPr>
      <w:r>
        <w:rPr>
          <w:sz w:val="22"/>
        </w:rPr>
        <w:t>EuroBank Netherlands and the PST Supplier have entered into the PST Supplier Master Services Agreement (the MSA) on the same date as this agreement under which the PST Supplier has agreed to provide the Services.</w:t>
      </w:r>
      <w:r>
        <w:rPr>
          <w:b/>
          <w:bCs/>
          <w:i/>
          <w:iCs/>
          <w:sz w:val="22"/>
        </w:rPr>
      </w:r>
      <w:r>
        <w:rPr>
          <w:sz w:val="22"/>
        </w:rPr>
      </w:r>
    </w:p>
    <w:p>
      <w:pPr>
        <w:pStyle w:val="FWRecital"/>
        <w:numPr>
          <w:ilvl w:val="0"/>
          <w:numId w:val="20"/>
        </w:numPr>
        <w:ind w:hanging="0" w:start="0"/>
        <w:rPr>
          <w:sz w:val="22"/>
        </w:rPr>
      </w:pPr>
      <w:r>
        <w:rPr>
          <w:sz w:val="22"/>
        </w:rPr>
        <w:t>In connection with the provision of the Services by the PST Supplier, EuroBank Netherlands and EuroBank Belgium (together, EuroBank) have agreed to sell or procure the sale of the Transfer Assets. The general terms and conditions of the transfer are set out in this agreement.</w:t>
      </w:r>
      <w:r>
        <w:rPr>
          <w:b/>
          <w:bCs/>
          <w:i/>
          <w:iCs/>
          <w:sz w:val="22"/>
        </w:rPr>
      </w:r>
      <w:r>
        <w:rPr>
          <w:sz w:val="22"/>
        </w:rPr>
      </w:r>
    </w:p>
    <w:p>
      <w:pPr>
        <w:pStyle w:val="FWRecital"/>
        <w:numPr>
          <w:ilvl w:val="0"/>
          <w:numId w:val="20"/>
        </w:numPr>
        <w:ind w:hanging="0" w:start="0"/>
        <w:rPr>
          <w:sz w:val="22"/>
        </w:rPr>
      </w:pPr>
      <w:r>
        <w:rPr>
          <w:sz w:val="22"/>
        </w:rPr>
        <w:t xml:space="preserve">This agreement is the Master Asset Transfer Agreement (the </w:t>
      </w:r>
      <w:r>
        <w:rPr>
          <w:b/>
          <w:bCs/>
          <w:i/>
          <w:iCs/>
          <w:sz w:val="22"/>
        </w:rPr>
        <w:t>MATA</w:t>
      </w:r>
      <w:r>
        <w:rPr>
          <w:sz w:val="22"/>
        </w:rPr>
        <w:t>) referred to in the MSA.</w:t>
      </w:r>
    </w:p>
    <w:p>
      <w:pPr>
        <w:pStyle w:val="FWBCont1"/>
        <w:rPr/>
      </w:pPr>
      <w:r>
        <w:rPr>
          <w:b/>
          <w:bCs/>
          <w:smallCaps/>
          <w:sz w:val="28"/>
        </w:rPr>
        <w:t>the parties agree</w:t>
      </w:r>
      <w:r>
        <w:rPr>
          <w:b/>
          <w:bCs/>
          <w:smallCaps/>
          <w:sz w:val="22"/>
        </w:rPr>
        <w:t xml:space="preserve"> </w:t>
      </w:r>
      <w:r>
        <w:rPr>
          <w:sz w:val="22"/>
        </w:rPr>
        <w:t>as follows:</w:t>
      </w:r>
    </w:p>
    <w:p>
      <w:pPr>
        <w:pStyle w:val="FWOutL1"/>
        <w:numPr>
          <w:ilvl w:val="0"/>
          <w:numId w:val="7"/>
        </w:numPr>
        <w:ind w:hanging="0" w:start="0"/>
        <w:rPr>
          <w:sz w:val="22"/>
        </w:rPr>
      </w:pPr>
      <w:bookmarkStart w:id="3" w:name="__RefHeading___Toc153622610"/>
      <w:bookmarkStart w:id="4" w:name="_Ref125362372"/>
      <w:bookmarkEnd w:id="3"/>
      <w:r>
        <w:rPr>
          <w:sz w:val="22"/>
        </w:rPr>
        <w:t>Interpretation</w:t>
      </w:r>
      <w:bookmarkEnd w:id="4"/>
    </w:p>
    <w:p>
      <w:pPr>
        <w:pStyle w:val="FWOutL2"/>
        <w:numPr>
          <w:ilvl w:val="1"/>
          <w:numId w:val="7"/>
        </w:numPr>
        <w:ind w:hanging="0" w:start="0"/>
        <w:rPr>
          <w:sz w:val="22"/>
        </w:rPr>
      </w:pPr>
      <w:bookmarkStart w:id="5" w:name="__RefHeading___Toc153622611"/>
      <w:bookmarkEnd w:id="5"/>
      <w:r>
        <w:rPr>
          <w:sz w:val="22"/>
        </w:rPr>
        <w:t>Definitions and interpretation</w:t>
      </w:r>
    </w:p>
    <w:p>
      <w:pPr>
        <w:pStyle w:val="FWOutL3"/>
        <w:numPr>
          <w:ilvl w:val="2"/>
          <w:numId w:val="7"/>
        </w:numPr>
        <w:ind w:hanging="0" w:start="0"/>
        <w:rPr>
          <w:sz w:val="22"/>
        </w:rPr>
      </w:pPr>
      <w:r>
        <w:rPr>
          <w:sz w:val="22"/>
        </w:rPr>
        <w:t>Schedule 1 (</w:t>
      </w:r>
      <w:r>
        <w:rPr>
          <w:i/>
          <w:iCs/>
          <w:sz w:val="22"/>
        </w:rPr>
        <w:t>Definitions and interpretation</w:t>
      </w:r>
      <w:r>
        <w:rPr>
          <w:sz w:val="22"/>
        </w:rPr>
        <w:t>) contains the defined terms used in and the principles of interpretation applicable to this MATA.</w:t>
      </w:r>
    </w:p>
    <w:p>
      <w:pPr>
        <w:pStyle w:val="FWOutL1"/>
        <w:numPr>
          <w:ilvl w:val="0"/>
          <w:numId w:val="7"/>
        </w:numPr>
        <w:ind w:hanging="0" w:start="0"/>
        <w:rPr>
          <w:sz w:val="22"/>
        </w:rPr>
      </w:pPr>
      <w:bookmarkStart w:id="6" w:name="__RefHeading___Toc153622612"/>
      <w:bookmarkEnd w:id="6"/>
      <w:r>
        <w:rPr>
          <w:sz w:val="22"/>
        </w:rPr>
        <w:t>Undertakings of EuroBank and PST Supplier</w:t>
      </w:r>
    </w:p>
    <w:p>
      <w:pPr>
        <w:pStyle w:val="FWOutL3"/>
        <w:numPr>
          <w:ilvl w:val="2"/>
          <w:numId w:val="7"/>
        </w:numPr>
        <w:ind w:hanging="0" w:start="0"/>
        <w:rPr>
          <w:sz w:val="22"/>
        </w:rPr>
      </w:pPr>
      <w:r>
        <w:rPr>
          <w:sz w:val="22"/>
        </w:rPr>
        <w:t>EuroBank Netherlands and EuroBank Belgium each undertakes that it shall transfer and shall procure that each relevant member of the EuroBank Group shall transfer the relevant Transfer Assets to the relevant PST Supplier Group members in accordance with the terms and conditions set out in this MATA.</w:t>
      </w:r>
    </w:p>
    <w:p>
      <w:pPr>
        <w:pStyle w:val="FWOutL3"/>
        <w:numPr>
          <w:ilvl w:val="2"/>
          <w:numId w:val="7"/>
        </w:numPr>
        <w:ind w:hanging="0" w:start="0"/>
        <w:rPr>
          <w:sz w:val="22"/>
        </w:rPr>
      </w:pPr>
      <w:r>
        <w:rPr>
          <w:sz w:val="22"/>
        </w:rPr>
        <w:t>The PST Supplier undertakes that it shall accept the transfer of and shall procure that each relevant member of the PST Supplier Group shall accept the transfer of the Transfer Assets from the relevant EuroBank Group members in accordance with the terms and conditions set out in this MATA.</w:t>
      </w:r>
    </w:p>
    <w:p>
      <w:pPr>
        <w:pStyle w:val="FWOutL1"/>
        <w:numPr>
          <w:ilvl w:val="0"/>
          <w:numId w:val="7"/>
        </w:numPr>
        <w:ind w:hanging="0" w:start="0"/>
        <w:rPr>
          <w:sz w:val="22"/>
        </w:rPr>
      </w:pPr>
      <w:bookmarkStart w:id="7" w:name="__RefHeading___Toc153622613"/>
      <w:bookmarkStart w:id="8" w:name="_Ref127067449"/>
      <w:bookmarkEnd w:id="7"/>
      <w:r>
        <w:rPr>
          <w:sz w:val="22"/>
        </w:rPr>
        <w:t>Completion</w:t>
      </w:r>
      <w:bookmarkEnd w:id="8"/>
    </w:p>
    <w:p>
      <w:pPr>
        <w:pStyle w:val="FWOutL3"/>
        <w:numPr>
          <w:ilvl w:val="2"/>
          <w:numId w:val="7"/>
        </w:numPr>
        <w:ind w:hanging="0" w:start="0"/>
        <w:rPr>
          <w:b/>
          <w:bCs/>
          <w:i/>
          <w:i/>
          <w:iCs/>
          <w:sz w:val="22"/>
          <w:lang w:val="en-US"/>
        </w:rPr>
      </w:pPr>
      <w:bookmarkStart w:id="9" w:name="_Ref2673790"/>
      <w:r>
        <w:rPr>
          <w:sz w:val="22"/>
        </w:rPr>
        <w:t>Completion of the transfer of the Transfer Assets shall take place with effect on the Commencement Date.</w:t>
      </w:r>
      <w:bookmarkEnd w:id="9"/>
      <w:r>
        <w:rPr>
          <w:sz w:val="22"/>
        </w:rPr>
        <w:t xml:space="preserve"> </w:t>
      </w:r>
    </w:p>
    <w:p>
      <w:pPr>
        <w:pStyle w:val="FWOutL3"/>
        <w:numPr>
          <w:ilvl w:val="2"/>
          <w:numId w:val="7"/>
        </w:numPr>
        <w:ind w:hanging="0" w:start="0"/>
        <w:rPr>
          <w:sz w:val="22"/>
        </w:rPr>
      </w:pPr>
      <w:r>
        <w:rPr>
          <w:sz w:val="22"/>
        </w:rPr>
        <w:t>Subject to and in accordance with the terms of this MATA, EuroBank Netherlands and EuroBank Belgium shall sell and transfer, or procure the sale and transfer by the relevant member(s) of the EuroBank Group of, and the PST Supplier shall purchase, or procure the purchase by the relevant member(s) of the PST Supplier Group of, the relevant Transfer Assets with effect from the Commencement Date.</w:t>
      </w:r>
    </w:p>
    <w:p>
      <w:pPr>
        <w:pStyle w:val="FWOutL3"/>
        <w:numPr>
          <w:ilvl w:val="2"/>
          <w:numId w:val="7"/>
        </w:numPr>
        <w:ind w:hanging="0" w:start="0"/>
        <w:rPr>
          <w:sz w:val="22"/>
        </w:rPr>
      </w:pPr>
      <w:r>
        <w:rPr>
          <w:sz w:val="22"/>
        </w:rPr>
        <w:t>Ownership and risk of the Transfer Assets shall pass to the relevant member(s) of the PST Supplier Group as follows:</w:t>
      </w:r>
    </w:p>
    <w:p>
      <w:pPr>
        <w:pStyle w:val="FWOutL4"/>
        <w:numPr>
          <w:ilvl w:val="3"/>
          <w:numId w:val="7"/>
        </w:numPr>
        <w:ind w:hanging="0" w:start="0"/>
        <w:rPr>
          <w:sz w:val="22"/>
        </w:rPr>
      </w:pPr>
      <w:r>
        <w:rPr>
          <w:sz w:val="22"/>
        </w:rPr>
        <w:t>Ownership and risk of the Transfer Assets (excluding the Belgian Assets) shall pass to the PST Supplier with effect from 00:00:01 on the Commencement Date; and</w:t>
      </w:r>
    </w:p>
    <w:p>
      <w:pPr>
        <w:pStyle w:val="FWOutL4"/>
        <w:numPr>
          <w:ilvl w:val="3"/>
          <w:numId w:val="7"/>
        </w:numPr>
        <w:ind w:hanging="0" w:start="0"/>
        <w:rPr>
          <w:sz w:val="22"/>
        </w:rPr>
      </w:pPr>
      <w:r>
        <w:rPr>
          <w:sz w:val="22"/>
        </w:rPr>
        <w:t>Ownership  and risk of the Belgian Assets shall be effected in Belgium on the Local Completion Date in accordance with the LATA</w:t>
      </w:r>
      <w:r>
        <w:rPr>
          <w:b/>
          <w:bCs/>
          <w:sz w:val="22"/>
        </w:rPr>
        <w:t xml:space="preserve">, </w:t>
      </w:r>
      <w:r>
        <w:rPr>
          <w:bCs/>
          <w:sz w:val="22"/>
        </w:rPr>
        <w:t>which shall be executed at the same date as this MATA and which shall be governed by the terms of this MATA.</w:t>
      </w:r>
    </w:p>
    <w:p>
      <w:pPr>
        <w:pStyle w:val="FWOutL3"/>
        <w:numPr>
          <w:ilvl w:val="2"/>
          <w:numId w:val="7"/>
        </w:numPr>
        <w:ind w:hanging="0" w:start="0"/>
        <w:rPr>
          <w:sz w:val="22"/>
        </w:rPr>
      </w:pPr>
      <w:r>
        <w:rPr>
          <w:sz w:val="22"/>
        </w:rPr>
        <w:t xml:space="preserve">EuroBank Netherlands and EuroBank Belgium shall deliver or procure delivery to the PST Supplier of (or make available to the PST Supplier’s reasonable satisfaction): </w:t>
      </w:r>
    </w:p>
    <w:p>
      <w:pPr>
        <w:pStyle w:val="FWOutL4"/>
        <w:numPr>
          <w:ilvl w:val="3"/>
          <w:numId w:val="7"/>
        </w:numPr>
        <w:ind w:hanging="0" w:start="0"/>
        <w:rPr>
          <w:sz w:val="22"/>
        </w:rPr>
      </w:pPr>
      <w:r>
        <w:rPr>
          <w:sz w:val="22"/>
        </w:rPr>
        <w:t>all necessary documents, duly executed where so required, to enable title in the relevant Transfer Assets to pass fully and effectively into the name(s) of the relevant member(s) of the PST Supplier Group and to complete the sale and purchase of such Transfer Assets; and</w:t>
      </w:r>
    </w:p>
    <w:p>
      <w:pPr>
        <w:pStyle w:val="FWOutL4"/>
        <w:numPr>
          <w:ilvl w:val="3"/>
          <w:numId w:val="7"/>
        </w:numPr>
        <w:ind w:hanging="0" w:start="0"/>
        <w:rPr>
          <w:sz w:val="22"/>
        </w:rPr>
      </w:pPr>
      <w:r>
        <w:rPr>
          <w:sz w:val="22"/>
        </w:rPr>
        <w:t>possession of the tangible Transfer Assets,</w:t>
      </w:r>
    </w:p>
    <w:p>
      <w:pPr>
        <w:pStyle w:val="FWOutL4"/>
        <w:numPr>
          <w:ilvl w:val="0"/>
          <w:numId w:val="0"/>
        </w:numPr>
        <w:ind w:hanging="0" w:start="0"/>
        <w:rPr>
          <w:sz w:val="22"/>
        </w:rPr>
      </w:pPr>
      <w:r>
        <w:rPr>
          <w:sz w:val="22"/>
        </w:rPr>
        <w:t>in accordance with the time schedule set forth in the Transition Plan or at such other time or date which may be agreed between the parties.</w:t>
      </w:r>
    </w:p>
    <w:p>
      <w:pPr>
        <w:pStyle w:val="FWOutL3"/>
        <w:numPr>
          <w:ilvl w:val="2"/>
          <w:numId w:val="7"/>
        </w:numPr>
        <w:ind w:hanging="0" w:start="0"/>
        <w:rPr>
          <w:sz w:val="22"/>
        </w:rPr>
      </w:pPr>
      <w:r>
        <w:rPr>
          <w:sz w:val="22"/>
        </w:rPr>
        <w:t>EuroBank Belgium and the PST Supplier shall execute and deliver (or procure that its relevant Affiliate(s) execute and deliver) a copy of the LATA to the other party on the date of this MATA.  Each party shall prove that its relevant Affiliate(s) performs its obligations under the LATA.</w:t>
      </w:r>
    </w:p>
    <w:p>
      <w:pPr>
        <w:pStyle w:val="FWOutL1"/>
        <w:numPr>
          <w:ilvl w:val="0"/>
          <w:numId w:val="7"/>
        </w:numPr>
        <w:ind w:hanging="0" w:start="0"/>
        <w:rPr>
          <w:sz w:val="22"/>
        </w:rPr>
      </w:pPr>
      <w:bookmarkStart w:id="10" w:name="__RefHeading___Toc153622614"/>
      <w:bookmarkStart w:id="11" w:name="_Ref18534902"/>
      <w:bookmarkStart w:id="12" w:name="_Ref8291237"/>
      <w:bookmarkStart w:id="13" w:name="_Ref8291219"/>
      <w:bookmarkStart w:id="14" w:name="_Ref5804542"/>
      <w:bookmarkStart w:id="15" w:name="_Ref2111771"/>
      <w:bookmarkStart w:id="16" w:name="_Ref2111690"/>
      <w:bookmarkStart w:id="17" w:name="_Ref536336995"/>
      <w:bookmarkStart w:id="18" w:name="_Ref532907969"/>
      <w:bookmarkStart w:id="19" w:name="_Ref532901396"/>
      <w:bookmarkEnd w:id="10"/>
      <w:r>
        <w:rPr>
          <w:sz w:val="22"/>
        </w:rPr>
        <w:t>Consideration</w:t>
      </w:r>
      <w:bookmarkEnd w:id="11"/>
      <w:bookmarkEnd w:id="12"/>
      <w:bookmarkEnd w:id="13"/>
      <w:bookmarkEnd w:id="14"/>
      <w:bookmarkEnd w:id="15"/>
      <w:bookmarkEnd w:id="16"/>
      <w:bookmarkEnd w:id="17"/>
      <w:bookmarkEnd w:id="18"/>
      <w:bookmarkEnd w:id="19"/>
      <w:r>
        <w:rPr>
          <w:sz w:val="22"/>
        </w:rPr>
        <w:t xml:space="preserve"> and payment</w:t>
      </w:r>
    </w:p>
    <w:p>
      <w:pPr>
        <w:pStyle w:val="FWOutL2"/>
        <w:numPr>
          <w:ilvl w:val="1"/>
          <w:numId w:val="7"/>
        </w:numPr>
        <w:ind w:hanging="0" w:start="0"/>
        <w:rPr>
          <w:sz w:val="22"/>
        </w:rPr>
      </w:pPr>
      <w:bookmarkStart w:id="20" w:name="__RefHeading___Toc153622615"/>
      <w:bookmarkStart w:id="21" w:name="_Ref125357113"/>
      <w:bookmarkStart w:id="22" w:name="_Ref125282004"/>
      <w:bookmarkEnd w:id="20"/>
      <w:r>
        <w:rPr>
          <w:sz w:val="22"/>
        </w:rPr>
        <w:t>Purchase Price</w:t>
      </w:r>
      <w:bookmarkEnd w:id="21"/>
      <w:bookmarkEnd w:id="22"/>
    </w:p>
    <w:p>
      <w:pPr>
        <w:pStyle w:val="FWOutL3"/>
        <w:numPr>
          <w:ilvl w:val="2"/>
          <w:numId w:val="7"/>
        </w:numPr>
        <w:ind w:hanging="0" w:start="0"/>
        <w:rPr>
          <w:sz w:val="22"/>
        </w:rPr>
      </w:pPr>
      <w:bookmarkStart w:id="23" w:name="_Ref2112901"/>
      <w:bookmarkStart w:id="24" w:name="_Ref532901307"/>
      <w:bookmarkEnd w:id="23"/>
      <w:bookmarkEnd w:id="24"/>
      <w:r>
        <w:rPr>
          <w:sz w:val="22"/>
        </w:rPr>
        <w:t xml:space="preserve">Subject to clause 7 the Purchase Price is set to book value including VAT with regard to the Dutch Transferred Assets” </w:t>
      </w:r>
    </w:p>
    <w:p>
      <w:pPr>
        <w:pStyle w:val="Normal"/>
        <w:rPr>
          <w:sz w:val="22"/>
        </w:rPr>
      </w:pPr>
      <w:r>
        <w:rPr>
          <w:sz w:val="22"/>
        </w:rPr>
      </w:r>
    </w:p>
    <w:p>
      <w:pPr>
        <w:pStyle w:val="FWOutL2"/>
        <w:numPr>
          <w:ilvl w:val="1"/>
          <w:numId w:val="7"/>
        </w:numPr>
        <w:ind w:hanging="0" w:start="0"/>
        <w:rPr>
          <w:sz w:val="22"/>
        </w:rPr>
      </w:pPr>
      <w:bookmarkStart w:id="25" w:name="_Ref2112901"/>
      <w:bookmarkStart w:id="26" w:name="_Ref532901307"/>
      <w:bookmarkStart w:id="27" w:name="__RefHeading___Toc153622616"/>
      <w:bookmarkStart w:id="28" w:name="_Ref125357057"/>
      <w:bookmarkEnd w:id="25"/>
      <w:bookmarkEnd w:id="26"/>
      <w:bookmarkEnd w:id="27"/>
      <w:r>
        <w:rPr>
          <w:sz w:val="22"/>
        </w:rPr>
        <w:t>Apportionment</w:t>
      </w:r>
      <w:bookmarkEnd w:id="28"/>
    </w:p>
    <w:p>
      <w:pPr>
        <w:pStyle w:val="FWOutL3"/>
        <w:numPr>
          <w:ilvl w:val="2"/>
          <w:numId w:val="7"/>
        </w:numPr>
        <w:ind w:hanging="0" w:start="0"/>
        <w:rPr>
          <w:sz w:val="22"/>
        </w:rPr>
      </w:pPr>
      <w:bookmarkStart w:id="29" w:name="_Ref44332019"/>
      <w:r>
        <w:rPr>
          <w:sz w:val="22"/>
        </w:rPr>
        <w:t>The PST Supplier, EuroBank Netherlands and EuroBank Belgium agree that the Purchase Price shall be apportioned as set out in Schedule 3.</w:t>
      </w:r>
      <w:bookmarkEnd w:id="29"/>
    </w:p>
    <w:p>
      <w:pPr>
        <w:pStyle w:val="FWOutL2"/>
        <w:numPr>
          <w:ilvl w:val="1"/>
          <w:numId w:val="7"/>
        </w:numPr>
        <w:ind w:hanging="0" w:start="0"/>
        <w:rPr>
          <w:sz w:val="22"/>
        </w:rPr>
      </w:pPr>
      <w:bookmarkStart w:id="30" w:name="__RefHeading___Toc153622617"/>
      <w:bookmarkEnd w:id="30"/>
      <w:r>
        <w:rPr>
          <w:sz w:val="22"/>
        </w:rPr>
        <w:t>Payment</w:t>
      </w:r>
    </w:p>
    <w:p>
      <w:pPr>
        <w:pStyle w:val="FWOutL3"/>
        <w:numPr>
          <w:ilvl w:val="2"/>
          <w:numId w:val="7"/>
        </w:numPr>
        <w:ind w:hanging="0" w:start="0"/>
        <w:rPr>
          <w:sz w:val="22"/>
        </w:rPr>
      </w:pPr>
      <w:bookmarkStart w:id="31" w:name="_Ref125263889"/>
      <w:r>
        <w:rPr>
          <w:sz w:val="22"/>
        </w:rPr>
        <w:t>The Purchase Price apportioned in accordance with clause 4.2.1 shall be paid by the PST Supplier to the bank account(s) (as notified in writing to the PST Supplier by EuroBank Netherlands) of the relevant member(s) of the EuroBank Group in immediately available funds by electronic transfer in euros on the Commencement Date.</w:t>
      </w:r>
      <w:r>
        <w:rPr>
          <w:sz w:val="22"/>
        </w:rPr>
      </w:r>
      <w:r>
        <w:rPr>
          <w:sz w:val="22"/>
        </w:rPr>
      </w:r>
      <w:r>
        <w:rPr>
          <w:sz w:val="22"/>
        </w:rPr>
      </w:r>
      <w:r>
        <w:rPr>
          <w:sz w:val="22"/>
        </w:rPr>
      </w:r>
      <w:r>
        <w:rPr>
          <w:sz w:val="22"/>
        </w:rPr>
      </w:r>
      <w:r>
        <w:rPr>
          <w:sz w:val="22"/>
        </w:rPr>
      </w:r>
      <w:bookmarkStart w:id="32" w:name="_Ref21156181"/>
      <w:bookmarkEnd w:id="31"/>
    </w:p>
    <w:p>
      <w:pPr>
        <w:pStyle w:val="FWOutL1"/>
        <w:numPr>
          <w:ilvl w:val="0"/>
          <w:numId w:val="7"/>
        </w:numPr>
        <w:ind w:hanging="0" w:start="0"/>
        <w:rPr>
          <w:sz w:val="22"/>
        </w:rPr>
      </w:pPr>
      <w:bookmarkStart w:id="33" w:name="__RefHeading___Toc153622618"/>
      <w:bookmarkStart w:id="34" w:name="_Ref123464467"/>
      <w:bookmarkStart w:id="35" w:name="_Ref2112994"/>
      <w:bookmarkStart w:id="36" w:name="_Ref532908068"/>
      <w:bookmarkEnd w:id="32"/>
      <w:bookmarkEnd w:id="33"/>
      <w:r>
        <w:rPr>
          <w:sz w:val="22"/>
        </w:rPr>
        <w:t>Warranties</w:t>
      </w:r>
      <w:bookmarkEnd w:id="34"/>
      <w:bookmarkEnd w:id="35"/>
      <w:bookmarkEnd w:id="36"/>
    </w:p>
    <w:p>
      <w:pPr>
        <w:pStyle w:val="FWOutL2"/>
        <w:numPr>
          <w:ilvl w:val="1"/>
          <w:numId w:val="7"/>
        </w:numPr>
        <w:ind w:hanging="0" w:start="0"/>
        <w:rPr>
          <w:sz w:val="22"/>
        </w:rPr>
      </w:pPr>
      <w:bookmarkStart w:id="37" w:name="__RefHeading___Toc153622619"/>
      <w:bookmarkStart w:id="38" w:name="_Ref123546393"/>
      <w:bookmarkEnd w:id="37"/>
      <w:r>
        <w:rPr>
          <w:sz w:val="22"/>
        </w:rPr>
        <w:t>Mutual Warranties</w:t>
      </w:r>
      <w:bookmarkEnd w:id="38"/>
    </w:p>
    <w:p>
      <w:pPr>
        <w:pStyle w:val="FWOutL3"/>
        <w:numPr>
          <w:ilvl w:val="2"/>
          <w:numId w:val="7"/>
        </w:numPr>
        <w:ind w:hanging="0" w:start="0"/>
        <w:rPr>
          <w:sz w:val="22"/>
        </w:rPr>
      </w:pPr>
      <w:bookmarkStart w:id="39" w:name="_Ref45540346"/>
      <w:r>
        <w:rPr>
          <w:sz w:val="22"/>
        </w:rPr>
        <w:t>Each party warrants (</w:t>
      </w:r>
      <w:r>
        <w:rPr>
          <w:i/>
          <w:iCs/>
          <w:sz w:val="22"/>
        </w:rPr>
        <w:t>garandeert</w:t>
      </w:r>
      <w:r>
        <w:rPr>
          <w:sz w:val="22"/>
        </w:rPr>
        <w:t>) to the other party as at the date of this MATA that:</w:t>
      </w:r>
      <w:bookmarkEnd w:id="39"/>
    </w:p>
    <w:p>
      <w:pPr>
        <w:pStyle w:val="FWOutL4"/>
        <w:numPr>
          <w:ilvl w:val="3"/>
          <w:numId w:val="7"/>
        </w:numPr>
        <w:ind w:hanging="0" w:start="0"/>
        <w:rPr>
          <w:sz w:val="22"/>
        </w:rPr>
      </w:pPr>
      <w:r>
        <w:rPr>
          <w:sz w:val="22"/>
        </w:rPr>
        <w:t>it and each of its Affiliates is validly incorporated and duly registered under Applicable Law and has power to conduct its business as conducted at the date of this MATA;</w:t>
      </w:r>
    </w:p>
    <w:p>
      <w:pPr>
        <w:pStyle w:val="FWOutL4"/>
        <w:numPr>
          <w:ilvl w:val="3"/>
          <w:numId w:val="7"/>
        </w:numPr>
        <w:ind w:hanging="0" w:start="0"/>
        <w:rPr>
          <w:sz w:val="22"/>
        </w:rPr>
      </w:pPr>
      <w:r>
        <w:rPr>
          <w:sz w:val="22"/>
        </w:rPr>
        <w:t>this MATA shall, when executed, constitute valid and binding obligations of that party and its relevant Affiliate(s) who are a party to such agreement;</w:t>
      </w:r>
    </w:p>
    <w:p>
      <w:pPr>
        <w:pStyle w:val="FWOutL4"/>
        <w:numPr>
          <w:ilvl w:val="3"/>
          <w:numId w:val="7"/>
        </w:numPr>
        <w:ind w:hanging="0" w:start="0"/>
        <w:rPr>
          <w:sz w:val="22"/>
        </w:rPr>
      </w:pPr>
      <w:r>
        <w:rPr>
          <w:sz w:val="22"/>
        </w:rPr>
        <w:t>the obligations in this MATA do not violate the terms of any agreement, undertaking, judgment or court order which binds it; and</w:t>
      </w:r>
    </w:p>
    <w:p>
      <w:pPr>
        <w:pStyle w:val="FWOutL4"/>
        <w:numPr>
          <w:ilvl w:val="3"/>
          <w:numId w:val="7"/>
        </w:numPr>
        <w:ind w:hanging="0" w:start="0"/>
        <w:rPr>
          <w:sz w:val="22"/>
        </w:rPr>
      </w:pPr>
      <w:bookmarkStart w:id="40" w:name="_Ref46941157"/>
      <w:bookmarkEnd w:id="40"/>
      <w:r>
        <w:rPr>
          <w:sz w:val="22"/>
        </w:rPr>
        <w:t>it and each of its relevant Affiliates have or will have (on or before the Commencement Date in the case of the relevant members of the EuroBank Group) the power, capacity and authority, and all necessary licences, permits and consents to enter into, and perform its obligations under this MATA.</w:t>
      </w:r>
    </w:p>
    <w:p>
      <w:pPr>
        <w:pStyle w:val="FWOutL2"/>
        <w:numPr>
          <w:ilvl w:val="1"/>
          <w:numId w:val="7"/>
        </w:numPr>
        <w:ind w:hanging="0" w:start="0"/>
        <w:rPr/>
      </w:pPr>
      <w:bookmarkStart w:id="41" w:name="__RefHeading___Toc153622620"/>
      <w:bookmarkEnd w:id="41"/>
      <w:r>
        <w:rPr/>
        <w:t>General</w:t>
      </w:r>
    </w:p>
    <w:p>
      <w:pPr>
        <w:pStyle w:val="FWOutL3"/>
        <w:numPr>
          <w:ilvl w:val="2"/>
          <w:numId w:val="7"/>
        </w:numPr>
        <w:ind w:hanging="0" w:start="0"/>
        <w:rPr>
          <w:sz w:val="22"/>
        </w:rPr>
      </w:pPr>
      <w:bookmarkStart w:id="42" w:name="_Ref46941157"/>
      <w:bookmarkEnd w:id="42"/>
      <w:r>
        <w:rPr>
          <w:sz w:val="22"/>
        </w:rPr>
        <w:t>Each party acknowledges and agrees (on behalf of itself and each member of its Group) that:</w:t>
      </w:r>
    </w:p>
    <w:p>
      <w:pPr>
        <w:pStyle w:val="FWOutL4"/>
        <w:numPr>
          <w:ilvl w:val="3"/>
          <w:numId w:val="7"/>
        </w:numPr>
        <w:ind w:hanging="0" w:start="0"/>
        <w:rPr>
          <w:sz w:val="22"/>
        </w:rPr>
      </w:pPr>
      <w:r>
        <w:rPr>
          <w:sz w:val="22"/>
        </w:rPr>
        <w:t>the Warranties are the only warranties of any kind given by or on behalf of the other party or any member of the other party’s Group on which it or any other member of its Group may rely in entering into this MATA;</w:t>
      </w:r>
    </w:p>
    <w:p>
      <w:pPr>
        <w:pStyle w:val="FWOutL4"/>
        <w:numPr>
          <w:ilvl w:val="3"/>
          <w:numId w:val="7"/>
        </w:numPr>
        <w:ind w:hanging="0" w:start="0"/>
        <w:rPr>
          <w:sz w:val="22"/>
        </w:rPr>
      </w:pPr>
      <w:r>
        <w:rPr>
          <w:sz w:val="22"/>
        </w:rPr>
        <w:t>any claim by it or any member of its Group in connection with the Warranties shall be subject to the provisions of this clause </w:t>
      </w:r>
      <w:r>
        <w:rPr>
          <w:sz w:val="22"/>
        </w:rPr>
        <w:fldChar w:fldCharType="begin"/>
      </w:r>
      <w:r>
        <w:rPr>
          <w:sz w:val="22"/>
        </w:rPr>
        <w:instrText xml:space="preserve"> REF _Ref123464467 \w \w \h </w:instrText>
      </w:r>
      <w:r>
        <w:rPr>
          <w:sz w:val="22"/>
        </w:rPr>
        <w:fldChar w:fldCharType="separate"/>
      </w:r>
      <w:r>
        <w:rPr>
          <w:sz w:val="22"/>
        </w:rPr>
        <w:t>5</w:t>
      </w:r>
      <w:r>
        <w:rPr>
          <w:sz w:val="22"/>
        </w:rPr>
        <w:fldChar w:fldCharType="end"/>
      </w:r>
      <w:r>
        <w:rPr>
          <w:sz w:val="22"/>
        </w:rPr>
        <w:t>;</w:t>
      </w:r>
    </w:p>
    <w:p>
      <w:pPr>
        <w:pStyle w:val="FWOutL4"/>
        <w:numPr>
          <w:ilvl w:val="3"/>
          <w:numId w:val="7"/>
        </w:numPr>
        <w:ind w:hanging="0" w:start="0"/>
        <w:rPr>
          <w:sz w:val="22"/>
        </w:rPr>
      </w:pPr>
      <w:r>
        <w:rPr>
          <w:sz w:val="22"/>
        </w:rPr>
        <w:t>at the time of entering into this MATA, it is not aware of any matter or thing which is likely to lead to any claim being made against the other party or any other member of the other party’s Group; and</w:t>
      </w:r>
    </w:p>
    <w:p>
      <w:pPr>
        <w:pStyle w:val="FWOutL4"/>
        <w:numPr>
          <w:ilvl w:val="3"/>
          <w:numId w:val="7"/>
        </w:numPr>
        <w:ind w:hanging="0" w:start="0"/>
        <w:rPr>
          <w:sz w:val="22"/>
        </w:rPr>
      </w:pPr>
      <w:r>
        <w:rPr>
          <w:sz w:val="22"/>
        </w:rPr>
        <w:t>no other statement, promise or forecast made by or on behalf of the other party or any other member of the other party’s Group may form the basis of, or be pleaded in connection with, any claim by it or any other member of its Group under or in connection with this MATA.</w:t>
      </w:r>
    </w:p>
    <w:p>
      <w:pPr>
        <w:pStyle w:val="FWOutL3"/>
        <w:numPr>
          <w:ilvl w:val="2"/>
          <w:numId w:val="7"/>
        </w:numPr>
        <w:ind w:hanging="0" w:start="0"/>
        <w:rPr>
          <w:sz w:val="22"/>
        </w:rPr>
      </w:pPr>
      <w:r>
        <w:rPr>
          <w:sz w:val="22"/>
        </w:rPr>
        <w:t>The PST Supplier acknowledges and agrees that:</w:t>
      </w:r>
    </w:p>
    <w:p>
      <w:pPr>
        <w:pStyle w:val="FWOutL4"/>
        <w:numPr>
          <w:ilvl w:val="3"/>
          <w:numId w:val="7"/>
        </w:numPr>
        <w:ind w:hanging="0" w:start="0"/>
        <w:rPr>
          <w:sz w:val="22"/>
        </w:rPr>
      </w:pPr>
      <w:r>
        <w:rPr>
          <w:sz w:val="22"/>
        </w:rPr>
        <w:t>each of the Transfer Assets shall be transferred on the Commencement Date in their respective “as is” condition and neither EuroBank Netherlands and EuroBank Belgium nor any other member of the EuroBank Group gives any warranty or representation, express or implied, as to the adequacy, condition, quality or fitness for purpose of any of the Transfer Assets. Article 7:17 of the Dutch Civil Code is excluded. The PST Supplier, on behalf of itself and each member of the PST Supplier Group, hereby confirms its acceptance of the Transfer Assets in their “as-is” condition on the Commencement Date; and</w:t>
      </w:r>
    </w:p>
    <w:p>
      <w:pPr>
        <w:pStyle w:val="FWOutL4"/>
        <w:numPr>
          <w:ilvl w:val="3"/>
          <w:numId w:val="7"/>
        </w:numPr>
        <w:ind w:hanging="0" w:start="0"/>
        <w:rPr>
          <w:sz w:val="22"/>
        </w:rPr>
      </w:pPr>
      <w:r>
        <w:rPr>
          <w:sz w:val="22"/>
        </w:rPr>
        <w:t>neither EuroBank Netherlands and EuroBank Belgium nor any other member of the EuroBank Group shall have any liability for any deficiencies or defects of whatever nature in the Transfer Assets on or after the relevant Commencement Date</w:t>
      </w:r>
    </w:p>
    <w:p>
      <w:pPr>
        <w:pStyle w:val="FWOutL4"/>
        <w:numPr>
          <w:ilvl w:val="3"/>
          <w:numId w:val="7"/>
        </w:numPr>
        <w:ind w:hanging="0" w:start="0"/>
        <w:rPr>
          <w:sz w:val="22"/>
        </w:rPr>
      </w:pPr>
      <w:r>
        <w:rPr>
          <w:sz w:val="22"/>
        </w:rPr>
        <w:t>the list containing the Transfer Assets contains only those items having any book value on Commencement Date; items not having a book value that are necessary performing the Services  have not been listed but do form part of the Transfer Assets;</w:t>
      </w:r>
    </w:p>
    <w:p>
      <w:pPr>
        <w:pStyle w:val="FWOutL4"/>
        <w:numPr>
          <w:ilvl w:val="3"/>
          <w:numId w:val="7"/>
        </w:numPr>
        <w:ind w:hanging="0" w:start="0"/>
        <w:rPr>
          <w:sz w:val="22"/>
        </w:rPr>
      </w:pPr>
      <w:r>
        <w:rPr>
          <w:sz w:val="22"/>
        </w:rPr>
        <w:t>TelCo has conducted a physical  random sample check in order to ascertain the validity of the list and has not found any deficiencies;</w:t>
      </w:r>
    </w:p>
    <w:p>
      <w:pPr>
        <w:pStyle w:val="FWOutL4"/>
        <w:numPr>
          <w:ilvl w:val="0"/>
          <w:numId w:val="0"/>
        </w:numPr>
        <w:ind w:hanging="0" w:start="0"/>
        <w:rPr>
          <w:sz w:val="22"/>
        </w:rPr>
      </w:pPr>
      <w:r>
        <w:rPr>
          <w:sz w:val="22"/>
        </w:rPr>
        <w:t>Any changes to the list will be handled through the Change Contract procedure.</w:t>
      </w:r>
    </w:p>
    <w:p>
      <w:pPr>
        <w:pStyle w:val="FWOutL4"/>
        <w:numPr>
          <w:ilvl w:val="0"/>
          <w:numId w:val="0"/>
        </w:numPr>
        <w:ind w:hanging="0" w:start="0"/>
        <w:rPr/>
      </w:pPr>
      <w:r>
        <w:rPr>
          <w:sz w:val="22"/>
        </w:rPr>
        <w:t>If, after Commencement Date parties establish that there is a variance of more than 5% in the listed Transfer Assets they will negotiate in goof faith to get to an agreement on adjusting the list. If parties do not get to an agreement, they will address the 2IM to solve the issue.</w:t>
      </w:r>
    </w:p>
    <w:p>
      <w:pPr>
        <w:pStyle w:val="FWOutL3"/>
        <w:numPr>
          <w:ilvl w:val="2"/>
          <w:numId w:val="7"/>
        </w:numPr>
        <w:ind w:hanging="0" w:start="0"/>
        <w:rPr>
          <w:sz w:val="22"/>
        </w:rPr>
      </w:pPr>
      <w:bookmarkStart w:id="43" w:name="_Ref2112172"/>
      <w:bookmarkStart w:id="44" w:name="_Ref2112158"/>
      <w:bookmarkStart w:id="45" w:name="_Ref532911169"/>
      <w:bookmarkStart w:id="46" w:name="_Ref532911158"/>
      <w:bookmarkStart w:id="47" w:name="_Ref532907925"/>
      <w:bookmarkEnd w:id="43"/>
      <w:bookmarkEnd w:id="44"/>
      <w:bookmarkEnd w:id="45"/>
      <w:bookmarkEnd w:id="46"/>
      <w:bookmarkEnd w:id="47"/>
      <w:r>
        <w:rPr>
          <w:sz w:val="22"/>
        </w:rPr>
        <w:t>Each party shall promptly notify the other party of all details of any actual or threatened event or occurrence, which could materially affect the notifying party’s ability to perform any of its obligations under this MATA.</w:t>
      </w:r>
    </w:p>
    <w:p>
      <w:pPr>
        <w:pStyle w:val="FWOutL1"/>
        <w:numPr>
          <w:ilvl w:val="0"/>
          <w:numId w:val="7"/>
        </w:numPr>
        <w:ind w:hanging="0" w:start="0"/>
        <w:rPr>
          <w:sz w:val="22"/>
        </w:rPr>
      </w:pPr>
      <w:bookmarkStart w:id="48" w:name="__RefHeading___Toc153622621"/>
      <w:bookmarkStart w:id="49" w:name="_Ref128395711"/>
      <w:bookmarkEnd w:id="48"/>
      <w:r>
        <w:rPr>
          <w:sz w:val="22"/>
        </w:rPr>
        <w:t>Liability</w:t>
      </w:r>
      <w:bookmarkStart w:id="50" w:name="_Ref123546597"/>
      <w:bookmarkStart w:id="51" w:name="_Ref2676372"/>
      <w:bookmarkEnd w:id="49"/>
    </w:p>
    <w:p>
      <w:pPr>
        <w:pStyle w:val="FWOutL3"/>
        <w:numPr>
          <w:ilvl w:val="2"/>
          <w:numId w:val="7"/>
        </w:numPr>
        <w:ind w:hanging="0" w:start="0"/>
        <w:rPr>
          <w:b/>
          <w:bCs/>
          <w:sz w:val="22"/>
        </w:rPr>
      </w:pPr>
      <w:r>
        <w:rPr>
          <w:sz w:val="22"/>
        </w:rPr>
        <w:t>Neither party shall be liable under this MATA unless the other party receives written notice containing details of the claim including the other party’s estimate (on a without prejudice basis) of the amount of such claim</w:t>
      </w:r>
      <w:bookmarkEnd w:id="51"/>
      <w:r>
        <w:rPr>
          <w:sz w:val="22"/>
        </w:rPr>
        <w:t xml:space="preserve"> within 3 months of the Commencement Date.</w:t>
      </w:r>
      <w:bookmarkEnd w:id="50"/>
    </w:p>
    <w:p>
      <w:pPr>
        <w:pStyle w:val="FWOutL3"/>
        <w:numPr>
          <w:ilvl w:val="2"/>
          <w:numId w:val="7"/>
        </w:numPr>
        <w:ind w:hanging="0" w:start="0"/>
        <w:rPr>
          <w:sz w:val="22"/>
        </w:rPr>
      </w:pPr>
      <w:r>
        <w:rPr>
          <w:sz w:val="22"/>
        </w:rPr>
        <w:t>The aggregate amount of the liability of each party’s Group under in connection with this MATA shall not exceed € 6,000,000.00.</w:t>
      </w:r>
    </w:p>
    <w:p>
      <w:pPr>
        <w:pStyle w:val="FWOutL3"/>
        <w:numPr>
          <w:ilvl w:val="2"/>
          <w:numId w:val="7"/>
        </w:numPr>
        <w:ind w:hanging="0" w:start="0"/>
        <w:rPr>
          <w:b/>
          <w:bCs/>
          <w:i/>
          <w:i/>
          <w:iCs/>
          <w:sz w:val="22"/>
        </w:rPr>
      </w:pPr>
      <w:r>
        <w:rPr>
          <w:sz w:val="22"/>
        </w:rPr>
        <w:t>No member of the EuroBank Group shall be liable under this MATA unless the breach giving rise to such claim materially affects the ability of the PST Supplier to provide the Services in accordance with the terms of the MSA.</w:t>
      </w:r>
    </w:p>
    <w:p>
      <w:pPr>
        <w:pStyle w:val="FWOutL3"/>
        <w:numPr>
          <w:ilvl w:val="2"/>
          <w:numId w:val="7"/>
        </w:numPr>
        <w:ind w:hanging="0" w:start="0"/>
        <w:rPr>
          <w:b/>
          <w:bCs/>
          <w:sz w:val="22"/>
        </w:rPr>
      </w:pPr>
      <w:r>
        <w:rPr>
          <w:sz w:val="22"/>
        </w:rPr>
        <w:t>Neither party nor any member of its Group shall be liable under this MATA for any special, consequential, incidental, aggravated, or economic loss of the other party or any member of the other party’s Group or for any lost profits, revenues, business or anticipated savings, however arising.</w:t>
      </w:r>
    </w:p>
    <w:p>
      <w:pPr>
        <w:pStyle w:val="FWOutL3"/>
        <w:numPr>
          <w:ilvl w:val="2"/>
          <w:numId w:val="7"/>
        </w:numPr>
        <w:ind w:hanging="0" w:start="0"/>
        <w:rPr>
          <w:sz w:val="22"/>
        </w:rPr>
      </w:pPr>
      <w:r>
        <w:rPr>
          <w:sz w:val="22"/>
        </w:rPr>
        <w:t>The sole remedy of the PST Supplier or any member(s) of the PST Supplier Group for any breach of any of the Warranties or any other breach of this MATA by EuroBank  Netherlands and EuroBank Belgium or any other member(s) of the EuroBank Group shall be, after exhaustion of the Escalation Procedure described in Exhibit 6 (Governance) to the MSA, an action for damages. The PST Supplier and the members of the PST Supplier Group waive the right to dissolve (ontbinden) this MATA or a LATA and they agree that articles 6:262-6:272 Dutch Civil Code are excluded</w:t>
      </w:r>
      <w:r>
        <w:rPr>
          <w:i/>
          <w:iCs/>
          <w:sz w:val="22"/>
        </w:rPr>
      </w:r>
      <w:r>
        <w:rPr>
          <w:sz w:val="22"/>
        </w:rPr>
      </w:r>
      <w:r>
        <w:rPr>
          <w:i/>
          <w:iCs/>
          <w:sz w:val="22"/>
        </w:rPr>
      </w:r>
      <w:r>
        <w:rPr>
          <w:sz w:val="22"/>
        </w:rPr>
      </w:r>
    </w:p>
    <w:p>
      <w:pPr>
        <w:pStyle w:val="FWOutL3"/>
        <w:numPr>
          <w:ilvl w:val="2"/>
          <w:numId w:val="7"/>
        </w:numPr>
        <w:ind w:hanging="0" w:start="0"/>
        <w:rPr>
          <w:sz w:val="22"/>
        </w:rPr>
      </w:pPr>
      <w:r>
        <w:rPr>
          <w:sz w:val="22"/>
        </w:rPr>
        <w:t>Neither party shall be liable for any claim under any Warranty if and to the extent that a member of the other party’s Group was aware at the date of this MATA or at Commencement Date of the facts, matters, events or circumstances which are the subject matter of the claim.</w:t>
      </w:r>
    </w:p>
    <w:p>
      <w:pPr>
        <w:pStyle w:val="FWOutL1"/>
        <w:numPr>
          <w:ilvl w:val="0"/>
          <w:numId w:val="7"/>
        </w:numPr>
        <w:ind w:hanging="0" w:start="0"/>
        <w:rPr>
          <w:sz w:val="22"/>
        </w:rPr>
      </w:pPr>
      <w:bookmarkStart w:id="52" w:name="_Ref2112172"/>
      <w:bookmarkStart w:id="53" w:name="_Ref2112158"/>
      <w:bookmarkStart w:id="54" w:name="_Ref532911169"/>
      <w:bookmarkStart w:id="55" w:name="_Ref532911158"/>
      <w:bookmarkStart w:id="56" w:name="_Ref532907925"/>
      <w:bookmarkStart w:id="57" w:name="__RefHeading___Toc153622622"/>
      <w:bookmarkStart w:id="58" w:name="_Ref125362396"/>
      <w:bookmarkStart w:id="59" w:name="_Ref2119832"/>
      <w:bookmarkEnd w:id="52"/>
      <w:bookmarkEnd w:id="53"/>
      <w:bookmarkEnd w:id="54"/>
      <w:bookmarkEnd w:id="55"/>
      <w:bookmarkEnd w:id="56"/>
      <w:bookmarkEnd w:id="57"/>
      <w:r>
        <w:rPr>
          <w:sz w:val="22"/>
        </w:rPr>
        <w:t>Tax</w:t>
      </w:r>
      <w:bookmarkEnd w:id="58"/>
      <w:bookmarkEnd w:id="59"/>
    </w:p>
    <w:p>
      <w:pPr>
        <w:pStyle w:val="FWOutL3"/>
        <w:numPr>
          <w:ilvl w:val="0"/>
          <w:numId w:val="0"/>
        </w:numPr>
        <w:ind w:hanging="0" w:start="0"/>
        <w:rPr>
          <w:b/>
          <w:bCs/>
          <w:i/>
          <w:i/>
          <w:iCs/>
          <w:sz w:val="22"/>
        </w:rPr>
      </w:pPr>
      <w:r>
        <w:rPr>
          <w:sz w:val="22"/>
        </w:rPr>
        <w:t>EuroBank and the PST Supplier assume that the transfer of the Transfer Assets falls under the scope of article 31 of the Dutch VAT act (Wet op de omzetbelasting 1968), so that the transfer will not be subject to 19% Dutch VAT. On basis of this assumption, the Purchase Price will be set at book value. In case the tax authorities would argue that the aforementioned article 31 of the Dutch VAT act does not apply, parties will cooperate to recalculate the price of  the Transfer Assets, which  will then be set at book value minus any Dutch VAT amount related to the Transfer Assets that EuroBank will receive from the Dutch tax authorities.</w:t>
        <w:br/>
      </w:r>
      <w:bookmarkStart w:id="60" w:name="_Ref532904423"/>
    </w:p>
    <w:p>
      <w:pPr>
        <w:pStyle w:val="FWOutL1"/>
        <w:numPr>
          <w:ilvl w:val="0"/>
          <w:numId w:val="7"/>
        </w:numPr>
        <w:ind w:hanging="0" w:start="0"/>
        <w:rPr>
          <w:sz w:val="22"/>
        </w:rPr>
      </w:pPr>
      <w:bookmarkStart w:id="61" w:name="__RefHeading___Toc153622623"/>
      <w:bookmarkStart w:id="62" w:name="_Ref125367348"/>
      <w:bookmarkStart w:id="63" w:name="_Ref2119846"/>
      <w:bookmarkEnd w:id="60"/>
      <w:bookmarkEnd w:id="61"/>
      <w:r>
        <w:rPr>
          <w:sz w:val="22"/>
          <w:lang w:val="en-US"/>
        </w:rPr>
        <w:t>Parent Company guarantee</w:t>
      </w:r>
      <w:bookmarkEnd w:id="62"/>
    </w:p>
    <w:p>
      <w:pPr>
        <w:pStyle w:val="FWOutL3"/>
        <w:numPr>
          <w:ilvl w:val="0"/>
          <w:numId w:val="0"/>
        </w:numPr>
        <w:ind w:hanging="0" w:start="0"/>
        <w:rPr/>
      </w:pPr>
      <w:r>
        <w:rPr>
          <w:sz w:val="22"/>
        </w:rPr>
        <w:t>The PST Supplier will  supply EuroBank Netherlands with a signed parent company guarantee as detailed in the MSA by the Guarantor in the form set out in Exhibit 27 (Parent Company Guarantee) to the MSA. The PST Supplier warrants (garandeert) that the Guarantor shall comply with its obligations set out in the Guarantee.</w:t>
      </w:r>
      <w:r>
        <w:rPr>
          <w:i/>
          <w:iCs/>
          <w:sz w:val="22"/>
        </w:rPr>
      </w:r>
      <w:r>
        <w:rPr>
          <w:sz w:val="22"/>
        </w:rPr>
      </w:r>
      <w:r>
        <w:rPr>
          <w:i/>
          <w:iCs/>
          <w:sz w:val="22"/>
        </w:rPr>
      </w:r>
      <w:r>
        <w:rPr>
          <w:sz w:val="22"/>
        </w:rPr>
      </w:r>
    </w:p>
    <w:p>
      <w:pPr>
        <w:pStyle w:val="FWOutL1"/>
        <w:numPr>
          <w:ilvl w:val="0"/>
          <w:numId w:val="7"/>
        </w:numPr>
        <w:ind w:hanging="0" w:start="0"/>
        <w:rPr>
          <w:sz w:val="22"/>
          <w:lang w:val="en-US"/>
        </w:rPr>
      </w:pPr>
      <w:bookmarkStart w:id="64" w:name="__RefHeading___Toc153622624"/>
      <w:bookmarkEnd w:id="64"/>
      <w:r>
        <w:rPr>
          <w:sz w:val="22"/>
          <w:lang w:val="en-US"/>
        </w:rPr>
        <w:t>General</w:t>
      </w:r>
    </w:p>
    <w:p>
      <w:pPr>
        <w:pStyle w:val="FWOutL2"/>
        <w:numPr>
          <w:ilvl w:val="1"/>
          <w:numId w:val="7"/>
        </w:numPr>
        <w:ind w:hanging="0" w:start="0"/>
        <w:rPr>
          <w:sz w:val="22"/>
          <w:lang w:val="en-US"/>
        </w:rPr>
      </w:pPr>
      <w:bookmarkStart w:id="65" w:name="_Ref2119846"/>
      <w:bookmarkStart w:id="66" w:name="__RefHeading___Toc153622625"/>
      <w:bookmarkStart w:id="67" w:name="_Ref125362417"/>
      <w:bookmarkEnd w:id="66"/>
      <w:r>
        <w:rPr>
          <w:sz w:val="22"/>
          <w:lang w:val="en-US"/>
        </w:rPr>
        <w:t>Announcements</w:t>
      </w:r>
      <w:bookmarkEnd w:id="65"/>
      <w:bookmarkEnd w:id="67"/>
    </w:p>
    <w:p>
      <w:pPr>
        <w:pStyle w:val="FWOutL3"/>
        <w:numPr>
          <w:ilvl w:val="2"/>
          <w:numId w:val="7"/>
        </w:numPr>
        <w:ind w:hanging="0" w:start="0"/>
        <w:rPr>
          <w:sz w:val="22"/>
        </w:rPr>
      </w:pPr>
      <w:bookmarkStart w:id="68" w:name="_Ref110877220"/>
      <w:r>
        <w:rPr>
          <w:sz w:val="22"/>
        </w:rPr>
        <w:t>Neither party shall disclose the fact or subject matter of this MATA or any other Transaction Document, unless it first obtains the other party's written consent</w:t>
      </w:r>
      <w:bookmarkEnd w:id="68"/>
      <w:r>
        <w:rPr>
          <w:sz w:val="22"/>
        </w:rPr>
        <w:t xml:space="preserve"> and each party shall procure that none of its Affiliates shall make such disclosure without first having obtained the other party's written consent. </w:t>
      </w:r>
    </w:p>
    <w:p>
      <w:pPr>
        <w:pStyle w:val="FWOutL3"/>
        <w:numPr>
          <w:ilvl w:val="2"/>
          <w:numId w:val="7"/>
        </w:numPr>
        <w:ind w:hanging="0" w:start="0"/>
        <w:rPr>
          <w:sz w:val="22"/>
        </w:rPr>
      </w:pPr>
      <w:r>
        <w:rPr>
          <w:sz w:val="22"/>
        </w:rPr>
        <w:t xml:space="preserve">Clause </w:t>
      </w:r>
      <w:r>
        <w:rPr>
          <w:sz w:val="22"/>
        </w:rPr>
        <w:fldChar w:fldCharType="begin"/>
      </w:r>
      <w:r>
        <w:rPr>
          <w:sz w:val="22"/>
        </w:rPr>
        <w:instrText xml:space="preserve"> REF _Ref110877220 \w \w \h </w:instrText>
      </w:r>
      <w:r>
        <w:rPr>
          <w:sz w:val="22"/>
        </w:rPr>
        <w:fldChar w:fldCharType="separate"/>
      </w:r>
      <w:r>
        <w:rPr>
          <w:sz w:val="22"/>
        </w:rPr>
        <w:t>9.1.1</w:t>
      </w:r>
      <w:r>
        <w:rPr>
          <w:sz w:val="22"/>
        </w:rPr>
        <w:fldChar w:fldCharType="end"/>
      </w:r>
      <w:r>
        <w:rPr>
          <w:sz w:val="22"/>
        </w:rPr>
        <w:t xml:space="preserve"> does not apply to a public announcement, which is required to be made by Applicable Law or the rules of a relevant stock exchange.</w:t>
      </w:r>
    </w:p>
    <w:p>
      <w:pPr>
        <w:pStyle w:val="FWOutL2"/>
        <w:numPr>
          <w:ilvl w:val="1"/>
          <w:numId w:val="7"/>
        </w:numPr>
        <w:ind w:hanging="0" w:start="0"/>
        <w:rPr>
          <w:sz w:val="22"/>
        </w:rPr>
      </w:pPr>
      <w:bookmarkStart w:id="69" w:name="__RefHeading___Toc153622626"/>
      <w:bookmarkStart w:id="70" w:name="_Ref38268743"/>
      <w:bookmarkStart w:id="71" w:name="_Ref2119857"/>
      <w:bookmarkStart w:id="72" w:name="_Ref2113014"/>
      <w:bookmarkStart w:id="73" w:name="_Ref2112595"/>
      <w:bookmarkStart w:id="74" w:name="_Ref9111"/>
      <w:bookmarkStart w:id="75" w:name="_Ref532904377"/>
      <w:bookmarkStart w:id="76" w:name="_Ref532904332"/>
      <w:bookmarkStart w:id="77" w:name="_Ref532904317"/>
      <w:bookmarkStart w:id="78" w:name="_Ref532904297"/>
      <w:bookmarkStart w:id="79" w:name="_Ref532904161"/>
      <w:bookmarkStart w:id="80" w:name="_Ref532903949"/>
      <w:bookmarkEnd w:id="69"/>
      <w:r>
        <w:rPr>
          <w:sz w:val="22"/>
        </w:rPr>
        <w:t>No suspension (</w:t>
      </w:r>
      <w:r>
        <w:rPr>
          <w:i/>
          <w:iCs/>
          <w:sz w:val="22"/>
        </w:rPr>
        <w:t>opschorting</w:t>
      </w:r>
      <w:r>
        <w:rPr>
          <w:sz w:val="22"/>
        </w:rPr>
        <w:t>) or set off (</w:t>
      </w:r>
      <w:r>
        <w:rPr>
          <w:i/>
          <w:iCs/>
          <w:sz w:val="22"/>
        </w:rPr>
        <w:t>verrekening</w:t>
      </w:r>
      <w:r>
        <w:rPr>
          <w:sz w:val="22"/>
        </w:rPr>
        <w:t>)</w:t>
      </w:r>
    </w:p>
    <w:p>
      <w:pPr>
        <w:pStyle w:val="FWOutL3"/>
        <w:numPr>
          <w:ilvl w:val="2"/>
          <w:numId w:val="7"/>
        </w:numPr>
        <w:ind w:hanging="0" w:start="0"/>
        <w:rPr>
          <w:sz w:val="22"/>
        </w:rPr>
      </w:pPr>
      <w:r>
        <w:rPr>
          <w:sz w:val="22"/>
        </w:rPr>
        <w:t>The PST Supplier shall not be permitted to suspend (</w:t>
      </w:r>
      <w:r>
        <w:rPr>
          <w:i/>
          <w:iCs/>
          <w:sz w:val="22"/>
        </w:rPr>
        <w:t>opschorten</w:t>
      </w:r>
      <w:r>
        <w:rPr>
          <w:sz w:val="22"/>
        </w:rPr>
        <w:t>) performance of any of its obligations under this MATA and/or the other Transaction Documents. Articles 6:52 and 6:262 of the Dutch Civil Code are excluded.</w:t>
      </w:r>
    </w:p>
    <w:p>
      <w:pPr>
        <w:pStyle w:val="FWOutL3"/>
        <w:numPr>
          <w:ilvl w:val="2"/>
          <w:numId w:val="7"/>
        </w:numPr>
        <w:ind w:hanging="0" w:start="0"/>
        <w:rPr>
          <w:sz w:val="22"/>
        </w:rPr>
      </w:pPr>
      <w:r>
        <w:rPr>
          <w:sz w:val="22"/>
        </w:rPr>
        <w:t>The PST Supplier shall not be permitted to set off (verrekenen) any amounts payable by EuroBank to the PST Supplier under MATA, the other Transaction Documents or any other agreement against any amounts payable by the PST Supplier to EuroBank under this MATA and/or the other Transaction Documents or any other agreement. Article 6:127 of the Dutch Civil Code is excluded.</w:t>
      </w:r>
      <w:r>
        <w:rPr>
          <w:i/>
          <w:iCs/>
          <w:sz w:val="22"/>
        </w:rPr>
      </w:r>
      <w:r>
        <w:rPr>
          <w:sz w:val="22"/>
        </w:rPr>
      </w:r>
    </w:p>
    <w:p>
      <w:pPr>
        <w:pStyle w:val="FWOutL2"/>
        <w:numPr>
          <w:ilvl w:val="1"/>
          <w:numId w:val="7"/>
        </w:numPr>
        <w:ind w:hanging="0" w:start="0"/>
        <w:rPr>
          <w:sz w:val="22"/>
        </w:rPr>
      </w:pPr>
      <w:bookmarkStart w:id="81" w:name="_Ref38268743"/>
      <w:bookmarkStart w:id="82" w:name="_Ref2119857"/>
      <w:bookmarkStart w:id="83" w:name="_Ref2113014"/>
      <w:bookmarkStart w:id="84" w:name="_Ref2112595"/>
      <w:bookmarkStart w:id="85" w:name="__RefHeading___Toc153622627"/>
      <w:bookmarkStart w:id="86" w:name="_Ref125362469"/>
      <w:r>
        <w:rPr>
          <w:sz w:val="22"/>
        </w:rPr>
        <w:t>Confidentiality</w:t>
      </w:r>
      <w:bookmarkEnd w:id="81"/>
      <w:bookmarkEnd w:id="82"/>
      <w:bookmarkEnd w:id="83"/>
      <w:bookmarkEnd w:id="84"/>
      <w:bookmarkEnd w:id="85"/>
      <w:bookmarkEnd w:id="86"/>
      <w:r>
        <w:rPr>
          <w:sz w:val="22"/>
        </w:rPr>
        <w:t xml:space="preserve"> </w:t>
      </w:r>
      <w:bookmarkEnd w:id="74"/>
      <w:bookmarkEnd w:id="75"/>
      <w:bookmarkEnd w:id="76"/>
      <w:bookmarkEnd w:id="77"/>
      <w:bookmarkEnd w:id="78"/>
      <w:bookmarkEnd w:id="79"/>
      <w:bookmarkEnd w:id="80"/>
    </w:p>
    <w:p>
      <w:pPr>
        <w:pStyle w:val="FWOutL3"/>
        <w:numPr>
          <w:ilvl w:val="2"/>
          <w:numId w:val="7"/>
        </w:numPr>
        <w:ind w:hanging="0" w:start="0"/>
        <w:rPr>
          <w:sz w:val="22"/>
        </w:rPr>
      </w:pPr>
      <w:bookmarkStart w:id="87" w:name="_Ref119846254"/>
      <w:r>
        <w:rPr>
          <w:sz w:val="22"/>
        </w:rPr>
        <w:t>Each party shall:</w:t>
      </w:r>
      <w:bookmarkEnd w:id="87"/>
    </w:p>
    <w:p>
      <w:pPr>
        <w:pStyle w:val="FWOutL4"/>
        <w:numPr>
          <w:ilvl w:val="3"/>
          <w:numId w:val="7"/>
        </w:numPr>
        <w:ind w:hanging="0" w:start="0"/>
        <w:rPr>
          <w:sz w:val="22"/>
        </w:rPr>
      </w:pPr>
      <w:bookmarkStart w:id="88" w:name="_Ref126567274"/>
      <w:r>
        <w:rPr>
          <w:sz w:val="22"/>
        </w:rPr>
        <w:t xml:space="preserve">keep secret and confidential, and procure that its officers, employees, representatives, Affiliates, (collectively, the </w:t>
      </w:r>
      <w:r>
        <w:rPr>
          <w:b/>
          <w:bCs/>
          <w:i/>
          <w:iCs/>
          <w:sz w:val="22"/>
        </w:rPr>
        <w:t>Representatives</w:t>
      </w:r>
      <w:r>
        <w:rPr>
          <w:sz w:val="22"/>
        </w:rPr>
        <w:t>) keep secret and confidential, all Confidential Information of the other party and its Affiliates;</w:t>
      </w:r>
      <w:bookmarkEnd w:id="88"/>
    </w:p>
    <w:p>
      <w:pPr>
        <w:pStyle w:val="FWOutL4"/>
        <w:numPr>
          <w:ilvl w:val="3"/>
          <w:numId w:val="7"/>
        </w:numPr>
        <w:ind w:hanging="0" w:start="0"/>
        <w:rPr>
          <w:sz w:val="22"/>
        </w:rPr>
      </w:pPr>
      <w:r>
        <w:rPr>
          <w:sz w:val="22"/>
        </w:rPr>
        <w:t>use the same degree of care in relation to the Confidential Information of the other party and its Affiliates as it normally uses to avoid unauthorised disclosure of its own confidential information;</w:t>
      </w:r>
    </w:p>
    <w:p>
      <w:pPr>
        <w:pStyle w:val="FWOutL4"/>
        <w:numPr>
          <w:ilvl w:val="3"/>
          <w:numId w:val="7"/>
        </w:numPr>
        <w:ind w:hanging="0" w:start="0"/>
        <w:rPr>
          <w:sz w:val="22"/>
        </w:rPr>
      </w:pPr>
      <w:r>
        <w:rPr>
          <w:sz w:val="22"/>
        </w:rPr>
        <w:t>use, and procure that its Representatives use the Confidential Information of the other party and its Affiliates only in the performance of the party’s obligations or the exercise of it rights under this MATA;</w:t>
      </w:r>
    </w:p>
    <w:p>
      <w:pPr>
        <w:pStyle w:val="FWOutL4"/>
        <w:numPr>
          <w:ilvl w:val="3"/>
          <w:numId w:val="7"/>
        </w:numPr>
        <w:ind w:hanging="0" w:start="0"/>
        <w:rPr>
          <w:sz w:val="22"/>
        </w:rPr>
      </w:pPr>
      <w:r>
        <w:rPr>
          <w:sz w:val="22"/>
        </w:rPr>
        <w:t>only disclose to its Representatives, Confidential Information of the other party and its Affiliates that is reasonably required for the performance of the party’s obligations or the exercise of its rights under this MATA, inform them of the confidential nature of the Confidential Information, and obtain written confidentiality undertakings from them consistent with this clause;</w:t>
      </w:r>
    </w:p>
    <w:p>
      <w:pPr>
        <w:pStyle w:val="FWOutL4"/>
        <w:numPr>
          <w:ilvl w:val="3"/>
          <w:numId w:val="7"/>
        </w:numPr>
        <w:ind w:hanging="0" w:start="0"/>
        <w:rPr>
          <w:sz w:val="22"/>
        </w:rPr>
      </w:pPr>
      <w:r>
        <w:rPr>
          <w:sz w:val="22"/>
        </w:rPr>
        <w:t>promptly notify the other of any suspected or actual unauthorised disclosure of the Confidential Information of the other party and its Affiliates, and take all reasonable steps to prevent, limit or remedy the disclosure; and</w:t>
      </w:r>
    </w:p>
    <w:p>
      <w:pPr>
        <w:pStyle w:val="FWOutL4"/>
        <w:numPr>
          <w:ilvl w:val="3"/>
          <w:numId w:val="7"/>
        </w:numPr>
        <w:ind w:hanging="0" w:start="0"/>
        <w:rPr>
          <w:sz w:val="22"/>
        </w:rPr>
      </w:pPr>
      <w:r>
        <w:rPr>
          <w:sz w:val="22"/>
        </w:rPr>
        <w:t>indemnify the other party and its Affiliates on demand against all loss or damage arising from any breach of this clause.</w:t>
      </w:r>
    </w:p>
    <w:p>
      <w:pPr>
        <w:pStyle w:val="FWOutL3"/>
        <w:numPr>
          <w:ilvl w:val="2"/>
          <w:numId w:val="7"/>
        </w:numPr>
        <w:ind w:hanging="0" w:start="0"/>
        <w:rPr>
          <w:sz w:val="22"/>
        </w:rPr>
      </w:pPr>
      <w:r>
        <w:rPr>
          <w:sz w:val="22"/>
        </w:rPr>
        <w:t xml:space="preserve">The obligations in this clause </w:t>
      </w:r>
      <w:r>
        <w:rPr>
          <w:sz w:val="22"/>
        </w:rPr>
        <w:fldChar w:fldCharType="begin"/>
      </w:r>
      <w:r>
        <w:rPr>
          <w:sz w:val="22"/>
        </w:rPr>
        <w:instrText xml:space="preserve"> REF _Ref125362469 \w \w \h </w:instrText>
      </w:r>
      <w:r>
        <w:rPr>
          <w:sz w:val="22"/>
        </w:rPr>
        <w:fldChar w:fldCharType="separate"/>
      </w:r>
      <w:r>
        <w:rPr>
          <w:sz w:val="22"/>
        </w:rPr>
        <w:t>9.3</w:t>
      </w:r>
      <w:r>
        <w:rPr>
          <w:sz w:val="22"/>
        </w:rPr>
        <w:fldChar w:fldCharType="end"/>
      </w:r>
      <w:r>
        <w:rPr>
          <w:sz w:val="22"/>
        </w:rPr>
        <w:t xml:space="preserve"> shall not apply to information that:</w:t>
      </w:r>
    </w:p>
    <w:p>
      <w:pPr>
        <w:pStyle w:val="FWOutL4"/>
        <w:numPr>
          <w:ilvl w:val="3"/>
          <w:numId w:val="7"/>
        </w:numPr>
        <w:ind w:hanging="0" w:start="0"/>
        <w:rPr>
          <w:sz w:val="22"/>
        </w:rPr>
      </w:pPr>
      <w:r>
        <w:rPr>
          <w:sz w:val="22"/>
        </w:rPr>
        <w:t>is required to be disclosed by Applicable Law or the rules of a relevant stock exchange, provided that the disclosing party promptly (or, where possible, in advance) notifies the other party of its requirement to disclose, and co-operates with the other party in avoiding or limiting the disclosure;</w:t>
      </w:r>
    </w:p>
    <w:p>
      <w:pPr>
        <w:pStyle w:val="FWOutL4"/>
        <w:numPr>
          <w:ilvl w:val="3"/>
          <w:numId w:val="7"/>
        </w:numPr>
        <w:ind w:hanging="0" w:start="0"/>
        <w:rPr>
          <w:sz w:val="22"/>
        </w:rPr>
      </w:pPr>
      <w:r>
        <w:rPr>
          <w:sz w:val="22"/>
        </w:rPr>
        <w:t>was already in the possession of the party making the disclosure without an obligation of confidentiality when it was received from the other party or its Affiliates;</w:t>
      </w:r>
    </w:p>
    <w:p>
      <w:pPr>
        <w:pStyle w:val="FWOutL4"/>
        <w:numPr>
          <w:ilvl w:val="3"/>
          <w:numId w:val="7"/>
        </w:numPr>
        <w:ind w:hanging="0" w:start="0"/>
        <w:rPr>
          <w:sz w:val="22"/>
        </w:rPr>
      </w:pPr>
      <w:r>
        <w:rPr>
          <w:sz w:val="22"/>
        </w:rPr>
        <w:t>was already in the public domain at the time of disclosure, except as a result of a breach of this MATA; or</w:t>
      </w:r>
    </w:p>
    <w:p>
      <w:pPr>
        <w:pStyle w:val="FWOutL4"/>
        <w:numPr>
          <w:ilvl w:val="3"/>
          <w:numId w:val="7"/>
        </w:numPr>
        <w:ind w:hanging="0" w:start="0"/>
        <w:rPr>
          <w:sz w:val="22"/>
        </w:rPr>
      </w:pPr>
      <w:r>
        <w:rPr>
          <w:sz w:val="22"/>
        </w:rPr>
        <w:t>was independently developed without access to the other party’s or its Affiliates’ Confidential Information.</w:t>
      </w:r>
    </w:p>
    <w:p>
      <w:pPr>
        <w:pStyle w:val="FWOutL3"/>
        <w:numPr>
          <w:ilvl w:val="2"/>
          <w:numId w:val="7"/>
        </w:numPr>
        <w:ind w:hanging="0" w:start="0"/>
        <w:rPr>
          <w:sz w:val="22"/>
        </w:rPr>
      </w:pPr>
      <w:bookmarkStart w:id="89" w:name="_Ref125366802"/>
      <w:r>
        <w:rPr>
          <w:sz w:val="22"/>
        </w:rPr>
        <w:t>Nothing in this clause 9.3 shall restrict EuroBank Netherlands and EuroBank Belgium from disclosing Confidential Information of the PST Supplier or its Affiliates to its consultants and other professional advisors, auditors and bankers.</w:t>
      </w:r>
      <w:r>
        <w:rPr>
          <w:sz w:val="22"/>
        </w:rPr>
      </w:r>
      <w:r>
        <w:rPr>
          <w:sz w:val="22"/>
        </w:rPr>
      </w:r>
      <w:r>
        <w:rPr>
          <w:sz w:val="22"/>
        </w:rPr>
      </w:r>
      <w:r>
        <w:rPr>
          <w:sz w:val="22"/>
        </w:rPr>
      </w:r>
      <w:r>
        <w:rPr>
          <w:sz w:val="22"/>
        </w:rPr>
      </w:r>
      <w:r>
        <w:rPr>
          <w:sz w:val="22"/>
        </w:rPr>
      </w:r>
      <w:bookmarkEnd w:id="89"/>
    </w:p>
    <w:p>
      <w:pPr>
        <w:pStyle w:val="FWOutL3"/>
        <w:numPr>
          <w:ilvl w:val="2"/>
          <w:numId w:val="7"/>
        </w:numPr>
        <w:ind w:hanging="0" w:start="0"/>
        <w:rPr>
          <w:sz w:val="22"/>
        </w:rPr>
      </w:pPr>
      <w:r>
        <w:rPr>
          <w:sz w:val="22"/>
        </w:rPr>
        <w:t>Notwithstanding any provision to the contrary, the provisions of clauses 9.3.1 to 9.3.3 shall survive termination and/or Completion of this MATA, provided that pending Completion, all information and other confidential information in relation to the Transfer Assets shall be deemed to be Confidential Information of EuroBank Netherlands and EuroBank Belgium for the purposes of this clause 9.3 until Completion.</w:t>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r>
        <w:rPr>
          <w:sz w:val="22"/>
        </w:rPr>
      </w:r>
    </w:p>
    <w:p>
      <w:pPr>
        <w:pStyle w:val="FWOutL2"/>
        <w:numPr>
          <w:ilvl w:val="1"/>
          <w:numId w:val="7"/>
        </w:numPr>
        <w:ind w:hanging="0" w:start="0"/>
        <w:rPr>
          <w:sz w:val="22"/>
        </w:rPr>
      </w:pPr>
      <w:bookmarkStart w:id="90" w:name="__RefHeading___Toc153622628"/>
      <w:bookmarkStart w:id="91" w:name="_Ref125362597"/>
      <w:bookmarkStart w:id="92" w:name="_Ref46939530"/>
      <w:bookmarkStart w:id="93" w:name="_Ref38268767"/>
      <w:bookmarkStart w:id="94" w:name="_Ref4323958"/>
      <w:bookmarkStart w:id="95" w:name="_Ref2119908"/>
      <w:bookmarkStart w:id="96" w:name="_Ref532904779"/>
      <w:bookmarkStart w:id="97" w:name="_Ref532904730"/>
      <w:bookmarkStart w:id="98" w:name="_Ref13511"/>
      <w:bookmarkEnd w:id="90"/>
      <w:r>
        <w:rPr>
          <w:sz w:val="22"/>
        </w:rPr>
        <w:t>Assignment</w:t>
      </w:r>
      <w:bookmarkStart w:id="99" w:name="_Ref512389190"/>
      <w:bookmarkEnd w:id="91"/>
      <w:bookmarkEnd w:id="92"/>
      <w:bookmarkEnd w:id="93"/>
      <w:bookmarkEnd w:id="94"/>
      <w:bookmarkEnd w:id="95"/>
      <w:bookmarkEnd w:id="96"/>
      <w:bookmarkEnd w:id="97"/>
    </w:p>
    <w:p>
      <w:pPr>
        <w:pStyle w:val="FWOutL3"/>
        <w:numPr>
          <w:ilvl w:val="2"/>
          <w:numId w:val="7"/>
        </w:numPr>
        <w:ind w:hanging="0" w:start="0"/>
        <w:rPr>
          <w:sz w:val="22"/>
        </w:rPr>
      </w:pPr>
      <w:r>
        <w:rPr>
          <w:sz w:val="22"/>
        </w:rPr>
        <w:t xml:space="preserve">Subject to clause </w:t>
      </w:r>
      <w:r>
        <w:rPr>
          <w:sz w:val="22"/>
        </w:rPr>
        <w:fldChar w:fldCharType="begin"/>
      </w:r>
      <w:r>
        <w:rPr>
          <w:sz w:val="22"/>
        </w:rPr>
        <w:instrText xml:space="preserve"> REF _Ref110877442 \w \w \h </w:instrText>
      </w:r>
      <w:r>
        <w:rPr>
          <w:sz w:val="22"/>
        </w:rPr>
        <w:fldChar w:fldCharType="separate"/>
      </w:r>
      <w:r>
        <w:rPr>
          <w:sz w:val="22"/>
        </w:rPr>
        <w:t>9.4.2</w:t>
      </w:r>
      <w:r>
        <w:rPr>
          <w:sz w:val="22"/>
        </w:rPr>
        <w:fldChar w:fldCharType="end"/>
      </w:r>
      <w:r>
        <w:rPr>
          <w:sz w:val="22"/>
        </w:rPr>
        <w:t>, neither party shall assign, transfer, charge or otherwise deal with any of its rights under this MATA nor grant, declare, create or dispose of any right or interest in them, without the prior written consent of the other party.</w:t>
      </w:r>
    </w:p>
    <w:p>
      <w:pPr>
        <w:pStyle w:val="FWOutL3"/>
        <w:numPr>
          <w:ilvl w:val="2"/>
          <w:numId w:val="7"/>
        </w:numPr>
        <w:ind w:hanging="0" w:start="0"/>
        <w:rPr>
          <w:sz w:val="22"/>
        </w:rPr>
      </w:pPr>
      <w:bookmarkStart w:id="100" w:name="_Ref110877442"/>
      <w:r>
        <w:rPr>
          <w:sz w:val="22"/>
        </w:rPr>
        <w:t>EuroBank Netherlands and EuroBank Belgium may transfer their rights and obligations under this MATA:</w:t>
      </w:r>
      <w:bookmarkEnd w:id="100"/>
    </w:p>
    <w:p>
      <w:pPr>
        <w:pStyle w:val="FWOutL4"/>
        <w:numPr>
          <w:ilvl w:val="3"/>
          <w:numId w:val="7"/>
        </w:numPr>
        <w:ind w:hanging="0" w:start="0"/>
        <w:rPr>
          <w:sz w:val="22"/>
        </w:rPr>
      </w:pPr>
      <w:r>
        <w:rPr>
          <w:sz w:val="22"/>
        </w:rPr>
        <w:t>to another member of the EuroBank Group; or</w:t>
      </w:r>
    </w:p>
    <w:p>
      <w:pPr>
        <w:pStyle w:val="FWOutL4"/>
        <w:numPr>
          <w:ilvl w:val="3"/>
          <w:numId w:val="7"/>
        </w:numPr>
        <w:ind w:hanging="0" w:start="0"/>
        <w:rPr>
          <w:sz w:val="22"/>
        </w:rPr>
      </w:pPr>
      <w:r>
        <w:rPr>
          <w:sz w:val="22"/>
        </w:rPr>
        <w:t>to a person or entity who acquires a business of the EuroBank Group or a material part of its assets, to the extent that those rights and obligations relate to the provision of Services to the acquired business or assets,</w:t>
      </w:r>
    </w:p>
    <w:p>
      <w:pPr>
        <w:pStyle w:val="FWOutL4"/>
        <w:numPr>
          <w:ilvl w:val="0"/>
          <w:numId w:val="0"/>
        </w:numPr>
        <w:ind w:hanging="0" w:start="0"/>
        <w:rPr>
          <w:sz w:val="22"/>
        </w:rPr>
      </w:pPr>
      <w:r>
        <w:rPr>
          <w:sz w:val="22"/>
        </w:rPr>
        <w:t>without obtaining the PST Supplier's consent, but shall give notice to the PST Supplier before making the transfer.</w:t>
      </w:r>
    </w:p>
    <w:p>
      <w:pPr>
        <w:pStyle w:val="FWOutL3"/>
        <w:numPr>
          <w:ilvl w:val="2"/>
          <w:numId w:val="7"/>
        </w:numPr>
        <w:ind w:hanging="0" w:start="0"/>
        <w:rPr>
          <w:sz w:val="22"/>
        </w:rPr>
      </w:pPr>
      <w:r>
        <w:rPr>
          <w:sz w:val="22"/>
        </w:rPr>
        <w:t>If clause 9.4.2 applies, then the PST Supplier shall, on request, promptly enter into a transfer agreement (in a form to be reasonably determined by EuroBank Netherlands, EuroBank Belgium or EuroBank Verkoopkantoren and the transferee), provided always that the PST Supplier is not required to assume greater obligations than under this MATA, and EuroBank Netherlands, EuroBank Belgium or EuroBank Verkoopkantoren (as the case may be) to cease to be a party to this MATA (or relevant parts of it).</w:t>
      </w:r>
      <w:r>
        <w:rPr>
          <w:sz w:val="22"/>
        </w:rPr>
      </w:r>
      <w:r>
        <w:rPr>
          <w:sz w:val="22"/>
        </w:rPr>
      </w:r>
      <w:r>
        <w:rPr>
          <w:sz w:val="22"/>
        </w:rPr>
      </w:r>
      <w:r>
        <w:rPr>
          <w:sz w:val="22"/>
        </w:rPr>
      </w:r>
      <w:r>
        <w:rPr>
          <w:sz w:val="22"/>
        </w:rPr>
      </w:r>
      <w:r>
        <w:rPr>
          <w:sz w:val="22"/>
        </w:rPr>
      </w:r>
    </w:p>
    <w:p>
      <w:pPr>
        <w:pStyle w:val="FWOutL2"/>
        <w:numPr>
          <w:ilvl w:val="1"/>
          <w:numId w:val="7"/>
        </w:numPr>
        <w:ind w:hanging="0" w:start="0"/>
        <w:rPr>
          <w:sz w:val="22"/>
        </w:rPr>
      </w:pPr>
      <w:bookmarkStart w:id="101" w:name="_Ref13511"/>
      <w:bookmarkStart w:id="102" w:name="__RefHeading___Toc153622629"/>
      <w:bookmarkEnd w:id="99"/>
      <w:bookmarkEnd w:id="102"/>
      <w:r>
        <w:rPr>
          <w:sz w:val="22"/>
        </w:rPr>
        <w:t>Further Assurance</w:t>
      </w:r>
      <w:bookmarkEnd w:id="101"/>
    </w:p>
    <w:p>
      <w:pPr>
        <w:pStyle w:val="FWOutL3"/>
        <w:numPr>
          <w:ilvl w:val="2"/>
          <w:numId w:val="7"/>
        </w:numPr>
        <w:ind w:hanging="0" w:start="0"/>
        <w:rPr>
          <w:sz w:val="22"/>
        </w:rPr>
      </w:pPr>
      <w:bookmarkStart w:id="103" w:name="_Ref2674000"/>
      <w:bookmarkStart w:id="104" w:name="_Ref13519"/>
      <w:r>
        <w:rPr>
          <w:sz w:val="22"/>
        </w:rPr>
        <w:t xml:space="preserve">Each party agrees to perform, or procure the performance of, all further acts and things and deliver, or procure the execution and delivery of such further documents which are required by Applicable Law or are necessary or reasonably desirable to implement the terms of this MATA and the other Transaction Documents. </w:t>
      </w:r>
      <w:bookmarkEnd w:id="103"/>
      <w:bookmarkEnd w:id="104"/>
    </w:p>
    <w:p>
      <w:pPr>
        <w:pStyle w:val="FWOutL3"/>
        <w:numPr>
          <w:ilvl w:val="2"/>
          <w:numId w:val="7"/>
        </w:numPr>
        <w:ind w:hanging="0" w:start="0"/>
        <w:rPr>
          <w:sz w:val="22"/>
        </w:rPr>
      </w:pPr>
      <w:r>
        <w:rPr>
          <w:sz w:val="22"/>
        </w:rPr>
        <w:t xml:space="preserve">Each party shall be responsible for all of its own costs and expenses (including those of its Affiliates) incurred in giving effect to the provisions of this clause. </w:t>
      </w:r>
    </w:p>
    <w:p>
      <w:pPr>
        <w:pStyle w:val="FWOutL2"/>
        <w:numPr>
          <w:ilvl w:val="1"/>
          <w:numId w:val="7"/>
        </w:numPr>
        <w:ind w:hanging="0" w:start="0"/>
        <w:rPr>
          <w:sz w:val="22"/>
        </w:rPr>
      </w:pPr>
      <w:bookmarkStart w:id="105" w:name="__RefHeading___Toc153622630"/>
      <w:bookmarkStart w:id="106" w:name="_Ref125362681"/>
      <w:bookmarkStart w:id="107" w:name="_Ref46939511"/>
      <w:bookmarkStart w:id="108" w:name="_Ref46939423"/>
      <w:bookmarkStart w:id="109" w:name="_Ref44181023"/>
      <w:bookmarkStart w:id="110" w:name="_Ref44180393"/>
      <w:bookmarkStart w:id="111" w:name="_Ref44180320"/>
      <w:bookmarkStart w:id="112" w:name="_Ref38268780"/>
      <w:bookmarkStart w:id="113" w:name="_Ref4238258"/>
      <w:bookmarkStart w:id="114" w:name="_Ref2119941"/>
      <w:bookmarkStart w:id="115" w:name="_Ref532911537"/>
      <w:bookmarkStart w:id="116" w:name="_Ref532904915"/>
      <w:bookmarkStart w:id="117" w:name="_Ref38268755"/>
      <w:bookmarkStart w:id="118" w:name="_Ref2119882"/>
      <w:bookmarkStart w:id="119" w:name="_Ref2112614"/>
      <w:bookmarkStart w:id="120" w:name="_Ref9122"/>
      <w:bookmarkEnd w:id="105"/>
      <w:r>
        <w:rPr>
          <w:sz w:val="22"/>
        </w:rPr>
        <w:t>Entire Agreement</w:t>
      </w:r>
      <w:bookmarkEnd w:id="106"/>
      <w:bookmarkEnd w:id="107"/>
      <w:bookmarkEnd w:id="108"/>
      <w:bookmarkEnd w:id="109"/>
      <w:bookmarkEnd w:id="110"/>
      <w:bookmarkEnd w:id="111"/>
      <w:bookmarkEnd w:id="112"/>
      <w:bookmarkEnd w:id="113"/>
      <w:bookmarkEnd w:id="114"/>
      <w:bookmarkEnd w:id="115"/>
      <w:bookmarkEnd w:id="116"/>
    </w:p>
    <w:p>
      <w:pPr>
        <w:pStyle w:val="FWOutL3"/>
        <w:numPr>
          <w:ilvl w:val="2"/>
          <w:numId w:val="7"/>
        </w:numPr>
        <w:ind w:hanging="0" w:start="0"/>
        <w:rPr>
          <w:sz w:val="22"/>
        </w:rPr>
      </w:pPr>
      <w:bookmarkStart w:id="121" w:name="_Ref46939497"/>
      <w:r>
        <w:rPr>
          <w:sz w:val="22"/>
        </w:rPr>
        <w:t>This MATA and the other Transaction Documents set out the entire agreement and understanding between the parties in connection with the Proposed Transaction.</w:t>
      </w:r>
    </w:p>
    <w:p>
      <w:pPr>
        <w:pStyle w:val="FWOutL3"/>
        <w:numPr>
          <w:ilvl w:val="2"/>
          <w:numId w:val="7"/>
        </w:numPr>
        <w:ind w:hanging="0" w:start="0"/>
        <w:rPr>
          <w:sz w:val="22"/>
        </w:rPr>
      </w:pPr>
      <w:r>
        <w:rPr>
          <w:sz w:val="22"/>
        </w:rPr>
        <w:t>Neither party has entered into this MATA in reliance on any representation, warranty or undertaking of the other party, except as expressly referred to in this MATA. This clause shall not exclude any liability for, or remedy for, error (</w:t>
      </w:r>
      <w:r>
        <w:rPr>
          <w:i/>
          <w:iCs/>
          <w:sz w:val="22"/>
        </w:rPr>
        <w:t>dwaling</w:t>
      </w:r>
      <w:r>
        <w:rPr>
          <w:sz w:val="22"/>
        </w:rPr>
        <w:t>) or fraudulent misrepresentation (</w:t>
      </w:r>
      <w:r>
        <w:rPr>
          <w:i/>
          <w:iCs/>
          <w:sz w:val="22"/>
        </w:rPr>
        <w:t>bedrog</w:t>
      </w:r>
      <w:r>
        <w:rPr>
          <w:sz w:val="22"/>
        </w:rPr>
        <w:t>) by a party.</w:t>
      </w:r>
      <w:bookmarkStart w:id="122" w:name="_Ref511192348"/>
      <w:bookmarkEnd w:id="121"/>
      <w:r>
        <w:rPr>
          <w:sz w:val="22"/>
        </w:rPr>
        <w:t xml:space="preserve"> </w:t>
      </w:r>
    </w:p>
    <w:p>
      <w:pPr>
        <w:pStyle w:val="FWOutL3"/>
        <w:numPr>
          <w:ilvl w:val="2"/>
          <w:numId w:val="7"/>
        </w:numPr>
        <w:ind w:hanging="0" w:start="0"/>
        <w:rPr>
          <w:sz w:val="22"/>
        </w:rPr>
      </w:pPr>
      <w:bookmarkEnd w:id="122"/>
      <w:r>
        <w:rPr>
          <w:sz w:val="22"/>
        </w:rPr>
        <w:t>The general terms and conditions (algemene voorwaarden) of EuroBank Netherlands and EuroBank Belgium and the PST Supplier shall not form part of this MATA or the other Transaction Documents and shall not apply to the Proposed Transaction; and</w:t>
      </w:r>
      <w:r>
        <w:rPr>
          <w:i/>
          <w:iCs/>
          <w:sz w:val="22"/>
        </w:rPr>
      </w:r>
      <w:r>
        <w:rPr>
          <w:sz w:val="22"/>
        </w:rPr>
      </w:r>
    </w:p>
    <w:p>
      <w:pPr>
        <w:pStyle w:val="FWOutL3"/>
        <w:numPr>
          <w:ilvl w:val="2"/>
          <w:numId w:val="7"/>
        </w:numPr>
        <w:ind w:hanging="0" w:start="0"/>
        <w:rPr>
          <w:b/>
          <w:bCs/>
          <w:i/>
          <w:i/>
          <w:iCs/>
          <w:sz w:val="22"/>
        </w:rPr>
      </w:pPr>
      <w:r>
        <w:rPr>
          <w:sz w:val="22"/>
        </w:rPr>
        <w:t xml:space="preserve">Any umbrella arrangements in place between EuroBank Netherlands and EuroBank Belgium and the PST Supplier shall not form part of this MATA or the other Transaction Documents and shall not apply to the Proposed Transaction. </w:t>
      </w:r>
    </w:p>
    <w:p>
      <w:pPr>
        <w:pStyle w:val="FWOutL2"/>
        <w:numPr>
          <w:ilvl w:val="1"/>
          <w:numId w:val="7"/>
        </w:numPr>
        <w:ind w:hanging="0" w:start="0"/>
        <w:rPr>
          <w:sz w:val="22"/>
        </w:rPr>
      </w:pPr>
      <w:bookmarkStart w:id="123" w:name="_Ref38268755"/>
      <w:bookmarkStart w:id="124" w:name="_Ref2119882"/>
      <w:bookmarkStart w:id="125" w:name="_Ref2112614"/>
      <w:bookmarkStart w:id="126" w:name="_Ref9122"/>
      <w:bookmarkStart w:id="127" w:name="__RefHeading___Toc153622631"/>
      <w:bookmarkStart w:id="128" w:name="_Ref125362808"/>
      <w:bookmarkEnd w:id="127"/>
      <w:r>
        <w:rPr>
          <w:sz w:val="22"/>
        </w:rPr>
        <w:t>Costs</w:t>
      </w:r>
      <w:bookmarkEnd w:id="123"/>
      <w:bookmarkEnd w:id="124"/>
      <w:bookmarkEnd w:id="125"/>
      <w:bookmarkEnd w:id="126"/>
      <w:bookmarkEnd w:id="128"/>
    </w:p>
    <w:p>
      <w:pPr>
        <w:pStyle w:val="FWOutL3"/>
        <w:numPr>
          <w:ilvl w:val="2"/>
          <w:numId w:val="7"/>
        </w:numPr>
        <w:ind w:hanging="0" w:start="0"/>
        <w:rPr>
          <w:sz w:val="22"/>
        </w:rPr>
      </w:pPr>
      <w:r>
        <w:rPr>
          <w:sz w:val="22"/>
        </w:rPr>
        <w:t xml:space="preserve">Except as otherwise provided in this MATA, each party shall pay the costs, charges and other expenses incurred by it and its Affiliates in connection with the negotiation, preparation, execution and completion of this MATA and the other Transaction Documents. </w:t>
      </w:r>
    </w:p>
    <w:p>
      <w:pPr>
        <w:pStyle w:val="FWOutL2"/>
        <w:numPr>
          <w:ilvl w:val="1"/>
          <w:numId w:val="7"/>
        </w:numPr>
        <w:ind w:hanging="0" w:start="0"/>
        <w:rPr>
          <w:sz w:val="22"/>
        </w:rPr>
      </w:pPr>
      <w:bookmarkStart w:id="129" w:name="__RefHeading___Toc153622632"/>
      <w:bookmarkStart w:id="130" w:name="_Ref2112454"/>
      <w:bookmarkEnd w:id="129"/>
      <w:r>
        <w:rPr>
          <w:sz w:val="22"/>
        </w:rPr>
        <w:t>Conduct of claims</w:t>
      </w:r>
      <w:bookmarkEnd w:id="130"/>
    </w:p>
    <w:p>
      <w:pPr>
        <w:pStyle w:val="FWOutL3"/>
        <w:numPr>
          <w:ilvl w:val="2"/>
          <w:numId w:val="7"/>
        </w:numPr>
        <w:ind w:hanging="0" w:start="0"/>
        <w:rPr>
          <w:sz w:val="22"/>
        </w:rPr>
      </w:pPr>
      <w:bookmarkStart w:id="131" w:name="_Ref119846018"/>
      <w:r>
        <w:rPr>
          <w:sz w:val="22"/>
        </w:rPr>
        <w:t>Any loss or damage which is suffered by a party’s Affiliate under this MATA shall be recoverable by that party (</w:t>
      </w:r>
      <w:r>
        <w:rPr>
          <w:b/>
          <w:bCs/>
          <w:i/>
          <w:iCs/>
          <w:sz w:val="22"/>
        </w:rPr>
        <w:t>Claiming party</w:t>
      </w:r>
      <w:r>
        <w:rPr>
          <w:sz w:val="22"/>
        </w:rPr>
        <w:t>) against the other party on behalf of its Affiliate to the extent that the loss or damage:</w:t>
      </w:r>
      <w:bookmarkEnd w:id="131"/>
    </w:p>
    <w:p>
      <w:pPr>
        <w:pStyle w:val="FWOutL4"/>
        <w:numPr>
          <w:ilvl w:val="3"/>
          <w:numId w:val="7"/>
        </w:numPr>
        <w:ind w:hanging="0" w:start="0"/>
        <w:rPr>
          <w:sz w:val="22"/>
        </w:rPr>
      </w:pPr>
      <w:r>
        <w:rPr>
          <w:sz w:val="22"/>
        </w:rPr>
        <w:t>is directly caused by the other party’s breach of this MATA (or a breach by the other party’s Affiliates); and</w:t>
      </w:r>
    </w:p>
    <w:p>
      <w:pPr>
        <w:pStyle w:val="FWOutL4"/>
        <w:numPr>
          <w:ilvl w:val="3"/>
          <w:numId w:val="7"/>
        </w:numPr>
        <w:ind w:hanging="0" w:start="0"/>
        <w:rPr>
          <w:sz w:val="22"/>
        </w:rPr>
      </w:pPr>
      <w:r>
        <w:rPr>
          <w:sz w:val="22"/>
        </w:rPr>
        <w:t>would be recoverable by the Claiming party under this MATA as if the Claiming party had suffered the loss or damage.</w:t>
      </w:r>
    </w:p>
    <w:p>
      <w:pPr>
        <w:pStyle w:val="FWOutL3"/>
        <w:numPr>
          <w:ilvl w:val="2"/>
          <w:numId w:val="7"/>
        </w:numPr>
        <w:ind w:hanging="0" w:start="0"/>
        <w:rPr>
          <w:sz w:val="22"/>
        </w:rPr>
      </w:pPr>
      <w:bookmarkStart w:id="132" w:name="_Ref110877559"/>
      <w:r>
        <w:rPr>
          <w:sz w:val="22"/>
        </w:rPr>
        <w:t>If either party or any of their respective Affiliates wishes to make a claim under this MATA, the parties agree, for themselves and as agent for their respective Affiliates, that:</w:t>
      </w:r>
      <w:bookmarkEnd w:id="132"/>
    </w:p>
    <w:p>
      <w:pPr>
        <w:pStyle w:val="FWOutL4"/>
        <w:numPr>
          <w:ilvl w:val="3"/>
          <w:numId w:val="7"/>
        </w:numPr>
        <w:ind w:hanging="0" w:start="0"/>
        <w:rPr>
          <w:sz w:val="22"/>
        </w:rPr>
      </w:pPr>
      <w:r>
        <w:rPr>
          <w:sz w:val="22"/>
        </w:rPr>
        <w:t>the claim shall only be made by the Claiming party (for itself and/or as agent for an Affiliate) in accordance with the Dispute Resolution Procedure; and</w:t>
      </w:r>
    </w:p>
    <w:p>
      <w:pPr>
        <w:pStyle w:val="FWOutL4"/>
        <w:numPr>
          <w:ilvl w:val="3"/>
          <w:numId w:val="7"/>
        </w:numPr>
        <w:ind w:hanging="0" w:start="0"/>
        <w:rPr>
          <w:sz w:val="22"/>
        </w:rPr>
      </w:pPr>
      <w:r>
        <w:rPr>
          <w:sz w:val="22"/>
        </w:rPr>
        <w:t>the other party shall not raise any defence or objection to the claim on the basis that it is made in the name of the Claiming party acting as agent for an Affiliate, and shall not be entitled to raise any defence or objection to the claim on this basis.</w:t>
      </w:r>
    </w:p>
    <w:p>
      <w:pPr>
        <w:pStyle w:val="FWOutL3"/>
        <w:numPr>
          <w:ilvl w:val="2"/>
          <w:numId w:val="7"/>
        </w:numPr>
        <w:ind w:hanging="0" w:start="0"/>
        <w:rPr>
          <w:sz w:val="22"/>
        </w:rPr>
      </w:pPr>
      <w:r>
        <w:rPr>
          <w:sz w:val="22"/>
        </w:rPr>
        <w:t xml:space="preserve">Where a claim cannot, under Applicable Law, be made by the Claiming party in its own name as agent for one or more Affiliates under clause </w:t>
      </w:r>
      <w:r>
        <w:rPr>
          <w:sz w:val="22"/>
        </w:rPr>
        <w:fldChar w:fldCharType="begin"/>
      </w:r>
      <w:r>
        <w:rPr>
          <w:sz w:val="22"/>
        </w:rPr>
        <w:instrText xml:space="preserve"> REF _Ref110877559 \w \w \h </w:instrText>
      </w:r>
      <w:r>
        <w:rPr>
          <w:sz w:val="22"/>
        </w:rPr>
        <w:fldChar w:fldCharType="separate"/>
      </w:r>
      <w:r>
        <w:rPr>
          <w:sz w:val="22"/>
        </w:rPr>
        <w:t>9.8.2</w:t>
      </w:r>
      <w:r>
        <w:rPr>
          <w:sz w:val="22"/>
        </w:rPr>
        <w:fldChar w:fldCharType="end"/>
      </w:r>
      <w:r>
        <w:rPr>
          <w:sz w:val="22"/>
        </w:rPr>
        <w:t>, then the Claiming party shall procure that the claim is assigned by the relevant Affiliate(s) to it.</w:t>
      </w:r>
    </w:p>
    <w:p>
      <w:pPr>
        <w:pStyle w:val="FWOutL3"/>
        <w:numPr>
          <w:ilvl w:val="2"/>
          <w:numId w:val="7"/>
        </w:numPr>
        <w:ind w:hanging="0" w:start="0"/>
        <w:rPr>
          <w:sz w:val="22"/>
        </w:rPr>
      </w:pPr>
      <w:r>
        <w:rPr>
          <w:sz w:val="22"/>
        </w:rPr>
        <w:t>A Claiming party shall:</w:t>
      </w:r>
    </w:p>
    <w:p>
      <w:pPr>
        <w:pStyle w:val="FWOutL4"/>
        <w:numPr>
          <w:ilvl w:val="3"/>
          <w:numId w:val="7"/>
        </w:numPr>
        <w:ind w:hanging="0" w:start="0"/>
        <w:rPr>
          <w:sz w:val="22"/>
        </w:rPr>
      </w:pPr>
      <w:bookmarkStart w:id="133" w:name="_Ref119846212"/>
      <w:r>
        <w:rPr>
          <w:sz w:val="22"/>
        </w:rPr>
        <w:t>indemnify the other party and its Affiliates on demand for any loss or damage suffered or incurred by any of them as a result of an Affiliate of the Claiming party making any claim against the other party or its Affiliates other than in accordance with this clause (</w:t>
      </w:r>
      <w:r>
        <w:rPr>
          <w:b/>
          <w:bCs/>
          <w:i/>
          <w:iCs/>
          <w:sz w:val="22"/>
        </w:rPr>
        <w:t>Non-Compliant Claim</w:t>
      </w:r>
      <w:r>
        <w:rPr>
          <w:sz w:val="22"/>
        </w:rPr>
        <w:t>); and</w:t>
      </w:r>
      <w:bookmarkEnd w:id="133"/>
      <w:r>
        <w:rPr>
          <w:sz w:val="22"/>
        </w:rPr>
        <w:t xml:space="preserve"> </w:t>
      </w:r>
    </w:p>
    <w:p>
      <w:pPr>
        <w:pStyle w:val="FWOutL4"/>
        <w:numPr>
          <w:ilvl w:val="3"/>
          <w:numId w:val="7"/>
        </w:numPr>
        <w:ind w:hanging="0" w:start="0"/>
        <w:rPr>
          <w:sz w:val="22"/>
        </w:rPr>
      </w:pPr>
      <w:r>
        <w:rPr>
          <w:sz w:val="22"/>
        </w:rPr>
        <w:t>procure that its relevant Affiliate immediately discontinues and withdraws a Non-Compliant Claim.</w:t>
      </w:r>
    </w:p>
    <w:p>
      <w:pPr>
        <w:pStyle w:val="FWOutL2"/>
        <w:numPr>
          <w:ilvl w:val="1"/>
          <w:numId w:val="7"/>
        </w:numPr>
        <w:ind w:hanging="0" w:start="0"/>
        <w:rPr>
          <w:sz w:val="22"/>
        </w:rPr>
      </w:pPr>
      <w:bookmarkStart w:id="134" w:name="__RefHeading___Toc153622633"/>
      <w:bookmarkStart w:id="135" w:name="_Ref125362563"/>
      <w:bookmarkStart w:id="136" w:name="_Ref121208191"/>
      <w:bookmarkStart w:id="137" w:name="_Ref44214375"/>
      <w:bookmarkStart w:id="138" w:name="_Ref38268761"/>
      <w:bookmarkStart w:id="139" w:name="_Ref2119893"/>
      <w:bookmarkStart w:id="140" w:name="_Ref2112564"/>
      <w:bookmarkStart w:id="141" w:name="_Ref532911501"/>
      <w:bookmarkStart w:id="142" w:name="_Ref532911493"/>
      <w:bookmarkStart w:id="143" w:name="_Ref532911480"/>
      <w:r>
        <w:rPr>
          <w:sz w:val="22"/>
        </w:rPr>
        <w:t>Notices</w:t>
      </w:r>
      <w:bookmarkEnd w:id="134"/>
      <w:bookmarkEnd w:id="135"/>
      <w:bookmarkEnd w:id="136"/>
      <w:bookmarkEnd w:id="137"/>
      <w:bookmarkEnd w:id="138"/>
      <w:bookmarkEnd w:id="139"/>
      <w:bookmarkEnd w:id="140"/>
      <w:bookmarkEnd w:id="141"/>
      <w:bookmarkEnd w:id="142"/>
      <w:bookmarkEnd w:id="143"/>
      <w:r>
        <w:rPr>
          <w:sz w:val="22"/>
        </w:rPr>
        <w:t xml:space="preserve"> </w:t>
      </w:r>
    </w:p>
    <w:p>
      <w:pPr>
        <w:pStyle w:val="FWOutL3"/>
        <w:numPr>
          <w:ilvl w:val="2"/>
          <w:numId w:val="7"/>
        </w:numPr>
        <w:ind w:hanging="0" w:start="0"/>
        <w:rPr>
          <w:sz w:val="22"/>
        </w:rPr>
      </w:pPr>
      <w:r>
        <w:rPr>
          <w:sz w:val="22"/>
        </w:rPr>
        <w:t>Any notice or other communication to be given by a party under this MATA shall:</w:t>
      </w:r>
    </w:p>
    <w:p>
      <w:pPr>
        <w:pStyle w:val="FWOutL4"/>
        <w:numPr>
          <w:ilvl w:val="3"/>
          <w:numId w:val="7"/>
        </w:numPr>
        <w:ind w:hanging="0" w:start="0"/>
        <w:rPr>
          <w:sz w:val="22"/>
        </w:rPr>
      </w:pPr>
      <w:r>
        <w:rPr>
          <w:sz w:val="22"/>
        </w:rPr>
        <w:t>be in writing and signed by or on behalf of the party giving it;</w:t>
      </w:r>
    </w:p>
    <w:p>
      <w:pPr>
        <w:pStyle w:val="FWOutL4"/>
        <w:numPr>
          <w:ilvl w:val="3"/>
          <w:numId w:val="7"/>
        </w:numPr>
        <w:ind w:hanging="0" w:start="0"/>
        <w:rPr>
          <w:sz w:val="22"/>
        </w:rPr>
      </w:pPr>
      <w:r>
        <w:rPr>
          <w:sz w:val="22"/>
        </w:rPr>
        <w:t xml:space="preserve">be served by sending it by fax to the number set out in clause </w:t>
      </w:r>
      <w:r>
        <w:rPr>
          <w:sz w:val="22"/>
        </w:rPr>
        <w:fldChar w:fldCharType="begin"/>
      </w:r>
      <w:r>
        <w:rPr>
          <w:sz w:val="22"/>
        </w:rPr>
        <w:instrText xml:space="preserve"> REF _Ref121208126 \w \w \h </w:instrText>
      </w:r>
      <w:r>
        <w:rPr>
          <w:sz w:val="22"/>
        </w:rPr>
        <w:fldChar w:fldCharType="separate"/>
      </w:r>
      <w:r>
        <w:rPr>
          <w:sz w:val="22"/>
        </w:rPr>
        <w:t>9.9.2</w:t>
      </w:r>
      <w:r>
        <w:rPr>
          <w:sz w:val="22"/>
        </w:rPr>
        <w:fldChar w:fldCharType="end"/>
      </w:r>
      <w:r>
        <w:rPr>
          <w:sz w:val="22"/>
        </w:rPr>
        <w:t xml:space="preserve">, or delivering it by hand, or sending it by pre-paid recorded delivery, special delivery or registered post, to the address set out in clause </w:t>
      </w:r>
      <w:r>
        <w:rPr>
          <w:sz w:val="22"/>
        </w:rPr>
        <w:fldChar w:fldCharType="begin"/>
      </w:r>
      <w:r>
        <w:rPr>
          <w:sz w:val="22"/>
        </w:rPr>
        <w:instrText xml:space="preserve"> REF _Ref121208126 \w \w \h </w:instrText>
      </w:r>
      <w:r>
        <w:rPr>
          <w:sz w:val="22"/>
        </w:rPr>
        <w:fldChar w:fldCharType="separate"/>
      </w:r>
      <w:r>
        <w:rPr>
          <w:sz w:val="22"/>
        </w:rPr>
        <w:t>9.9.2</w:t>
      </w:r>
      <w:r>
        <w:rPr>
          <w:sz w:val="22"/>
        </w:rPr>
        <w:fldChar w:fldCharType="end"/>
      </w:r>
      <w:r>
        <w:rPr>
          <w:sz w:val="22"/>
        </w:rPr>
        <w:t xml:space="preserve">, and in each case marked for the attention of the relevant party set out in this clause (or as otherwise notified from time to time in accordance with the provisions of clause </w:t>
      </w:r>
      <w:r>
        <w:rPr>
          <w:sz w:val="22"/>
        </w:rPr>
        <w:fldChar w:fldCharType="begin"/>
      </w:r>
      <w:r>
        <w:rPr>
          <w:sz w:val="22"/>
        </w:rPr>
        <w:instrText xml:space="preserve"> REF _Ref121208126 \w \w \h </w:instrText>
      </w:r>
      <w:r>
        <w:rPr>
          <w:sz w:val="22"/>
        </w:rPr>
        <w:fldChar w:fldCharType="separate"/>
      </w:r>
      <w:r>
        <w:rPr>
          <w:sz w:val="22"/>
        </w:rPr>
        <w:t>9.9.2</w:t>
      </w:r>
      <w:r>
        <w:rPr>
          <w:sz w:val="22"/>
        </w:rPr>
        <w:fldChar w:fldCharType="end"/>
      </w:r>
      <w:r>
        <w:rPr>
          <w:sz w:val="22"/>
        </w:rPr>
        <w:t>);</w:t>
      </w:r>
    </w:p>
    <w:p>
      <w:pPr>
        <w:pStyle w:val="FWOutL4"/>
        <w:numPr>
          <w:ilvl w:val="3"/>
          <w:numId w:val="7"/>
        </w:numPr>
        <w:ind w:hanging="0" w:start="0"/>
        <w:rPr>
          <w:sz w:val="22"/>
        </w:rPr>
      </w:pPr>
      <w:r>
        <w:rPr>
          <w:sz w:val="22"/>
        </w:rPr>
        <w:t>if (b) is followed, be deemed to have been served on the other party:</w:t>
      </w:r>
    </w:p>
    <w:p>
      <w:pPr>
        <w:pStyle w:val="FWOutL5"/>
        <w:numPr>
          <w:ilvl w:val="4"/>
          <w:numId w:val="7"/>
        </w:numPr>
        <w:ind w:hanging="0" w:start="0"/>
        <w:rPr>
          <w:sz w:val="22"/>
        </w:rPr>
      </w:pPr>
      <w:r>
        <w:rPr>
          <w:sz w:val="22"/>
        </w:rPr>
        <w:t>in the case of delivery by hand, when delivered;</w:t>
      </w:r>
    </w:p>
    <w:p>
      <w:pPr>
        <w:pStyle w:val="FWOutL5"/>
        <w:numPr>
          <w:ilvl w:val="4"/>
          <w:numId w:val="7"/>
        </w:numPr>
        <w:ind w:hanging="0" w:start="0"/>
        <w:rPr>
          <w:sz w:val="22"/>
        </w:rPr>
      </w:pPr>
      <w:r>
        <w:rPr>
          <w:sz w:val="22"/>
        </w:rPr>
        <w:t>in the case of fax, at the time of transmission; or</w:t>
      </w:r>
    </w:p>
    <w:p>
      <w:pPr>
        <w:pStyle w:val="FWOutL5"/>
        <w:numPr>
          <w:ilvl w:val="4"/>
          <w:numId w:val="7"/>
        </w:numPr>
        <w:ind w:hanging="0" w:start="0"/>
        <w:rPr>
          <w:sz w:val="22"/>
        </w:rPr>
      </w:pPr>
      <w:r>
        <w:rPr>
          <w:sz w:val="22"/>
        </w:rPr>
        <w:t>in the case of pre-paid recorded delivery, special delivery or registered post, at 10am on the second Business Day following the date of posting,</w:t>
      </w:r>
    </w:p>
    <w:p>
      <w:pPr>
        <w:pStyle w:val="FWOutL5"/>
        <w:numPr>
          <w:ilvl w:val="0"/>
          <w:numId w:val="0"/>
        </w:numPr>
        <w:ind w:hanging="0" w:start="1224" w:end="0"/>
        <w:rPr>
          <w:sz w:val="22"/>
        </w:rPr>
      </w:pPr>
      <w:r>
        <w:rPr>
          <w:sz w:val="22"/>
        </w:rPr>
        <w:t>provided that where delivery by hand or by fax occurs after 6pm on a Business Day, or on a day which is not a Business Day, service shall be deemed to occur at 9am on the following Business Day. References to time in this clause are to local time at the address to which the relevant notice is sent.</w:t>
      </w:r>
    </w:p>
    <w:p>
      <w:pPr>
        <w:pStyle w:val="FWOutL4"/>
        <w:numPr>
          <w:ilvl w:val="3"/>
          <w:numId w:val="7"/>
        </w:numPr>
        <w:ind w:hanging="0" w:start="0"/>
        <w:rPr>
          <w:sz w:val="22"/>
        </w:rPr>
      </w:pPr>
      <w:r>
        <w:rPr>
          <w:sz w:val="22"/>
        </w:rPr>
        <w:t>be in the English language or, if in any other language, accompanied by a translation into English. If there is a conflict between the English text and the text in any other language, then the English text shall prevail.</w:t>
      </w:r>
    </w:p>
    <w:p>
      <w:pPr>
        <w:pStyle w:val="FWOutL3"/>
        <w:numPr>
          <w:ilvl w:val="2"/>
          <w:numId w:val="7"/>
        </w:numPr>
        <w:ind w:hanging="0" w:start="0"/>
        <w:rPr>
          <w:sz w:val="22"/>
        </w:rPr>
      </w:pPr>
      <w:bookmarkStart w:id="144" w:name="_Ref121208126"/>
      <w:r>
        <w:rPr>
          <w:sz w:val="22"/>
        </w:rPr>
        <w:t>The addresses and fax numbers of the parties for the purpose of this clause are as follows:</w:t>
      </w:r>
      <w:bookmarkEnd w:id="144"/>
    </w:p>
    <w:p>
      <w:pPr>
        <w:pStyle w:val="FWOutL3"/>
        <w:numPr>
          <w:ilvl w:val="0"/>
          <w:numId w:val="0"/>
        </w:numPr>
        <w:ind w:hanging="0" w:start="0"/>
        <w:rPr>
          <w:b/>
          <w:bCs/>
          <w:sz w:val="22"/>
        </w:rPr>
      </w:pPr>
      <w:r>
        <w:rPr>
          <w:b/>
          <w:bCs/>
          <w:sz w:val="22"/>
        </w:rPr>
        <w:t>The PST Supplier</w:t>
      </w:r>
    </w:p>
    <w:p>
      <w:pPr>
        <w:pStyle w:val="FWOutL3"/>
        <w:numPr>
          <w:ilvl w:val="0"/>
          <w:numId w:val="0"/>
        </w:numPr>
        <w:ind w:hanging="0" w:start="0"/>
        <w:rPr>
          <w:sz w:val="22"/>
        </w:rPr>
      </w:pPr>
      <w:r>
        <w:rPr>
          <w:sz w:val="22"/>
        </w:rPr>
        <w:t>Address:</w:t>
        <w:tab/>
        <w:tab/>
        <w:t>[●]</w:t>
      </w:r>
    </w:p>
    <w:p>
      <w:pPr>
        <w:pStyle w:val="FWOutL3"/>
        <w:numPr>
          <w:ilvl w:val="0"/>
          <w:numId w:val="0"/>
        </w:numPr>
        <w:ind w:hanging="0" w:start="0"/>
        <w:rPr>
          <w:sz w:val="22"/>
        </w:rPr>
      </w:pPr>
      <w:r>
        <w:rPr>
          <w:sz w:val="22"/>
        </w:rPr>
        <w:t>Fax:</w:t>
        <w:tab/>
        <w:tab/>
        <w:tab/>
        <w:t>[●]</w:t>
      </w:r>
    </w:p>
    <w:p>
      <w:pPr>
        <w:pStyle w:val="FWOutL3"/>
        <w:numPr>
          <w:ilvl w:val="0"/>
          <w:numId w:val="0"/>
        </w:numPr>
        <w:ind w:hanging="0" w:start="0"/>
        <w:rPr>
          <w:sz w:val="22"/>
        </w:rPr>
      </w:pPr>
      <w:r>
        <w:rPr>
          <w:sz w:val="22"/>
        </w:rPr>
        <w:t>For the attention of:</w:t>
        <w:tab/>
        <w:t>[●]</w:t>
      </w:r>
    </w:p>
    <w:p>
      <w:pPr>
        <w:pStyle w:val="FWOutL3"/>
        <w:numPr>
          <w:ilvl w:val="0"/>
          <w:numId w:val="0"/>
        </w:numPr>
        <w:ind w:hanging="0" w:start="0"/>
        <w:rPr>
          <w:b/>
          <w:bCs/>
          <w:sz w:val="22"/>
        </w:rPr>
      </w:pPr>
      <w:r>
        <w:rPr>
          <w:b/>
          <w:bCs/>
          <w:sz w:val="22"/>
        </w:rPr>
        <w:t>EuroBank Netherlands</w:t>
      </w:r>
    </w:p>
    <w:p>
      <w:pPr>
        <w:pStyle w:val="FWOutL3"/>
        <w:numPr>
          <w:ilvl w:val="0"/>
          <w:numId w:val="0"/>
        </w:numPr>
        <w:ind w:hanging="0" w:start="0"/>
        <w:rPr>
          <w:sz w:val="22"/>
        </w:rPr>
      </w:pPr>
      <w:r>
        <w:rPr>
          <w:sz w:val="22"/>
        </w:rPr>
        <w:t>Address:</w:t>
        <w:tab/>
        <w:tab/>
        <w:t>[●] details of EuroBank MSP to be inserted</w:t>
      </w:r>
    </w:p>
    <w:p>
      <w:pPr>
        <w:pStyle w:val="FWOutL3"/>
        <w:numPr>
          <w:ilvl w:val="0"/>
          <w:numId w:val="0"/>
        </w:numPr>
        <w:ind w:hanging="0" w:start="0"/>
        <w:rPr>
          <w:sz w:val="22"/>
        </w:rPr>
      </w:pPr>
      <w:r>
        <w:rPr>
          <w:sz w:val="22"/>
        </w:rPr>
        <w:t>Fax:</w:t>
        <w:tab/>
        <w:tab/>
        <w:tab/>
        <w:t>[●]</w:t>
      </w:r>
    </w:p>
    <w:p>
      <w:pPr>
        <w:pStyle w:val="FWOutL3"/>
        <w:numPr>
          <w:ilvl w:val="0"/>
          <w:numId w:val="0"/>
        </w:numPr>
        <w:ind w:hanging="0" w:start="0"/>
        <w:rPr>
          <w:sz w:val="22"/>
        </w:rPr>
      </w:pPr>
      <w:r>
        <w:rPr>
          <w:sz w:val="22"/>
        </w:rPr>
        <w:t>For the attention of:</w:t>
        <w:tab/>
        <w:t>[●]</w:t>
      </w:r>
    </w:p>
    <w:p>
      <w:pPr>
        <w:pStyle w:val="FWOutL3"/>
        <w:numPr>
          <w:ilvl w:val="0"/>
          <w:numId w:val="0"/>
        </w:numPr>
        <w:ind w:hanging="0" w:start="0"/>
        <w:rPr>
          <w:sz w:val="22"/>
        </w:rPr>
      </w:pPr>
      <w:r>
        <w:rPr>
          <w:sz w:val="22"/>
        </w:rPr>
      </w:r>
    </w:p>
    <w:p>
      <w:pPr>
        <w:pStyle w:val="FWOutL3"/>
        <w:numPr>
          <w:ilvl w:val="0"/>
          <w:numId w:val="0"/>
        </w:numPr>
        <w:ind w:hanging="0" w:start="0"/>
        <w:rPr>
          <w:b/>
          <w:bCs/>
          <w:sz w:val="22"/>
        </w:rPr>
      </w:pPr>
      <w:r>
        <w:rPr>
          <w:b/>
          <w:bCs/>
          <w:sz w:val="22"/>
        </w:rPr>
        <w:t>EuroBank Belgium</w:t>
      </w:r>
    </w:p>
    <w:p>
      <w:pPr>
        <w:pStyle w:val="FWOutL3"/>
        <w:numPr>
          <w:ilvl w:val="0"/>
          <w:numId w:val="0"/>
        </w:numPr>
        <w:ind w:hanging="0" w:start="0"/>
        <w:rPr>
          <w:sz w:val="22"/>
        </w:rPr>
      </w:pPr>
      <w:r>
        <w:rPr>
          <w:sz w:val="22"/>
        </w:rPr>
        <w:t>Address:</w:t>
        <w:tab/>
        <w:tab/>
        <w:t>[●]</w:t>
      </w:r>
    </w:p>
    <w:p>
      <w:pPr>
        <w:pStyle w:val="FWOutL3"/>
        <w:numPr>
          <w:ilvl w:val="0"/>
          <w:numId w:val="0"/>
        </w:numPr>
        <w:ind w:hanging="0" w:start="0"/>
        <w:rPr>
          <w:sz w:val="22"/>
        </w:rPr>
      </w:pPr>
      <w:r>
        <w:rPr>
          <w:sz w:val="22"/>
        </w:rPr>
        <w:t>Fax:</w:t>
        <w:tab/>
        <w:tab/>
        <w:tab/>
        <w:t>[●]</w:t>
      </w:r>
    </w:p>
    <w:p>
      <w:pPr>
        <w:pStyle w:val="FWOutL3"/>
        <w:numPr>
          <w:ilvl w:val="0"/>
          <w:numId w:val="0"/>
        </w:numPr>
        <w:ind w:hanging="0" w:start="0"/>
        <w:rPr>
          <w:sz w:val="22"/>
        </w:rPr>
      </w:pPr>
      <w:r>
        <w:rPr>
          <w:sz w:val="22"/>
        </w:rPr>
        <w:t>For the attention of:</w:t>
        <w:tab/>
        <w:t>[●]</w:t>
      </w:r>
    </w:p>
    <w:p>
      <w:pPr>
        <w:pStyle w:val="FWOutL3"/>
        <w:numPr>
          <w:ilvl w:val="0"/>
          <w:numId w:val="0"/>
        </w:numPr>
        <w:ind w:hanging="0" w:start="0"/>
        <w:rPr>
          <w:sz w:val="22"/>
        </w:rPr>
      </w:pPr>
      <w:r>
        <w:rPr>
          <w:sz w:val="22"/>
        </w:rPr>
      </w:r>
    </w:p>
    <w:p>
      <w:pPr>
        <w:pStyle w:val="FWOutL3"/>
        <w:numPr>
          <w:ilvl w:val="0"/>
          <w:numId w:val="0"/>
        </w:numPr>
        <w:ind w:hanging="0" w:start="0"/>
        <w:rPr>
          <w:sz w:val="22"/>
        </w:rPr>
      </w:pPr>
      <w:r>
        <w:rPr>
          <w:sz w:val="22"/>
        </w:rPr>
      </w:r>
    </w:p>
    <w:p>
      <w:pPr>
        <w:pStyle w:val="FWOutL3"/>
        <w:numPr>
          <w:ilvl w:val="2"/>
          <w:numId w:val="7"/>
        </w:numPr>
        <w:ind w:hanging="0" w:start="0"/>
        <w:rPr>
          <w:sz w:val="22"/>
        </w:rPr>
      </w:pPr>
      <w:r>
        <w:rPr>
          <w:sz w:val="22"/>
        </w:rPr>
        <w:t xml:space="preserve">A party shall notify the other of a change to its name, relevant addressee, address or fax number for the purposes of this clause </w:t>
      </w:r>
      <w:r>
        <w:rPr>
          <w:sz w:val="22"/>
        </w:rPr>
        <w:fldChar w:fldCharType="begin"/>
      </w:r>
      <w:r>
        <w:rPr>
          <w:sz w:val="22"/>
        </w:rPr>
        <w:instrText xml:space="preserve"> REF _Ref121208191 \w \w \h </w:instrText>
      </w:r>
      <w:r>
        <w:rPr>
          <w:sz w:val="22"/>
        </w:rPr>
        <w:fldChar w:fldCharType="separate"/>
      </w:r>
      <w:r>
        <w:rPr>
          <w:sz w:val="22"/>
        </w:rPr>
        <w:t>9.9</w:t>
      </w:r>
      <w:r>
        <w:rPr>
          <w:sz w:val="22"/>
        </w:rPr>
        <w:fldChar w:fldCharType="end"/>
      </w:r>
      <w:r>
        <w:rPr>
          <w:sz w:val="22"/>
        </w:rPr>
        <w:t>. Its notice shall only be effective on:</w:t>
      </w:r>
    </w:p>
    <w:p>
      <w:pPr>
        <w:pStyle w:val="FWOutL4"/>
        <w:numPr>
          <w:ilvl w:val="3"/>
          <w:numId w:val="7"/>
        </w:numPr>
        <w:ind w:hanging="0" w:start="0"/>
        <w:rPr>
          <w:sz w:val="22"/>
        </w:rPr>
      </w:pPr>
      <w:r>
        <w:rPr>
          <w:sz w:val="22"/>
        </w:rPr>
        <w:t>The date specified in the notice as the date on which the change is to take place; or</w:t>
      </w:r>
    </w:p>
    <w:p>
      <w:pPr>
        <w:pStyle w:val="FWOutL4"/>
        <w:numPr>
          <w:ilvl w:val="3"/>
          <w:numId w:val="7"/>
        </w:numPr>
        <w:ind w:hanging="0" w:start="0"/>
        <w:rPr>
          <w:sz w:val="22"/>
        </w:rPr>
      </w:pPr>
      <w:r>
        <w:rPr>
          <w:sz w:val="22"/>
        </w:rPr>
        <w:t>if no date is specified or the date specified is less than 5 Business Days after the date on which notice is given, the date following 5 Business Days after notice of any change has been given.</w:t>
      </w:r>
    </w:p>
    <w:p>
      <w:pPr>
        <w:pStyle w:val="FWOutL2"/>
        <w:numPr>
          <w:ilvl w:val="1"/>
          <w:numId w:val="7"/>
        </w:numPr>
        <w:ind w:hanging="0" w:start="0"/>
        <w:rPr>
          <w:sz w:val="22"/>
        </w:rPr>
      </w:pPr>
      <w:bookmarkStart w:id="145" w:name="__RefHeading___Toc153622634"/>
      <w:bookmarkStart w:id="146" w:name="_Ref125362923"/>
      <w:bookmarkStart w:id="147" w:name="_Ref38268774"/>
      <w:bookmarkStart w:id="148" w:name="_Ref2119919"/>
      <w:bookmarkStart w:id="149" w:name="_Ref2111819"/>
      <w:bookmarkEnd w:id="145"/>
      <w:r>
        <w:rPr>
          <w:sz w:val="22"/>
        </w:rPr>
        <w:t>Conflict with other Agreements</w:t>
      </w:r>
      <w:bookmarkEnd w:id="146"/>
      <w:bookmarkEnd w:id="147"/>
      <w:bookmarkEnd w:id="148"/>
      <w:bookmarkEnd w:id="149"/>
    </w:p>
    <w:p>
      <w:pPr>
        <w:pStyle w:val="FWOutL3"/>
        <w:numPr>
          <w:ilvl w:val="0"/>
          <w:numId w:val="0"/>
        </w:numPr>
        <w:ind w:hanging="0" w:start="0"/>
        <w:rPr>
          <w:sz w:val="22"/>
        </w:rPr>
      </w:pPr>
      <w:r>
        <w:rPr>
          <w:sz w:val="22"/>
        </w:rPr>
        <w:t>Save as expressly provided elsewhere in this MATA, in the event of any conflict between this MATA and any other agreement relating to the Proposed Transaction, this MATA shall prevail (as between the parties to this MATA and as between any other members of the EuroBank Group and the PST Supplier Group) save where such other agreement expressly states that it (or any part of it) is overriding this MATA in any respect and the parties to this MATA are either also parties to that other agreement or otherwise expressly and in writing agree that such other agreement shall override this MATA in that respect.</w:t>
      </w:r>
    </w:p>
    <w:p>
      <w:pPr>
        <w:pStyle w:val="FWOutL2"/>
        <w:numPr>
          <w:ilvl w:val="1"/>
          <w:numId w:val="7"/>
        </w:numPr>
        <w:ind w:hanging="0" w:start="0"/>
        <w:rPr>
          <w:sz w:val="22"/>
        </w:rPr>
      </w:pPr>
      <w:bookmarkStart w:id="150" w:name="__RefHeading___Toc153622635"/>
      <w:bookmarkStart w:id="151" w:name="_Ref127775654"/>
      <w:bookmarkEnd w:id="150"/>
      <w:r>
        <w:rPr>
          <w:sz w:val="22"/>
          <w:lang w:val="en-US"/>
        </w:rPr>
        <w:t>Survival</w:t>
      </w:r>
      <w:bookmarkEnd w:id="151"/>
    </w:p>
    <w:p>
      <w:pPr>
        <w:pStyle w:val="FWOutL3"/>
        <w:numPr>
          <w:ilvl w:val="2"/>
          <w:numId w:val="7"/>
        </w:numPr>
        <w:ind w:hanging="0" w:start="0"/>
        <w:rPr>
          <w:sz w:val="22"/>
        </w:rPr>
      </w:pPr>
      <w:r>
        <w:rPr>
          <w:sz w:val="22"/>
        </w:rPr>
        <w:t xml:space="preserve"> </w:t>
      </w:r>
      <w:r>
        <w:rPr>
          <w:sz w:val="22"/>
        </w:rPr>
        <w:t>Notwithstanding Completion:</w:t>
      </w:r>
    </w:p>
    <w:p>
      <w:pPr>
        <w:pStyle w:val="FWOutL4"/>
        <w:numPr>
          <w:ilvl w:val="3"/>
          <w:numId w:val="7"/>
        </w:numPr>
        <w:ind w:hanging="0" w:start="0"/>
        <w:rPr>
          <w:sz w:val="22"/>
        </w:rPr>
      </w:pPr>
      <w:r>
        <w:rPr>
          <w:sz w:val="22"/>
        </w:rPr>
        <w:t>each provision of this MATA (and any other documents referred to in them) not performed at or before the Commencement Date but which remains capable of performance;</w:t>
      </w:r>
    </w:p>
    <w:p>
      <w:pPr>
        <w:pStyle w:val="FWOutL4"/>
        <w:numPr>
          <w:ilvl w:val="3"/>
          <w:numId w:val="7"/>
        </w:numPr>
        <w:ind w:hanging="0" w:start="0"/>
        <w:rPr>
          <w:sz w:val="22"/>
        </w:rPr>
      </w:pPr>
      <w:r>
        <w:rPr>
          <w:sz w:val="22"/>
        </w:rPr>
        <w:t>the Warranties; and</w:t>
      </w:r>
    </w:p>
    <w:p>
      <w:pPr>
        <w:pStyle w:val="FWOutL4"/>
        <w:numPr>
          <w:ilvl w:val="3"/>
          <w:numId w:val="7"/>
        </w:numPr>
        <w:ind w:hanging="0" w:start="0"/>
        <w:rPr>
          <w:sz w:val="22"/>
        </w:rPr>
      </w:pPr>
      <w:r>
        <w:rPr>
          <w:sz w:val="22"/>
        </w:rPr>
        <w:t>all covenants, indemnities and other undertakings and assurances contained in or entered into pursuant to this MATA,</w:t>
      </w:r>
    </w:p>
    <w:p>
      <w:pPr>
        <w:pStyle w:val="FWOutL4"/>
        <w:numPr>
          <w:ilvl w:val="0"/>
          <w:numId w:val="0"/>
        </w:numPr>
        <w:ind w:hanging="0" w:start="0"/>
        <w:rPr>
          <w:sz w:val="22"/>
        </w:rPr>
      </w:pPr>
      <w:r>
        <w:rPr>
          <w:sz w:val="22"/>
        </w:rPr>
        <w:t>will remain in full force and effect and (except as otherwise expressly provided) without limit in time.</w:t>
      </w:r>
    </w:p>
    <w:p>
      <w:pPr>
        <w:pStyle w:val="FWOutL3"/>
        <w:numPr>
          <w:ilvl w:val="2"/>
          <w:numId w:val="7"/>
        </w:numPr>
        <w:ind w:hanging="0" w:start="0"/>
        <w:rPr>
          <w:sz w:val="22"/>
        </w:rPr>
      </w:pPr>
      <w:r>
        <w:rPr>
          <w:b/>
          <w:bCs/>
          <w:sz w:val="22"/>
        </w:rPr>
        <w:t xml:space="preserve"> </w:t>
      </w:r>
      <w:r>
        <w:rPr>
          <w:sz w:val="22"/>
        </w:rPr>
        <w:t xml:space="preserve">Clauses </w:t>
      </w:r>
      <w:r>
        <w:rPr>
          <w:sz w:val="22"/>
        </w:rPr>
        <w:fldChar w:fldCharType="begin"/>
      </w:r>
      <w:r>
        <w:rPr>
          <w:sz w:val="22"/>
        </w:rPr>
        <w:instrText xml:space="preserve"> REF _Ref125362372 \w \w \h </w:instrText>
      </w:r>
      <w:r>
        <w:rPr>
          <w:sz w:val="22"/>
        </w:rPr>
        <w:fldChar w:fldCharType="separate"/>
      </w:r>
      <w:r>
        <w:rPr>
          <w:sz w:val="22"/>
        </w:rPr>
        <w:t>1</w:t>
      </w:r>
      <w:r>
        <w:rPr>
          <w:sz w:val="22"/>
        </w:rPr>
        <w:fldChar w:fldCharType="end"/>
      </w:r>
      <w:r>
        <w:rPr>
          <w:sz w:val="22"/>
        </w:rPr>
        <w:t xml:space="preserve">, </w:t>
      </w:r>
      <w:r>
        <w:rPr>
          <w:sz w:val="22"/>
        </w:rPr>
        <w:fldChar w:fldCharType="begin"/>
      </w:r>
      <w:r>
        <w:rPr>
          <w:sz w:val="22"/>
        </w:rPr>
        <w:instrText xml:space="preserve"> REF _Ref128395711 \r \r \h </w:instrText>
      </w:r>
      <w:r>
        <w:rPr>
          <w:sz w:val="22"/>
        </w:rPr>
        <w:fldChar w:fldCharType="separate"/>
      </w:r>
      <w:r>
        <w:rPr>
          <w:sz w:val="22"/>
        </w:rPr>
        <w:t>6</w:t>
      </w:r>
      <w:r>
        <w:rPr>
          <w:sz w:val="22"/>
        </w:rPr>
        <w:fldChar w:fldCharType="end"/>
      </w:r>
      <w:r>
        <w:rPr>
          <w:sz w:val="22"/>
        </w:rPr>
        <w:t xml:space="preserve">, </w:t>
      </w:r>
      <w:r>
        <w:rPr>
          <w:sz w:val="22"/>
        </w:rPr>
        <w:fldChar w:fldCharType="begin"/>
      </w:r>
      <w:r>
        <w:rPr>
          <w:sz w:val="22"/>
        </w:rPr>
        <w:instrText xml:space="preserve"> REF _Ref125362396 \w \w \h </w:instrText>
      </w:r>
      <w:r>
        <w:rPr>
          <w:sz w:val="22"/>
        </w:rPr>
        <w:fldChar w:fldCharType="separate"/>
      </w:r>
      <w:r>
        <w:rPr>
          <w:sz w:val="22"/>
        </w:rPr>
        <w:t>7</w:t>
      </w:r>
      <w:r>
        <w:rPr>
          <w:sz w:val="22"/>
        </w:rPr>
        <w:fldChar w:fldCharType="end"/>
      </w:r>
      <w:r>
        <w:rPr>
          <w:sz w:val="22"/>
        </w:rPr>
        <w:t xml:space="preserve">, </w:t>
      </w:r>
      <w:r>
        <w:rPr>
          <w:sz w:val="22"/>
        </w:rPr>
        <w:fldChar w:fldCharType="begin"/>
      </w:r>
      <w:r>
        <w:rPr>
          <w:sz w:val="22"/>
        </w:rPr>
        <w:instrText xml:space="preserve"> REF _Ref125362417 \w \w \h </w:instrText>
      </w:r>
      <w:r>
        <w:rPr>
          <w:sz w:val="22"/>
        </w:rPr>
        <w:fldChar w:fldCharType="separate"/>
      </w:r>
      <w:r>
        <w:rPr>
          <w:sz w:val="22"/>
        </w:rPr>
        <w:t>9.1</w:t>
      </w:r>
      <w:r>
        <w:rPr>
          <w:sz w:val="22"/>
        </w:rPr>
        <w:fldChar w:fldCharType="end"/>
      </w:r>
      <w:r>
        <w:rPr>
          <w:sz w:val="22"/>
        </w:rPr>
        <w:t xml:space="preserve">, </w:t>
      </w:r>
      <w:r>
        <w:rPr>
          <w:sz w:val="22"/>
        </w:rPr>
        <w:fldChar w:fldCharType="begin"/>
      </w:r>
      <w:r>
        <w:rPr>
          <w:sz w:val="22"/>
        </w:rPr>
        <w:instrText xml:space="preserve"> REF _Ref125362469 \w \w \h </w:instrText>
      </w:r>
      <w:r>
        <w:rPr>
          <w:sz w:val="22"/>
        </w:rPr>
        <w:fldChar w:fldCharType="separate"/>
      </w:r>
      <w:r>
        <w:rPr>
          <w:sz w:val="22"/>
        </w:rPr>
        <w:t>9.3</w:t>
      </w:r>
      <w:r>
        <w:rPr>
          <w:sz w:val="22"/>
        </w:rPr>
        <w:fldChar w:fldCharType="end"/>
      </w:r>
      <w:r>
        <w:rPr>
          <w:sz w:val="22"/>
        </w:rPr>
        <w:t>, </w:t>
      </w:r>
      <w:r>
        <w:rPr>
          <w:sz w:val="22"/>
        </w:rPr>
        <w:fldChar w:fldCharType="begin"/>
      </w:r>
      <w:r>
        <w:rPr>
          <w:sz w:val="22"/>
        </w:rPr>
        <w:instrText xml:space="preserve"> REF _Ref125362681 \w \w \h </w:instrText>
      </w:r>
      <w:r>
        <w:rPr>
          <w:sz w:val="22"/>
        </w:rPr>
        <w:fldChar w:fldCharType="separate"/>
      </w:r>
      <w:r>
        <w:rPr>
          <w:sz w:val="22"/>
        </w:rPr>
        <w:t>9.6</w:t>
      </w:r>
      <w:r>
        <w:rPr>
          <w:sz w:val="22"/>
        </w:rPr>
        <w:fldChar w:fldCharType="end"/>
      </w:r>
      <w:r>
        <w:rPr>
          <w:sz w:val="22"/>
        </w:rPr>
        <w:t xml:space="preserve">, </w:t>
      </w:r>
      <w:r>
        <w:rPr>
          <w:sz w:val="22"/>
        </w:rPr>
        <w:fldChar w:fldCharType="begin"/>
      </w:r>
      <w:r>
        <w:rPr>
          <w:sz w:val="22"/>
        </w:rPr>
        <w:instrText xml:space="preserve"> REF _Ref2112454 \r \r \h </w:instrText>
      </w:r>
      <w:r>
        <w:rPr>
          <w:sz w:val="22"/>
        </w:rPr>
        <w:fldChar w:fldCharType="separate"/>
      </w:r>
      <w:r>
        <w:rPr>
          <w:sz w:val="22"/>
        </w:rPr>
        <w:t>9.8</w:t>
      </w:r>
      <w:r>
        <w:rPr>
          <w:sz w:val="22"/>
        </w:rPr>
        <w:fldChar w:fldCharType="end"/>
      </w:r>
      <w:r>
        <w:rPr>
          <w:sz w:val="22"/>
        </w:rPr>
        <w:t>, </w:t>
      </w:r>
      <w:r>
        <w:rPr>
          <w:sz w:val="22"/>
        </w:rPr>
        <w:fldChar w:fldCharType="begin"/>
      </w:r>
      <w:r>
        <w:rPr>
          <w:sz w:val="22"/>
        </w:rPr>
        <w:instrText xml:space="preserve"> REF _Ref127775654 \r \r \h </w:instrText>
      </w:r>
      <w:r>
        <w:rPr>
          <w:sz w:val="22"/>
        </w:rPr>
        <w:fldChar w:fldCharType="separate"/>
      </w:r>
      <w:r>
        <w:rPr>
          <w:sz w:val="22"/>
        </w:rPr>
        <w:t>9.11</w:t>
      </w:r>
      <w:r>
        <w:rPr>
          <w:sz w:val="22"/>
        </w:rPr>
        <w:fldChar w:fldCharType="end"/>
      </w:r>
      <w:r>
        <w:rPr>
          <w:sz w:val="22"/>
        </w:rPr>
        <w:t xml:space="preserve"> and </w:t>
      </w:r>
      <w:r>
        <w:rPr>
          <w:sz w:val="22"/>
        </w:rPr>
        <w:fldChar w:fldCharType="begin"/>
      </w:r>
      <w:r>
        <w:rPr>
          <w:sz w:val="22"/>
        </w:rPr>
        <w:instrText xml:space="preserve"> REF _Ref125362767 \w \w \h </w:instrText>
      </w:r>
      <w:r>
        <w:rPr>
          <w:sz w:val="22"/>
        </w:rPr>
        <w:fldChar w:fldCharType="separate"/>
      </w:r>
      <w:r>
        <w:rPr>
          <w:sz w:val="22"/>
        </w:rPr>
        <w:t>9.14</w:t>
      </w:r>
      <w:r>
        <w:rPr>
          <w:sz w:val="22"/>
        </w:rPr>
        <w:fldChar w:fldCharType="end"/>
      </w:r>
      <w:r>
        <w:rPr>
          <w:sz w:val="22"/>
        </w:rPr>
        <w:t xml:space="preserve"> and </w:t>
      </w:r>
      <w:r>
        <w:rPr>
          <w:sz w:val="22"/>
        </w:rPr>
        <w:fldChar w:fldCharType="begin"/>
      </w:r>
      <w:r>
        <w:rPr>
          <w:sz w:val="22"/>
        </w:rPr>
        <w:instrText xml:space="preserve"> REF _Ref41404807 \w \w \h </w:instrText>
      </w:r>
      <w:r>
        <w:rPr>
          <w:sz w:val="22"/>
        </w:rPr>
        <w:fldChar w:fldCharType="separate"/>
      </w:r>
      <w:r>
        <w:rPr>
          <w:sz w:val="22"/>
        </w:rPr>
      </w:r>
      <w:r>
        <w:rPr>
          <w:sz w:val="22"/>
        </w:rPr>
        <w:fldChar w:fldCharType="end"/>
      </w:r>
      <w:r>
        <w:rPr>
          <w:sz w:val="22"/>
        </w:rPr>
        <w:t xml:space="preserve"> (</w:t>
      </w:r>
      <w:r>
        <w:rPr>
          <w:i/>
          <w:iCs/>
          <w:sz w:val="22"/>
        </w:rPr>
        <w:t>Definitions and Interpretation</w:t>
      </w:r>
      <w:r>
        <w:rPr>
          <w:sz w:val="22"/>
        </w:rPr>
        <w:t>) shall survive expiry or termination of this MATA for any reason.</w:t>
      </w:r>
    </w:p>
    <w:p>
      <w:pPr>
        <w:pStyle w:val="FWOutL2"/>
        <w:numPr>
          <w:ilvl w:val="1"/>
          <w:numId w:val="7"/>
        </w:numPr>
        <w:ind w:hanging="0" w:start="0"/>
        <w:rPr>
          <w:sz w:val="22"/>
        </w:rPr>
      </w:pPr>
      <w:bookmarkStart w:id="152" w:name="__RefHeading___Toc153622636"/>
      <w:bookmarkStart w:id="153" w:name="_Ref532905048"/>
      <w:bookmarkEnd w:id="152"/>
      <w:r>
        <w:rPr>
          <w:sz w:val="22"/>
        </w:rPr>
        <w:t>Variation</w:t>
      </w:r>
    </w:p>
    <w:p>
      <w:pPr>
        <w:pStyle w:val="FWOutL3"/>
        <w:numPr>
          <w:ilvl w:val="2"/>
          <w:numId w:val="7"/>
        </w:numPr>
        <w:ind w:hanging="0" w:start="0"/>
        <w:rPr>
          <w:sz w:val="22"/>
        </w:rPr>
      </w:pPr>
      <w:r>
        <w:rPr>
          <w:sz w:val="22"/>
        </w:rPr>
        <w:t xml:space="preserve"> </w:t>
      </w:r>
      <w:r>
        <w:rPr>
          <w:sz w:val="22"/>
        </w:rPr>
        <w:t>No amendment, variation or waiver of this MATA shall be valid unless in writing and duly executed by or on behalf of all of the parties to it.</w:t>
      </w:r>
    </w:p>
    <w:p>
      <w:pPr>
        <w:pStyle w:val="FWOutL3"/>
        <w:numPr>
          <w:ilvl w:val="2"/>
          <w:numId w:val="7"/>
        </w:numPr>
        <w:ind w:hanging="0" w:start="0"/>
        <w:rPr>
          <w:sz w:val="22"/>
        </w:rPr>
      </w:pPr>
      <w:r>
        <w:rPr>
          <w:sz w:val="22"/>
        </w:rPr>
        <w:t xml:space="preserve"> </w:t>
      </w:r>
      <w:r>
        <w:rPr>
          <w:sz w:val="22"/>
        </w:rPr>
        <w:t>The expression ‘variation’ shall include any supplement, deletion or replacement howsoever effected.</w:t>
      </w:r>
      <w:bookmarkEnd w:id="153"/>
      <w:r>
        <w:rPr>
          <w:sz w:val="22"/>
        </w:rPr>
        <w:t xml:space="preserve">  </w:t>
      </w:r>
    </w:p>
    <w:p>
      <w:pPr>
        <w:pStyle w:val="FWOutL3"/>
        <w:numPr>
          <w:ilvl w:val="2"/>
          <w:numId w:val="7"/>
        </w:numPr>
        <w:ind w:hanging="0" w:start="0"/>
        <w:rPr>
          <w:sz w:val="22"/>
        </w:rPr>
      </w:pPr>
      <w:r>
        <w:rPr>
          <w:sz w:val="22"/>
        </w:rPr>
        <w:t xml:space="preserve"> </w:t>
      </w:r>
      <w:r>
        <w:rPr>
          <w:sz w:val="22"/>
        </w:rPr>
        <w:t xml:space="preserve">No variation shall constitute a general waiver of any provisions of this MATA or a Transaction Document, nor shall it affect any rights, obligations or liabilities under this MATA which have already accrued up to the date of variation, and the rights and obligations of the parties under this MATA shall remain in full force and effect, except and only to the extent that they are so varied. </w:t>
      </w:r>
    </w:p>
    <w:p>
      <w:pPr>
        <w:pStyle w:val="FWOutL2"/>
        <w:numPr>
          <w:ilvl w:val="1"/>
          <w:numId w:val="7"/>
        </w:numPr>
        <w:ind w:hanging="0" w:start="0"/>
        <w:rPr>
          <w:sz w:val="22"/>
        </w:rPr>
      </w:pPr>
      <w:bookmarkStart w:id="154" w:name="__RefHeading___Toc153622637"/>
      <w:bookmarkStart w:id="155" w:name="_Ref125362702"/>
      <w:bookmarkStart w:id="156" w:name="_Ref2119977"/>
      <w:bookmarkEnd w:id="154"/>
      <w:r>
        <w:rPr>
          <w:sz w:val="22"/>
        </w:rPr>
        <w:t>Severability</w:t>
      </w:r>
      <w:bookmarkEnd w:id="155"/>
    </w:p>
    <w:p>
      <w:pPr>
        <w:pStyle w:val="FWOutL3"/>
        <w:numPr>
          <w:ilvl w:val="0"/>
          <w:numId w:val="0"/>
        </w:numPr>
        <w:ind w:hanging="0" w:start="0"/>
        <w:rPr>
          <w:sz w:val="22"/>
        </w:rPr>
      </w:pPr>
      <w:bookmarkStart w:id="157" w:name="_Ref2119977"/>
      <w:r>
        <w:rPr>
          <w:sz w:val="22"/>
        </w:rPr>
        <w:t>Each of the provisions of this MATA and the other Transaction Documents is severable. If a provision is held to be or becomes illegal, invalid or unenforceable in any respect under the law of any jurisdiction:</w:t>
      </w:r>
      <w:bookmarkEnd w:id="157"/>
    </w:p>
    <w:p>
      <w:pPr>
        <w:pStyle w:val="FWOutL4"/>
        <w:numPr>
          <w:ilvl w:val="3"/>
          <w:numId w:val="7"/>
        </w:numPr>
        <w:ind w:hanging="0" w:start="0"/>
        <w:rPr>
          <w:sz w:val="22"/>
        </w:rPr>
      </w:pPr>
      <w:r>
        <w:rPr>
          <w:sz w:val="22"/>
        </w:rPr>
        <w:t>so far as it is illegal, invalid or unenforceable, it shall be deemed not to be included in this MATA or the relevant Transaction Document, it shall not affect or impair the legality, validity or enforceability in that jurisdiction of the other provisions of this MATA or the relevant Transaction Document or of that or any provisions of this MATA or the relevant Transaction Document in any other jurisdiction; and</w:t>
      </w:r>
    </w:p>
    <w:p>
      <w:pPr>
        <w:pStyle w:val="FWOutL4"/>
        <w:numPr>
          <w:ilvl w:val="3"/>
          <w:numId w:val="7"/>
        </w:numPr>
        <w:ind w:hanging="0" w:start="0"/>
        <w:rPr>
          <w:sz w:val="22"/>
        </w:rPr>
      </w:pPr>
      <w:r>
        <w:rPr>
          <w:sz w:val="22"/>
        </w:rPr>
        <w:t>the parties shall use all reasonable endeavours to replace it with a valid and enforceable substitute provision or provisions, with an effect as close as possible to the intended effect of the illegal, invalid or unenforceable provision.</w:t>
      </w:r>
    </w:p>
    <w:p>
      <w:pPr>
        <w:pStyle w:val="FWOutL2"/>
        <w:numPr>
          <w:ilvl w:val="1"/>
          <w:numId w:val="7"/>
        </w:numPr>
        <w:ind w:hanging="0" w:start="0"/>
        <w:rPr>
          <w:sz w:val="22"/>
        </w:rPr>
      </w:pPr>
      <w:bookmarkStart w:id="158" w:name="__RefHeading___Toc153622638"/>
      <w:bookmarkStart w:id="159" w:name="_Ref125366072"/>
      <w:bookmarkStart w:id="160" w:name="_Ref125362767"/>
      <w:bookmarkStart w:id="161" w:name="_Ref125188895"/>
      <w:bookmarkStart w:id="162" w:name="_Ref46939541"/>
      <w:bookmarkStart w:id="163" w:name="_Ref38268806"/>
      <w:bookmarkStart w:id="164" w:name="_Ref12085178"/>
      <w:bookmarkStart w:id="165" w:name="_Ref6052437"/>
      <w:bookmarkStart w:id="166" w:name="_Ref5820296"/>
      <w:bookmarkStart w:id="167" w:name="_Ref5797454"/>
      <w:bookmarkStart w:id="168" w:name="_Ref2120001"/>
      <w:bookmarkStart w:id="169" w:name="_Ref2112464"/>
      <w:bookmarkStart w:id="170" w:name="_Ref512353380"/>
      <w:bookmarkStart w:id="171" w:name="_Ref512353014"/>
      <w:bookmarkEnd w:id="158"/>
      <w:r>
        <w:rPr>
          <w:sz w:val="22"/>
        </w:rPr>
        <w:t>Governing Law, Jurisdiction and Service of Process</w:t>
      </w:r>
      <w:bookmarkEnd w:id="159"/>
      <w:bookmarkEnd w:id="160"/>
      <w:bookmarkEnd w:id="161"/>
      <w:bookmarkEnd w:id="162"/>
      <w:bookmarkEnd w:id="163"/>
      <w:bookmarkEnd w:id="164"/>
      <w:bookmarkEnd w:id="165"/>
      <w:bookmarkEnd w:id="166"/>
      <w:bookmarkEnd w:id="167"/>
      <w:bookmarkEnd w:id="168"/>
      <w:bookmarkEnd w:id="169"/>
      <w:bookmarkEnd w:id="170"/>
      <w:bookmarkEnd w:id="171"/>
    </w:p>
    <w:p>
      <w:pPr>
        <w:pStyle w:val="FWOutL3"/>
        <w:numPr>
          <w:ilvl w:val="2"/>
          <w:numId w:val="7"/>
        </w:numPr>
        <w:ind w:hanging="0" w:start="0"/>
        <w:rPr>
          <w:sz w:val="22"/>
        </w:rPr>
      </w:pPr>
      <w:r>
        <w:rPr>
          <w:sz w:val="22"/>
        </w:rPr>
        <w:t>This MATA and the relationship between the parties shall be exclusively governed by, and interpreted in accordance with, the laws of the Netherlands excluding the United Nations Convention on the International Sale of Goods.</w:t>
      </w:r>
    </w:p>
    <w:p>
      <w:pPr>
        <w:pStyle w:val="FWOutL3"/>
        <w:numPr>
          <w:ilvl w:val="2"/>
          <w:numId w:val="7"/>
        </w:numPr>
        <w:ind w:hanging="0" w:start="0"/>
        <w:rPr>
          <w:sz w:val="22"/>
        </w:rPr>
      </w:pPr>
      <w:bookmarkStart w:id="172" w:name="_Ref123459432"/>
      <w:r>
        <w:rPr>
          <w:sz w:val="22"/>
        </w:rPr>
        <w:t>All disputes, controversies or claims between the parties arising out of or in connection with this MATA and/or further contracts resulting therefrom shall, after exhaustion of the Escalation Procedure described in Exhibit 6 (</w:t>
      </w:r>
      <w:r>
        <w:rPr>
          <w:i/>
          <w:iCs/>
          <w:sz w:val="22"/>
        </w:rPr>
        <w:t>Governance</w:t>
      </w:r>
      <w:r>
        <w:rPr>
          <w:sz w:val="22"/>
        </w:rPr>
        <w:t>) to the MSA, be finally settled by an arbitral tribunal in accordance with the Arbitration Rules of the Netherlands Arbitration Institute (</w:t>
      </w:r>
      <w:r>
        <w:rPr>
          <w:b/>
          <w:bCs/>
          <w:i/>
          <w:iCs/>
          <w:sz w:val="22"/>
        </w:rPr>
        <w:t>NAI</w:t>
      </w:r>
      <w:r>
        <w:rPr>
          <w:sz w:val="22"/>
        </w:rPr>
        <w:t>). The arbitral tribunal shall decide in accordance with the rules of law (</w:t>
      </w:r>
      <w:r>
        <w:rPr>
          <w:i/>
          <w:iCs/>
          <w:sz w:val="22"/>
        </w:rPr>
        <w:t>regelen des rechts</w:t>
      </w:r>
      <w:r>
        <w:rPr>
          <w:sz w:val="22"/>
        </w:rPr>
        <w:t>), and not as amiable compositeurs. The place of arbitration shall be Amsterdam, the Netherlands and the arbitration shall be conducted in the English language.</w:t>
      </w:r>
      <w:bookmarkEnd w:id="172"/>
      <w:r>
        <w:rPr>
          <w:sz w:val="22"/>
        </w:rPr>
        <w:t xml:space="preserve"> </w:t>
      </w:r>
    </w:p>
    <w:p>
      <w:pPr>
        <w:pStyle w:val="FWOutL3"/>
        <w:numPr>
          <w:ilvl w:val="2"/>
          <w:numId w:val="7"/>
        </w:numPr>
        <w:ind w:hanging="0" w:start="0"/>
        <w:rPr>
          <w:sz w:val="22"/>
        </w:rPr>
      </w:pPr>
      <w:r>
        <w:rPr>
          <w:sz w:val="22"/>
        </w:rPr>
        <w:t xml:space="preserve"> </w:t>
      </w:r>
      <w:r>
        <w:rPr>
          <w:sz w:val="22"/>
        </w:rPr>
        <w:t>Without prejudice to the Escalation Procedure set out in Exhibit 6 (</w:t>
      </w:r>
      <w:r>
        <w:rPr>
          <w:i/>
          <w:iCs/>
          <w:sz w:val="22"/>
        </w:rPr>
        <w:t>Governance</w:t>
      </w:r>
      <w:r>
        <w:rPr>
          <w:sz w:val="22"/>
        </w:rPr>
        <w:t>) to the MSA, parties retain the right to obtain preliminary relief, by means of summary proceedings (</w:t>
      </w:r>
      <w:r>
        <w:rPr>
          <w:i/>
          <w:iCs/>
          <w:sz w:val="22"/>
        </w:rPr>
        <w:t>kort geding</w:t>
      </w:r>
      <w:r>
        <w:rPr>
          <w:sz w:val="22"/>
        </w:rPr>
        <w:t xml:space="preserve">) at all times. </w:t>
      </w:r>
    </w:p>
    <w:p>
      <w:pPr>
        <w:pStyle w:val="FWOutL3"/>
        <w:numPr>
          <w:ilvl w:val="2"/>
          <w:numId w:val="7"/>
        </w:numPr>
        <w:ind w:hanging="0" w:start="0"/>
        <w:rPr>
          <w:sz w:val="22"/>
        </w:rPr>
      </w:pPr>
      <w:bookmarkStart w:id="173" w:name="_Ref123459449"/>
      <w:r>
        <w:rPr>
          <w:sz w:val="22"/>
        </w:rPr>
        <w:t xml:space="preserve"> </w:t>
      </w:r>
      <w:r>
        <w:rPr>
          <w:sz w:val="22"/>
        </w:rPr>
        <w:t>Information that is not in the public domain concerning (a) the existence of a dispute and/or an arbitration, (b) any arguments raised by any of the parties in relation to a dispute and/or arbitration, (c) the evidence, briefs or documents submitted in relation to a dispute and/or arbitration, (d) the outcome or award of a dispute and/or arbitration, may not be unilaterally disclosed by a party to any third party unless it is required to do so by law or by a competent regulatory body, or to the extent that the information is required to be produced in arbitration related court proceedings, and then only:</w:t>
      </w:r>
      <w:bookmarkEnd w:id="173"/>
    </w:p>
    <w:p>
      <w:pPr>
        <w:pStyle w:val="FWOutL5"/>
        <w:numPr>
          <w:ilvl w:val="4"/>
          <w:numId w:val="7"/>
        </w:numPr>
        <w:ind w:hanging="0" w:start="0"/>
        <w:rPr>
          <w:sz w:val="22"/>
        </w:rPr>
      </w:pPr>
      <w:r>
        <w:rPr>
          <w:sz w:val="22"/>
        </w:rPr>
        <w:t>by disclosing no more than what is legally required; and</w:t>
      </w:r>
    </w:p>
    <w:p>
      <w:pPr>
        <w:pStyle w:val="FWOutL5"/>
        <w:numPr>
          <w:ilvl w:val="4"/>
          <w:numId w:val="7"/>
        </w:numPr>
        <w:ind w:hanging="0" w:start="0"/>
        <w:rPr>
          <w:sz w:val="22"/>
        </w:rPr>
      </w:pPr>
      <w:r>
        <w:rPr>
          <w:sz w:val="22"/>
        </w:rPr>
        <w:t xml:space="preserve">by furnishing to the arbitral tribunal and to the other party (if the disclosure takes place during the arbitration) or to the other party alone (if the disclosure takes place after the  termination of the arbitration) details of the disclosure and an explanation of the reason for it. </w:t>
      </w:r>
    </w:p>
    <w:p>
      <w:pPr>
        <w:pStyle w:val="FWOutL3"/>
        <w:numPr>
          <w:ilvl w:val="2"/>
          <w:numId w:val="7"/>
        </w:numPr>
        <w:ind w:hanging="0" w:start="0"/>
        <w:rPr>
          <w:sz w:val="22"/>
        </w:rPr>
      </w:pPr>
      <w:r>
        <w:rPr>
          <w:sz w:val="22"/>
        </w:rPr>
        <w:t>The PST Supplier shall maintain an agent in the Netherlands for service of process and any other documents in legal proceedings in connection with this MATA, and chooses domicile at the address of the following agent: [●] currently of [●], the Netherlands. The PST Supplier irrevocably undertakes not to revoke the authority of its agent.</w:t>
      </w:r>
    </w:p>
    <w:p>
      <w:pPr>
        <w:pStyle w:val="FWOutL2"/>
        <w:numPr>
          <w:ilvl w:val="1"/>
          <w:numId w:val="7"/>
        </w:numPr>
        <w:ind w:hanging="0" w:start="0"/>
        <w:rPr>
          <w:sz w:val="22"/>
        </w:rPr>
      </w:pPr>
      <w:bookmarkStart w:id="174" w:name="__RefHeading___Toc153622639"/>
      <w:bookmarkStart w:id="175" w:name="_Ref6278805"/>
      <w:bookmarkStart w:id="176" w:name="_Ref2120012"/>
      <w:bookmarkEnd w:id="174"/>
      <w:r>
        <w:rPr>
          <w:sz w:val="22"/>
        </w:rPr>
        <w:t>English Language</w:t>
      </w:r>
      <w:bookmarkEnd w:id="175"/>
      <w:bookmarkEnd w:id="176"/>
    </w:p>
    <w:p>
      <w:pPr>
        <w:pStyle w:val="FWOutL3"/>
        <w:numPr>
          <w:ilvl w:val="0"/>
          <w:numId w:val="0"/>
        </w:numPr>
        <w:ind w:hanging="0" w:start="0"/>
        <w:rPr/>
      </w:pPr>
      <w:r>
        <w:rPr>
          <w:sz w:val="22"/>
        </w:rPr>
        <w:t>The language of this MATA and the other Transaction Documents is English and all notices, demands, requests, statements, certificates or other documents or communications shall be in English unless otherwise agreed.</w:t>
      </w:r>
    </w:p>
    <w:p>
      <w:pPr>
        <w:pStyle w:val="FWOutL2"/>
        <w:numPr>
          <w:ilvl w:val="1"/>
          <w:numId w:val="7"/>
        </w:numPr>
        <w:ind w:hanging="0" w:start="0"/>
        <w:rPr>
          <w:sz w:val="22"/>
        </w:rPr>
      </w:pPr>
      <w:bookmarkStart w:id="177" w:name="__RefHeading___Toc153622640"/>
      <w:bookmarkEnd w:id="177"/>
      <w:r>
        <w:rPr>
          <w:sz w:val="22"/>
        </w:rPr>
        <w:t>Counterparts</w:t>
      </w:r>
    </w:p>
    <w:p>
      <w:pPr>
        <w:pStyle w:val="FWOutL3"/>
        <w:numPr>
          <w:ilvl w:val="0"/>
          <w:numId w:val="0"/>
        </w:numPr>
        <w:ind w:hanging="0" w:start="0"/>
        <w:rPr>
          <w:sz w:val="22"/>
        </w:rPr>
      </w:pPr>
      <w:r>
        <w:rPr>
          <w:sz w:val="22"/>
        </w:rPr>
        <w:t>This MATA may be executed in any number of counterparts and by the parties to them on separate counterparts, each of which is an original but all of which taken together shall, respectively, constitute one and the same instrument.</w:t>
      </w:r>
    </w:p>
    <w:p>
      <w:pPr>
        <w:pStyle w:val="FWOutL3"/>
        <w:numPr>
          <w:ilvl w:val="0"/>
          <w:numId w:val="0"/>
        </w:numPr>
        <w:ind w:hanging="0" w:start="0"/>
        <w:rPr/>
      </w:pPr>
      <w:r>
        <w:rPr>
          <w:b/>
          <w:smallCaps/>
          <w:sz w:val="22"/>
        </w:rPr>
        <w:t xml:space="preserve">As witness </w:t>
      </w:r>
      <w:r>
        <w:rPr>
          <w:bCs/>
          <w:sz w:val="22"/>
        </w:rPr>
        <w:t xml:space="preserve">this MATA </w:t>
      </w:r>
      <w:r>
        <w:rPr>
          <w:sz w:val="22"/>
        </w:rPr>
        <w:t>has been signed on behalf of the parties the day and year first before written.</w:t>
      </w:r>
    </w:p>
    <w:p>
      <w:pPr>
        <w:pStyle w:val="FWSL1"/>
        <w:numPr>
          <w:ilvl w:val="0"/>
          <w:numId w:val="0"/>
        </w:numPr>
        <w:tabs>
          <w:tab w:val="clear" w:pos="720"/>
          <w:tab w:val="center" w:pos="4320" w:leader="none"/>
          <w:tab w:val="right" w:pos="8280" w:leader="none"/>
        </w:tabs>
        <w:ind w:hanging="0" w:start="0"/>
        <w:rPr>
          <w:i/>
          <w:i/>
          <w:iCs/>
          <w:caps w:val="false"/>
          <w:smallCaps w:val="false"/>
          <w:sz w:val="22"/>
          <w:szCs w:val="22"/>
        </w:rPr>
      </w:pPr>
      <w:bookmarkStart w:id="178" w:name="__RefHeading___Toc153622641"/>
      <w:bookmarkStart w:id="179" w:name="_Ref38268813"/>
      <w:bookmarkStart w:id="180" w:name="_Ref8648134"/>
      <w:bookmarkStart w:id="181" w:name="_Ref2116224"/>
      <w:bookmarkStart w:id="182" w:name="_Ref2113826"/>
      <w:bookmarkStart w:id="183" w:name="_Ref2113162"/>
      <w:bookmarkStart w:id="184" w:name="_Ref2113142"/>
      <w:r>
        <w:rPr>
          <w:sz w:val="22"/>
          <w:szCs w:val="22"/>
        </w:rPr>
        <w:t>SCHEDULE 1</w:t>
      </w:r>
      <w:bookmarkStart w:id="185" w:name="_Ref41405895"/>
      <w:bookmarkStart w:id="186" w:name="_Ref41404807"/>
      <w:r>
        <w:rPr>
          <w:sz w:val="22"/>
          <w:szCs w:val="22"/>
        </w:rPr>
        <w:t xml:space="preserve"> - definitions and INTERPRETATION</w:t>
      </w:r>
      <w:bookmarkStart w:id="187" w:name="Position"/>
      <w:bookmarkEnd w:id="178"/>
      <w:bookmarkEnd w:id="179"/>
      <w:bookmarkEnd w:id="180"/>
      <w:bookmarkEnd w:id="181"/>
      <w:bookmarkEnd w:id="182"/>
      <w:bookmarkEnd w:id="183"/>
      <w:bookmarkEnd w:id="184"/>
      <w:bookmarkEnd w:id="185"/>
      <w:bookmarkEnd w:id="186"/>
      <w:bookmarkEnd w:id="187"/>
      <w:r>
        <w:rPr>
          <w:sz w:val="22"/>
          <w:szCs w:val="22"/>
        </w:rPr>
        <w:br/>
      </w:r>
    </w:p>
    <w:p>
      <w:pPr>
        <w:pStyle w:val="FWSL5"/>
        <w:numPr>
          <w:ilvl w:val="0"/>
          <w:numId w:val="0"/>
        </w:numPr>
        <w:ind w:hanging="0" w:start="0"/>
        <w:rPr>
          <w:b/>
          <w:bCs/>
          <w:sz w:val="22"/>
        </w:rPr>
      </w:pPr>
      <w:bookmarkStart w:id="188" w:name="_Ref6055806"/>
      <w:r>
        <w:rPr>
          <w:b/>
          <w:bCs/>
          <w:sz w:val="22"/>
        </w:rPr>
        <w:t>Interpretation</w:t>
      </w:r>
    </w:p>
    <w:p>
      <w:pPr>
        <w:pStyle w:val="FWSL5"/>
        <w:numPr>
          <w:ilvl w:val="0"/>
          <w:numId w:val="0"/>
        </w:numPr>
        <w:ind w:hanging="0" w:start="0"/>
        <w:rPr>
          <w:sz w:val="22"/>
        </w:rPr>
      </w:pPr>
      <w:bookmarkStart w:id="189" w:name="_Ref6055806"/>
      <w:r>
        <w:rPr>
          <w:sz w:val="22"/>
        </w:rPr>
        <w:t>In this MATA, unless otherwise stated or the context otherwise requires:</w:t>
      </w:r>
      <w:bookmarkEnd w:id="189"/>
    </w:p>
    <w:p>
      <w:pPr>
        <w:pStyle w:val="FWSL6"/>
        <w:numPr>
          <w:ilvl w:val="5"/>
          <w:numId w:val="12"/>
        </w:numPr>
        <w:tabs>
          <w:tab w:val="clear" w:pos="720"/>
          <w:tab w:val="left" w:pos="0" w:leader="none"/>
          <w:tab w:val="right" w:pos="8280" w:leader="none"/>
        </w:tabs>
        <w:ind w:hanging="0" w:start="0"/>
        <w:rPr>
          <w:sz w:val="22"/>
        </w:rPr>
      </w:pPr>
      <w:r>
        <w:rPr>
          <w:sz w:val="22"/>
        </w:rPr>
        <w:t xml:space="preserve">references to a </w:t>
      </w:r>
      <w:r>
        <w:rPr>
          <w:b/>
          <w:i/>
          <w:iCs/>
          <w:sz w:val="22"/>
        </w:rPr>
        <w:t>person</w:t>
      </w:r>
      <w:r>
        <w:rPr>
          <w:bCs/>
          <w:sz w:val="22"/>
        </w:rPr>
        <w:t xml:space="preserve"> </w:t>
      </w:r>
      <w:r>
        <w:rPr>
          <w:sz w:val="22"/>
        </w:rPr>
        <w:t>shall be construed so as to include any individual, firm, body corporate (wherever incorporated), Regulator or any joint venture, association, partnership, works council or employee representative body (whether or not having separate legal personality);</w:t>
      </w:r>
    </w:p>
    <w:p>
      <w:pPr>
        <w:pStyle w:val="FWSL6"/>
        <w:numPr>
          <w:ilvl w:val="5"/>
          <w:numId w:val="12"/>
        </w:numPr>
        <w:ind w:hanging="0" w:start="0"/>
        <w:rPr>
          <w:sz w:val="22"/>
        </w:rPr>
      </w:pPr>
      <w:r>
        <w:rPr/>
        <w:t>references to a party are to EuroBank or the PST Supplier (as applicable) and references to the parties are to both of them;</w:t>
      </w:r>
      <w:r>
        <w:rPr>
          <w:b/>
          <w:bCs/>
          <w:i/>
          <w:iCs/>
        </w:rPr>
      </w:r>
      <w:r>
        <w:rPr/>
      </w:r>
      <w:r>
        <w:rPr>
          <w:b/>
          <w:bCs/>
          <w:i/>
          <w:iCs/>
        </w:rPr>
      </w:r>
      <w:r>
        <w:rPr/>
      </w:r>
    </w:p>
    <w:p>
      <w:pPr>
        <w:pStyle w:val="FWSL6"/>
        <w:numPr>
          <w:ilvl w:val="5"/>
          <w:numId w:val="12"/>
        </w:numPr>
        <w:ind w:hanging="0" w:start="0"/>
        <w:rPr>
          <w:sz w:val="22"/>
        </w:rPr>
      </w:pPr>
      <w:r>
        <w:rPr>
          <w:sz w:val="22"/>
        </w:rPr>
        <w:t>the headings are inserted for convenience only and shall not affect the construction of this MATA;</w:t>
      </w:r>
    </w:p>
    <w:p>
      <w:pPr>
        <w:pStyle w:val="FWSL6"/>
        <w:numPr>
          <w:ilvl w:val="5"/>
          <w:numId w:val="12"/>
        </w:numPr>
        <w:ind w:hanging="0" w:start="0"/>
        <w:rPr>
          <w:sz w:val="22"/>
        </w:rPr>
      </w:pPr>
      <w:r>
        <w:rPr>
          <w:sz w:val="22"/>
        </w:rPr>
        <w:t>the singular shall include the plural and vice versa;</w:t>
      </w:r>
    </w:p>
    <w:p>
      <w:pPr>
        <w:pStyle w:val="FWSL6"/>
        <w:numPr>
          <w:ilvl w:val="5"/>
          <w:numId w:val="12"/>
        </w:numPr>
        <w:ind w:hanging="0" w:start="0"/>
        <w:rPr>
          <w:sz w:val="22"/>
        </w:rPr>
      </w:pPr>
      <w:r>
        <w:rPr>
          <w:sz w:val="22"/>
        </w:rPr>
        <w:t>references to one gender include all genders;</w:t>
      </w:r>
    </w:p>
    <w:p>
      <w:pPr>
        <w:pStyle w:val="FWSL6"/>
        <w:numPr>
          <w:ilvl w:val="5"/>
          <w:numId w:val="12"/>
        </w:numPr>
        <w:ind w:hanging="0" w:start="0"/>
        <w:rPr>
          <w:sz w:val="22"/>
        </w:rPr>
      </w:pPr>
      <w:r>
        <w:rPr>
          <w:sz w:val="22"/>
        </w:rPr>
        <w:t xml:space="preserve">the words </w:t>
      </w:r>
      <w:r>
        <w:rPr>
          <w:b/>
          <w:bCs/>
          <w:i/>
          <w:iCs/>
          <w:sz w:val="22"/>
        </w:rPr>
        <w:t>include</w:t>
      </w:r>
      <w:r>
        <w:rPr>
          <w:sz w:val="22"/>
        </w:rPr>
        <w:t xml:space="preserve"> and </w:t>
      </w:r>
      <w:r>
        <w:rPr>
          <w:b/>
          <w:bCs/>
          <w:i/>
          <w:iCs/>
          <w:sz w:val="22"/>
        </w:rPr>
        <w:t>including</w:t>
      </w:r>
      <w:r>
        <w:rPr>
          <w:sz w:val="22"/>
        </w:rPr>
        <w:t xml:space="preserve"> are each to be construed without limitation;</w:t>
      </w:r>
    </w:p>
    <w:p>
      <w:pPr>
        <w:pStyle w:val="FWSL6"/>
        <w:numPr>
          <w:ilvl w:val="5"/>
          <w:numId w:val="12"/>
        </w:numPr>
        <w:ind w:hanging="0" w:start="0"/>
        <w:rPr>
          <w:sz w:val="22"/>
        </w:rPr>
      </w:pPr>
      <w:r>
        <w:rPr>
          <w:sz w:val="22"/>
        </w:rPr>
        <w:t xml:space="preserve">references to a document are references to that document as modified or replaced from time to time; </w:t>
      </w:r>
    </w:p>
    <w:p>
      <w:pPr>
        <w:pStyle w:val="FWSL6"/>
        <w:numPr>
          <w:ilvl w:val="5"/>
          <w:numId w:val="12"/>
        </w:numPr>
        <w:ind w:hanging="0" w:start="0"/>
        <w:rPr>
          <w:sz w:val="22"/>
        </w:rPr>
      </w:pPr>
      <w:r>
        <w:rPr>
          <w:sz w:val="22"/>
        </w:rPr>
        <w:t xml:space="preserve">references to a </w:t>
      </w:r>
      <w:r>
        <w:rPr>
          <w:b/>
          <w:bCs/>
          <w:i/>
          <w:iCs/>
          <w:sz w:val="22"/>
        </w:rPr>
        <w:t>day</w:t>
      </w:r>
      <w:r>
        <w:rPr>
          <w:i/>
          <w:iCs/>
          <w:sz w:val="22"/>
        </w:rPr>
        <w:t xml:space="preserve"> </w:t>
      </w:r>
      <w:r>
        <w:rPr>
          <w:sz w:val="22"/>
        </w:rPr>
        <w:t xml:space="preserve">(including within the phrase Business Day) shall mean a period of 24 hours running from midnight to immediately before the following midnight; </w:t>
      </w:r>
    </w:p>
    <w:p>
      <w:pPr>
        <w:pStyle w:val="FWSL6"/>
        <w:numPr>
          <w:ilvl w:val="5"/>
          <w:numId w:val="12"/>
        </w:numPr>
        <w:ind w:hanging="0" w:start="0"/>
        <w:rPr>
          <w:sz w:val="22"/>
        </w:rPr>
      </w:pPr>
      <w:r>
        <w:rPr>
          <w:sz w:val="22"/>
        </w:rPr>
        <w:t>references to a time of day are to Amsterdam time;</w:t>
      </w:r>
    </w:p>
    <w:p>
      <w:pPr>
        <w:pStyle w:val="FWSL6"/>
        <w:numPr>
          <w:ilvl w:val="5"/>
          <w:numId w:val="12"/>
        </w:numPr>
        <w:ind w:hanging="0" w:start="0"/>
        <w:rPr>
          <w:sz w:val="22"/>
        </w:rPr>
      </w:pPr>
      <w:r>
        <w:rPr>
          <w:sz w:val="22"/>
        </w:rPr>
        <w:t xml:space="preserve">references to </w:t>
      </w:r>
      <w:r>
        <w:rPr>
          <w:b/>
          <w:i/>
          <w:iCs/>
          <w:sz w:val="22"/>
        </w:rPr>
        <w:t xml:space="preserve">euros </w:t>
      </w:r>
      <w:r>
        <w:rPr>
          <w:sz w:val="22"/>
        </w:rPr>
        <w:t xml:space="preserve">or </w:t>
      </w:r>
      <w:r>
        <w:rPr>
          <w:b/>
          <w:i/>
          <w:iCs/>
          <w:sz w:val="22"/>
        </w:rPr>
        <w:t>€</w:t>
      </w:r>
      <w:r>
        <w:rPr>
          <w:sz w:val="22"/>
        </w:rPr>
        <w:t xml:space="preserve"> are references to the lawful currency as used from time to time in the relevant member states of the European Union;</w:t>
      </w:r>
    </w:p>
    <w:p>
      <w:pPr>
        <w:pStyle w:val="FWSL6"/>
        <w:numPr>
          <w:ilvl w:val="5"/>
          <w:numId w:val="12"/>
        </w:numPr>
        <w:ind w:hanging="0" w:start="0"/>
        <w:rPr>
          <w:sz w:val="22"/>
        </w:rPr>
      </w:pPr>
      <w:r>
        <w:rPr>
          <w:sz w:val="22"/>
        </w:rPr>
        <w:t>any express reference to an enactment (which includes any legislation in any jurisdiction) includes references to:</w:t>
      </w:r>
    </w:p>
    <w:p>
      <w:pPr>
        <w:pStyle w:val="FWSL7"/>
        <w:numPr>
          <w:ilvl w:val="6"/>
          <w:numId w:val="12"/>
        </w:numPr>
        <w:ind w:hanging="0" w:start="0"/>
        <w:rPr>
          <w:sz w:val="22"/>
        </w:rPr>
      </w:pPr>
      <w:bookmarkStart w:id="190" w:name="_Ref44417718"/>
      <w:r>
        <w:rPr>
          <w:sz w:val="22"/>
        </w:rPr>
        <w:t>that enactment as amended, extended or applied by or under any other enactment before or after the date of this MATA;</w:t>
      </w:r>
      <w:bookmarkEnd w:id="190"/>
    </w:p>
    <w:p>
      <w:pPr>
        <w:pStyle w:val="FWSL7"/>
        <w:numPr>
          <w:ilvl w:val="6"/>
          <w:numId w:val="12"/>
        </w:numPr>
        <w:ind w:hanging="0" w:start="0"/>
        <w:rPr>
          <w:sz w:val="22"/>
        </w:rPr>
      </w:pPr>
      <w:bookmarkStart w:id="191" w:name="_Ref125262043"/>
      <w:r>
        <w:rPr>
          <w:sz w:val="22"/>
        </w:rPr>
        <w:t>any enactment which that enactment re</w:t>
        <w:noBreakHyphen/>
        <w:t>enacts (with or without modification);</w:t>
      </w:r>
    </w:p>
    <w:p>
      <w:pPr>
        <w:pStyle w:val="FWSL7"/>
        <w:numPr>
          <w:ilvl w:val="6"/>
          <w:numId w:val="12"/>
        </w:numPr>
        <w:ind w:hanging="0" w:start="0"/>
        <w:rPr>
          <w:sz w:val="22"/>
        </w:rPr>
      </w:pPr>
      <w:bookmarkStart w:id="192" w:name="_Ref125262043"/>
      <w:r>
        <w:rPr>
          <w:sz w:val="22"/>
        </w:rPr>
        <w:t>any enactment which replaces that enactment or fulfils the same purpose of that enactment; and</w:t>
      </w:r>
      <w:bookmarkEnd w:id="192"/>
    </w:p>
    <w:p>
      <w:pPr>
        <w:pStyle w:val="FWSL7"/>
        <w:numPr>
          <w:ilvl w:val="6"/>
          <w:numId w:val="12"/>
        </w:numPr>
        <w:ind w:hanging="0" w:start="0"/>
        <w:rPr>
          <w:sz w:val="22"/>
        </w:rPr>
      </w:pPr>
      <w:bookmarkStart w:id="193" w:name="_Ref8648732"/>
      <w:r>
        <w:rPr>
          <w:sz w:val="22"/>
        </w:rPr>
        <w:t>any subordinate legislation (including regulations) made (before or after the date of this MATA) under that enactment, as re</w:t>
        <w:noBreakHyphen/>
        <w:t xml:space="preserve">enacted, amended, extended or applied as described in </w:t>
      </w:r>
      <w:r>
        <w:rPr>
          <w:sz w:val="22"/>
        </w:rPr>
        <w:fldChar w:fldCharType="begin"/>
      </w:r>
      <w:r>
        <w:rPr>
          <w:sz w:val="22"/>
        </w:rPr>
        <w:instrText xml:space="preserve"> REF _Ref44417718 \w \w \h </w:instrText>
      </w:r>
      <w:r>
        <w:rPr>
          <w:sz w:val="22"/>
        </w:rPr>
        <w:fldChar w:fldCharType="separate"/>
      </w:r>
      <w:r>
        <w:rPr>
          <w:sz w:val="22"/>
        </w:rPr>
        <w:t>Schedule 11.(i)</w:t>
      </w:r>
      <w:r>
        <w:rPr>
          <w:sz w:val="22"/>
        </w:rPr>
        <w:fldChar w:fldCharType="end"/>
      </w:r>
      <w:r>
        <w:rPr>
          <w:sz w:val="22"/>
        </w:rPr>
        <w:t xml:space="preserve"> above, or under any enactment referred to in </w:t>
      </w:r>
      <w:r>
        <w:rPr>
          <w:sz w:val="22"/>
        </w:rPr>
        <w:fldChar w:fldCharType="begin"/>
      </w:r>
      <w:r>
        <w:rPr>
          <w:sz w:val="22"/>
        </w:rPr>
        <w:instrText xml:space="preserve"> REF _Ref125262043 \w \w \h </w:instrText>
      </w:r>
      <w:r>
        <w:rPr>
          <w:sz w:val="22"/>
        </w:rPr>
        <w:fldChar w:fldCharType="separate"/>
      </w:r>
      <w:r>
        <w:rPr>
          <w:sz w:val="22"/>
        </w:rPr>
        <w:t>Schedule 11.(ii)</w:t>
      </w:r>
      <w:r>
        <w:rPr>
          <w:sz w:val="22"/>
        </w:rPr>
        <w:fldChar w:fldCharType="end"/>
      </w:r>
      <w:r>
        <w:rPr>
          <w:sz w:val="22"/>
        </w:rPr>
        <w:t xml:space="preserve"> above; and</w:t>
      </w:r>
      <w:bookmarkEnd w:id="193"/>
    </w:p>
    <w:p>
      <w:pPr>
        <w:pStyle w:val="FWSL6"/>
        <w:numPr>
          <w:ilvl w:val="5"/>
          <w:numId w:val="12"/>
        </w:numPr>
        <w:ind w:hanging="0" w:start="0"/>
        <w:rPr>
          <w:sz w:val="22"/>
        </w:rPr>
      </w:pPr>
      <w:r>
        <w:rPr>
          <w:sz w:val="22"/>
        </w:rPr>
        <w:t>The exhibits to this MATA (</w:t>
      </w:r>
      <w:r>
        <w:rPr>
          <w:b/>
          <w:bCs/>
          <w:i/>
          <w:iCs/>
          <w:sz w:val="22"/>
        </w:rPr>
        <w:t>Exhibits</w:t>
      </w:r>
      <w:r>
        <w:rPr>
          <w:sz w:val="22"/>
        </w:rPr>
        <w:t>) shall form part of this MATA and shall have the same force and effect as if expressly set out in the body of this MATA.</w:t>
      </w:r>
    </w:p>
    <w:p>
      <w:pPr>
        <w:pStyle w:val="FWSL6"/>
        <w:numPr>
          <w:ilvl w:val="5"/>
          <w:numId w:val="12"/>
        </w:numPr>
        <w:ind w:hanging="0" w:start="0"/>
        <w:rPr>
          <w:sz w:val="22"/>
        </w:rPr>
      </w:pPr>
      <w:r>
        <w:rPr>
          <w:sz w:val="22"/>
        </w:rPr>
        <w:t>If and to the extent of any conflict between the body of this MATA and the Exhibits, the terms of the body of this MATA shall prevail unless expressly stated otherwise.</w:t>
      </w:r>
    </w:p>
    <w:p>
      <w:pPr>
        <w:pStyle w:val="FWSL5"/>
        <w:numPr>
          <w:ilvl w:val="0"/>
          <w:numId w:val="0"/>
        </w:numPr>
        <w:ind w:hanging="0" w:start="0"/>
        <w:rPr>
          <w:b/>
          <w:bCs/>
          <w:sz w:val="22"/>
        </w:rPr>
      </w:pPr>
      <w:bookmarkStart w:id="194" w:name="_Ref532912315"/>
      <w:r>
        <w:rPr>
          <w:b/>
          <w:bCs/>
          <w:sz w:val="22"/>
        </w:rPr>
        <w:t>Definitions</w:t>
      </w:r>
    </w:p>
    <w:p>
      <w:pPr>
        <w:pStyle w:val="FWSL5"/>
        <w:numPr>
          <w:ilvl w:val="0"/>
          <w:numId w:val="0"/>
        </w:numPr>
        <w:ind w:hanging="0" w:start="0"/>
        <w:rPr/>
      </w:pPr>
      <w:bookmarkStart w:id="195" w:name="_Ref532912315"/>
      <w:r>
        <w:rPr/>
        <w:t>In this MATA, unless otherwise stated or the context otherwise requires, the following words and expressions shall have the following meanings:</w:t>
      </w:r>
      <w:bookmarkEnd w:id="195"/>
    </w:p>
    <w:tbl>
      <w:tblPr>
        <w:tblW w:w="8516" w:type="dxa"/>
        <w:jc w:val="start"/>
        <w:tblInd w:w="0" w:type="dxa"/>
        <w:tblLayout w:type="fixed"/>
        <w:tblCellMar>
          <w:top w:w="0" w:type="dxa"/>
          <w:start w:w="108" w:type="dxa"/>
          <w:bottom w:w="0" w:type="dxa"/>
          <w:end w:w="108" w:type="dxa"/>
        </w:tblCellMar>
      </w:tblPr>
      <w:tblGrid>
        <w:gridCol w:w="4258"/>
        <w:gridCol w:w="4258"/>
      </w:tblGrid>
      <w:tr>
        <w:trPr>
          <w:tblHeader w:val="true"/>
        </w:trPr>
        <w:tc>
          <w:tcPr>
            <w:tcW w:w="4258" w:type="dxa"/>
            <w:tcBorders>
              <w:top w:val="single" w:sz="4" w:space="0" w:color="000000"/>
              <w:start w:val="single" w:sz="4" w:space="0" w:color="000000"/>
              <w:bottom w:val="single" w:sz="4" w:space="0" w:color="000000"/>
              <w:end w:val="single" w:sz="4" w:space="0" w:color="000000"/>
            </w:tcBorders>
            <w:shd w:fill="FFCC00" w:val="clear"/>
            <w:vAlign w:val="center"/>
          </w:tcPr>
          <w:p>
            <w:pPr>
              <w:pStyle w:val="FWDL1"/>
              <w:numPr>
                <w:ilvl w:val="0"/>
                <w:numId w:val="16"/>
              </w:numPr>
              <w:spacing w:before="120" w:after="120"/>
              <w:ind w:hanging="0" w:start="0"/>
              <w:rPr>
                <w:sz w:val="22"/>
              </w:rPr>
            </w:pPr>
            <w:r>
              <w:rPr>
                <w:b/>
                <w:bCs/>
                <w:sz w:val="22"/>
              </w:rPr>
              <w:t>Term</w:t>
            </w:r>
          </w:p>
        </w:tc>
        <w:tc>
          <w:tcPr>
            <w:tcW w:w="4258" w:type="dxa"/>
            <w:tcBorders>
              <w:top w:val="single" w:sz="4" w:space="0" w:color="000000"/>
              <w:start w:val="single" w:sz="4" w:space="0" w:color="000000"/>
              <w:bottom w:val="single" w:sz="4" w:space="0" w:color="000000"/>
              <w:end w:val="single" w:sz="4" w:space="0" w:color="000000"/>
            </w:tcBorders>
            <w:shd w:fill="FFCC00" w:val="clear"/>
            <w:vAlign w:val="center"/>
          </w:tcPr>
          <w:p>
            <w:pPr>
              <w:pStyle w:val="FWDL1"/>
              <w:numPr>
                <w:ilvl w:val="0"/>
                <w:numId w:val="16"/>
              </w:numPr>
              <w:spacing w:before="120" w:after="120"/>
              <w:ind w:hanging="0" w:start="0"/>
              <w:rPr>
                <w:b/>
                <w:bCs/>
                <w:sz w:val="22"/>
              </w:rPr>
            </w:pPr>
            <w:r>
              <w:rPr>
                <w:b/>
                <w:bCs/>
                <w:sz w:val="22"/>
              </w:rPr>
              <w:t>Definition</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Affiliate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in relation to an entity, another entity Controlling, Controlled by or under common Control with that entity;</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Applicable Law</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
                <w:bCs/>
                <w:sz w:val="22"/>
              </w:rPr>
            </w:pPr>
            <w:r>
              <w:rPr>
                <w:sz w:val="22"/>
              </w:rPr>
              <w:t>means all applicable laws, statutes, orders, rules, provisions, regulations, directives and guidelines which have legal effect, whether local, national, European, international or otherwise existing from time to time, including but not limited to all Regulator's rules (including but not limited to the Outsourcing Regulations), requirements, standards and guidelines;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Belgian Assets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the Transfer Assets identified as such in Schedule 2 (</w:t>
            </w:r>
            <w:r>
              <w:rPr>
                <w:i/>
                <w:iCs/>
                <w:sz w:val="22"/>
              </w:rPr>
              <w:t>List of Transfer Assets</w:t>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Business Day</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a day (other than a Saturday or Sunday) on which banks are generally open in Amsterdam for the transaction of normal banking business;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Claiming party</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 xml:space="preserve">has the meaning given in clause </w:t>
            </w:r>
            <w:r>
              <w:rPr>
                <w:sz w:val="22"/>
              </w:rPr>
              <w:fldChar w:fldCharType="begin"/>
            </w:r>
            <w:r>
              <w:rPr>
                <w:sz w:val="22"/>
              </w:rPr>
              <w:instrText xml:space="preserve"> REF _Ref119846018 \w \w \h </w:instrText>
            </w:r>
            <w:r>
              <w:rPr>
                <w:sz w:val="22"/>
              </w:rPr>
              <w:fldChar w:fldCharType="separate"/>
            </w:r>
            <w:r>
              <w:rPr>
                <w:sz w:val="22"/>
              </w:rPr>
              <w:t>9.8.1</w:t>
            </w:r>
            <w:r>
              <w:rPr>
                <w:sz w:val="22"/>
              </w:rPr>
              <w:fldChar w:fldCharType="end"/>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Completion</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the completion of the transfer of the Transfer Assets in accordance with the provisions of this MATA;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bCs/>
                <w:sz w:val="22"/>
              </w:rPr>
            </w:pPr>
            <w:r>
              <w:rPr>
                <w:bCs/>
                <w:sz w:val="22"/>
              </w:rPr>
              <w:t>Commencement Date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has the meaning given in the MSA;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 xml:space="preserve">Confidential Information </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bookmarkStart w:id="196" w:name="_Ref532904348"/>
            <w:r>
              <w:rPr>
                <w:sz w:val="22"/>
              </w:rPr>
              <w:t>means the terms of each of the Transaction Documents, any information which relates to the Proposed Transaction, including, without limitation, trade secrets, secret or confidential operations or processes, information relating to the business, customers, future projects, business development or planning, commercial relationships, sales targets and statistics, market share statistics, surveys and reports and pricing information relating to sales and  purchases and all other information, in any form, which has been disclosed by or on behalf of a party or its Affiliates in confidence, or which by its nature ought to be regarded as confidential;</w:t>
            </w:r>
            <w:bookmarkEnd w:id="196"/>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Control</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with regard to an entity the legal, beneficial or equitable ownership, directly or indirectly, of fifty percent (50%) or more of the capital stock (or other ownership interest, if not a corporation) of such entity ordinarily having voting rights, or the equivalent right under contract to control management decisions with regard to relevant subjects;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Escalation Procedure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has the meaning given in Exhibit 6 (</w:t>
            </w:r>
            <w:r>
              <w:rPr>
                <w:i/>
                <w:iCs/>
                <w:sz w:val="22"/>
              </w:rPr>
              <w:t>Governance</w:t>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lang w:val="en-US"/>
              </w:rPr>
            </w:pPr>
            <w:r>
              <w:rPr>
                <w:bCs/>
                <w:sz w:val="22"/>
                <w:lang w:val="en-US"/>
              </w:rPr>
              <w:t>Guarantee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pPr>
            <w:r>
              <w:rPr>
                <w:sz w:val="22"/>
                <w:lang w:val="en-US"/>
              </w:rPr>
              <w:t xml:space="preserve">means the parent company guarantee described in clause </w:t>
            </w:r>
            <w:r>
              <w:rPr>
                <w:sz w:val="22"/>
                <w:lang w:val="en-US"/>
              </w:rPr>
              <w:fldChar w:fldCharType="begin"/>
            </w:r>
            <w:r>
              <w:rPr>
                <w:sz w:val="22"/>
                <w:lang w:val="en-US"/>
              </w:rPr>
              <w:instrText xml:space="preserve"> REF _Ref125367348 \w \w \h </w:instrText>
            </w:r>
            <w:r>
              <w:rPr>
                <w:sz w:val="22"/>
                <w:lang w:val="en-US"/>
              </w:rPr>
              <w:fldChar w:fldCharType="separate"/>
            </w:r>
            <w:r>
              <w:rPr>
                <w:sz w:val="22"/>
                <w:lang w:val="en-US"/>
              </w:rPr>
              <w:t>8</w:t>
            </w:r>
            <w:r>
              <w:rPr>
                <w:sz w:val="22"/>
                <w:lang w:val="en-US"/>
              </w:rPr>
              <w:fldChar w:fldCharType="end"/>
            </w:r>
            <w:r>
              <w:rPr>
                <w:sz w:val="22"/>
                <w:lang w:val="en-US"/>
              </w:rPr>
              <w:t xml:space="preserve">; </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EuroBank Group</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EuroBank Netherlands and its Affiliates;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LATA</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the local asset transfer agreement in the agreed form attached in Schedule 4 (</w:t>
            </w:r>
            <w:r>
              <w:rPr>
                <w:i/>
                <w:iCs/>
                <w:sz w:val="22"/>
              </w:rPr>
              <w:t>Form of LATA</w:t>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Local Completion Date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has the meaning given in the LATA;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MSA</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rPr>
            </w:pPr>
            <w:r>
              <w:rPr>
                <w:sz w:val="22"/>
              </w:rPr>
              <w:t>has the meaning given in recital (A);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lang w:val="en-US"/>
              </w:rPr>
            </w:pPr>
            <w:r>
              <w:rPr>
                <w:bCs/>
                <w:sz w:val="22"/>
                <w:lang w:val="en-US"/>
              </w:rPr>
              <w:t>NAI</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lang w:val="en-US"/>
              </w:rPr>
            </w:pPr>
            <w:r>
              <w:rPr>
                <w:sz w:val="22"/>
                <w:lang w:val="en-US"/>
              </w:rPr>
              <w:t>the Netherlands Arbitration Institute;</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lang w:val="en-US"/>
              </w:rPr>
            </w:pPr>
            <w:r>
              <w:rPr>
                <w:bCs/>
                <w:sz w:val="22"/>
                <w:lang w:val="en-US"/>
              </w:rPr>
              <w:t>Non-Compliant Claim</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pPr>
            <w:r>
              <w:rPr>
                <w:sz w:val="22"/>
              </w:rPr>
              <w:t xml:space="preserve">has the meaning given </w:t>
            </w:r>
            <w:r>
              <w:rPr>
                <w:sz w:val="22"/>
                <w:lang w:val="en-US"/>
              </w:rPr>
              <w:t xml:space="preserve">in clause </w:t>
            </w:r>
            <w:r>
              <w:rPr>
                <w:sz w:val="22"/>
                <w:lang w:val="en-US"/>
              </w:rPr>
              <w:fldChar w:fldCharType="begin"/>
            </w:r>
            <w:r>
              <w:rPr>
                <w:sz w:val="22"/>
                <w:lang w:val="en-US"/>
              </w:rPr>
              <w:instrText xml:space="preserve"> REF _Ref119846212 \w \w \h </w:instrText>
            </w:r>
            <w:r>
              <w:rPr>
                <w:sz w:val="22"/>
                <w:lang w:val="en-US"/>
              </w:rPr>
              <w:fldChar w:fldCharType="separate"/>
            </w:r>
            <w:r>
              <w:rPr>
                <w:sz w:val="22"/>
                <w:lang w:val="en-US"/>
              </w:rPr>
              <w:t>9.(a)</w:t>
            </w:r>
            <w:r>
              <w:rPr>
                <w:sz w:val="22"/>
                <w:lang w:val="en-US"/>
              </w:rPr>
              <w:fldChar w:fldCharType="end"/>
            </w:r>
            <w:r>
              <w:rPr>
                <w:sz w:val="22"/>
                <w:lang w:val="en-US"/>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lang w:val="en-US"/>
              </w:rPr>
            </w:pPr>
            <w:r>
              <w:rPr>
                <w:bCs/>
                <w:sz w:val="22"/>
              </w:rPr>
              <w:t>Proposed Transaction</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lang w:val="en-US"/>
              </w:rPr>
            </w:pPr>
            <w:r>
              <w:rPr>
                <w:sz w:val="22"/>
              </w:rPr>
              <w:t>means the transactions contemplated by this MATA and the other Transaction Documents;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PST Supplier Group</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rPr>
            </w:pPr>
            <w:r>
              <w:rPr>
                <w:sz w:val="22"/>
              </w:rPr>
              <w:t>means the PST Supplier and its Affiliates;</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Purchase Price</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pPr>
            <w:r>
              <w:rPr>
                <w:sz w:val="22"/>
              </w:rPr>
              <w:t xml:space="preserve">has the meaning given in clause </w:t>
            </w:r>
            <w:r>
              <w:rPr>
                <w:sz w:val="22"/>
              </w:rPr>
              <w:fldChar w:fldCharType="begin"/>
            </w:r>
            <w:r>
              <w:rPr>
                <w:sz w:val="22"/>
              </w:rPr>
              <w:instrText xml:space="preserve"> REF _Ref125282004 \w \w \h </w:instrText>
            </w:r>
            <w:r>
              <w:rPr>
                <w:sz w:val="22"/>
              </w:rPr>
              <w:fldChar w:fldCharType="separate"/>
            </w:r>
            <w:r>
              <w:rPr>
                <w:sz w:val="22"/>
              </w:rPr>
              <w:t>4.1</w:t>
            </w:r>
            <w:r>
              <w:rPr>
                <w:sz w:val="22"/>
              </w:rPr>
              <w:fldChar w:fldCharType="end"/>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lang w:val="en-US"/>
              </w:rPr>
            </w:pPr>
            <w:r>
              <w:rPr>
                <w:bCs/>
                <w:sz w:val="22"/>
              </w:rPr>
              <w:t>Regulator</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rPr>
            </w:pPr>
            <w:r>
              <w:rPr>
                <w:sz w:val="22"/>
              </w:rPr>
              <w:t>means, any authority that may regulate and/or supervise activities of any EuroBank Group member and/or any Service Recipient from time to time and/or, as the case may be, any authority that may regulate and/or supervise the activities of the PST Supplier from time to time;</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Representatives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pPr>
            <w:r>
              <w:rPr>
                <w:sz w:val="22"/>
              </w:rPr>
              <w:t xml:space="preserve">has the meaning given in clause </w:t>
            </w:r>
            <w:r>
              <w:rPr>
                <w:sz w:val="22"/>
              </w:rPr>
              <w:fldChar w:fldCharType="begin"/>
            </w:r>
            <w:r>
              <w:rPr>
                <w:sz w:val="22"/>
              </w:rPr>
              <w:instrText xml:space="preserve"> REF _Ref126567274 \r \r \h </w:instrText>
            </w:r>
            <w:r>
              <w:rPr>
                <w:sz w:val="22"/>
              </w:rPr>
              <w:fldChar w:fldCharType="separate"/>
            </w:r>
            <w:r>
              <w:rPr>
                <w:sz w:val="22"/>
              </w:rPr>
              <w:t>(a)</w:t>
            </w:r>
            <w:r>
              <w:rPr>
                <w:sz w:val="22"/>
              </w:rPr>
              <w:fldChar w:fldCharType="end"/>
            </w:r>
            <w:r>
              <w:rPr>
                <w:sz w:val="22"/>
              </w:rPr>
              <w:t>;</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Services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rPr>
            </w:pPr>
            <w:r>
              <w:rPr>
                <w:sz w:val="22"/>
              </w:rPr>
              <w:t>has the meaning given in the MSA;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Transaction Documents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sz w:val="22"/>
              </w:rPr>
            </w:pPr>
            <w:r>
              <w:rPr>
                <w:sz w:val="22"/>
              </w:rPr>
              <w:t>means this MATA, the MSA and the Agreed Form Documents referred to in the MSA;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Transfer Assets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0"/>
              </w:numPr>
              <w:spacing w:before="120" w:after="120"/>
              <w:ind w:hanging="0" w:start="0"/>
              <w:rPr/>
            </w:pPr>
            <w:r>
              <w:rPr>
                <w:sz w:val="22"/>
              </w:rPr>
              <w:t>means the assets listed in  (List of Transfer Assets) which EuroBank currently uses for the delivery of its internal workplace services;</w:t>
            </w:r>
            <w:r>
              <w:rPr>
                <w:sz w:val="22"/>
              </w:rPr>
            </w:r>
            <w:r>
              <w:rPr>
                <w:sz w:val="22"/>
              </w:rPr>
            </w:r>
            <w:r>
              <w:rPr>
                <w:sz w:val="22"/>
              </w:rPr>
            </w:r>
            <w:r>
              <w:rPr>
                <w:sz w:val="22"/>
              </w:rPr>
            </w:r>
            <w:r>
              <w:rPr>
                <w:sz w:val="22"/>
              </w:rPr>
            </w:r>
            <w:r>
              <w:rPr>
                <w:sz w:val="22"/>
              </w:rPr>
            </w:r>
            <w:r>
              <w:rPr>
                <w:i/>
                <w:iCs/>
                <w:sz w:val="22"/>
              </w:rPr>
            </w:r>
            <w:r>
              <w:rPr>
                <w:sz w:val="22"/>
              </w:rPr>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highlight w:val="yellow"/>
              </w:rPr>
            </w:pPr>
            <w:r>
              <w:rPr>
                <w:bCs/>
                <w:sz w:val="22"/>
              </w:rPr>
              <w:t>Transition Plan</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highlight w:val="yellow"/>
              </w:rPr>
            </w:pPr>
            <w:r>
              <w:rPr>
                <w:sz w:val="22"/>
              </w:rPr>
              <w:t>means the transition plan attached as Exhibit 30 (</w:t>
            </w:r>
            <w:r>
              <w:rPr>
                <w:i/>
                <w:iCs/>
                <w:sz w:val="22"/>
              </w:rPr>
              <w:t>Transition and Transformation</w:t>
            </w:r>
            <w:r>
              <w:rPr>
                <w:sz w:val="22"/>
              </w:rPr>
              <w:t>) to the MSA;</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Warranties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 xml:space="preserve">means the warranties given pursuant to clause </w:t>
            </w:r>
            <w:r>
              <w:rPr>
                <w:sz w:val="22"/>
              </w:rPr>
              <w:fldChar w:fldCharType="begin"/>
            </w:r>
            <w:r>
              <w:rPr>
                <w:sz w:val="22"/>
              </w:rPr>
              <w:instrText xml:space="preserve"> REF _Ref123546393 \r \r \h </w:instrText>
            </w:r>
            <w:r>
              <w:rPr>
                <w:sz w:val="22"/>
              </w:rPr>
              <w:fldChar w:fldCharType="separate"/>
            </w:r>
            <w:r>
              <w:rPr>
                <w:sz w:val="22"/>
              </w:rPr>
              <w:t>5.1</w:t>
            </w:r>
            <w:r>
              <w:rPr>
                <w:sz w:val="22"/>
              </w:rPr>
              <w:fldChar w:fldCharType="end"/>
            </w:r>
            <w:r>
              <w:rPr>
                <w:sz w:val="22"/>
              </w:rPr>
              <w:t>; and</w:t>
            </w:r>
          </w:p>
        </w:tc>
      </w:tr>
      <w:tr>
        <w:trPr/>
        <w:tc>
          <w:tcPr>
            <w:tcW w:w="4258" w:type="dxa"/>
            <w:tcBorders>
              <w:top w:val="single" w:sz="4" w:space="0" w:color="000000"/>
              <w:start w:val="single" w:sz="4" w:space="0" w:color="000000"/>
              <w:bottom w:val="single" w:sz="4" w:space="0" w:color="000000"/>
              <w:end w:val="single" w:sz="4" w:space="0" w:color="000000"/>
            </w:tcBorders>
          </w:tcPr>
          <w:p>
            <w:pPr>
              <w:pStyle w:val="Normal"/>
              <w:spacing w:before="120" w:after="120"/>
              <w:rPr>
                <w:bCs/>
                <w:sz w:val="22"/>
              </w:rPr>
            </w:pPr>
            <w:r>
              <w:rPr>
                <w:bCs/>
                <w:sz w:val="22"/>
              </w:rPr>
              <w:t>Working Hours</w:t>
            </w:r>
          </w:p>
        </w:tc>
        <w:tc>
          <w:tcPr>
            <w:tcW w:w="4258" w:type="dxa"/>
            <w:tcBorders>
              <w:top w:val="single" w:sz="4" w:space="0" w:color="000000"/>
              <w:start w:val="single" w:sz="4" w:space="0" w:color="000000"/>
              <w:bottom w:val="single" w:sz="4" w:space="0" w:color="000000"/>
              <w:end w:val="single" w:sz="4" w:space="0" w:color="000000"/>
            </w:tcBorders>
          </w:tcPr>
          <w:p>
            <w:pPr>
              <w:pStyle w:val="FWDL1"/>
              <w:numPr>
                <w:ilvl w:val="0"/>
                <w:numId w:val="16"/>
              </w:numPr>
              <w:spacing w:before="120" w:after="120"/>
              <w:ind w:hanging="0" w:start="0"/>
              <w:rPr>
                <w:sz w:val="22"/>
              </w:rPr>
            </w:pPr>
            <w:r>
              <w:rPr>
                <w:sz w:val="22"/>
              </w:rPr>
              <w:t>means 9.30am to 5.30pm on a Business Day.</w:t>
            </w:r>
          </w:p>
        </w:tc>
      </w:tr>
    </w:tbl>
    <w:p>
      <w:pPr>
        <w:pStyle w:val="FWDL1"/>
        <w:numPr>
          <w:ilvl w:val="0"/>
          <w:numId w:val="16"/>
        </w:numPr>
        <w:ind w:hanging="0" w:start="0"/>
        <w:rPr>
          <w:b/>
          <w:i/>
          <w:i/>
          <w:iCs/>
        </w:rPr>
      </w:pPr>
      <w:r>
        <w:rPr>
          <w:b/>
          <w:i/>
          <w:iCs/>
        </w:rPr>
      </w:r>
    </w:p>
    <w:p>
      <w:pPr>
        <w:pStyle w:val="FWSL5"/>
        <w:numPr>
          <w:ilvl w:val="0"/>
          <w:numId w:val="0"/>
        </w:numPr>
        <w:ind w:hanging="0" w:start="0"/>
        <w:rPr>
          <w:b/>
          <w:i/>
          <w:i/>
          <w:iCs/>
        </w:rPr>
      </w:pPr>
      <w:r>
        <w:rPr>
          <w:b/>
          <w:i/>
          <w:iCs/>
        </w:rPr>
      </w:r>
    </w:p>
    <w:p>
      <w:pPr>
        <w:pStyle w:val="FWSCont5"/>
        <w:rPr/>
      </w:pPr>
      <w:r>
        <w:rPr/>
      </w:r>
    </w:p>
    <w:p>
      <w:pPr>
        <w:pStyle w:val="FWSL1"/>
        <w:numPr>
          <w:ilvl w:val="0"/>
          <w:numId w:val="0"/>
        </w:numPr>
        <w:tabs>
          <w:tab w:val="clear" w:pos="720"/>
          <w:tab w:val="center" w:pos="4320" w:leader="none"/>
        </w:tabs>
        <w:ind w:hanging="0" w:start="0"/>
        <w:rPr/>
      </w:pPr>
      <w:bookmarkStart w:id="197" w:name="__RefHeading___Toc153622642"/>
      <w:bookmarkStart w:id="198" w:name="_Ref21333746"/>
      <w:bookmarkStart w:id="199" w:name="_Ref30469475"/>
      <w:bookmarkEnd w:id="197"/>
      <w:bookmarkEnd w:id="199"/>
      <w:r>
        <w:rPr>
          <w:sz w:val="22"/>
        </w:rPr>
        <w:t>SCHEDULE 2 - list of Transfer Assets</w:t>
      </w:r>
      <w:bookmarkEnd w:id="198"/>
    </w:p>
    <w:p>
      <w:pPr>
        <w:pStyle w:val="FWSCont2"/>
        <w:spacing w:before="0" w:after="840"/>
        <w:rPr>
          <w:b/>
          <w:sz w:val="22"/>
          <w:u w:val="single"/>
        </w:rPr>
      </w:pPr>
      <w:bookmarkStart w:id="200" w:name="_Ref30469475"/>
      <w:bookmarkEnd w:id="200"/>
      <w:r>
        <w:rPr>
          <w:b/>
          <w:sz w:val="22"/>
          <w:u w:val="single"/>
        </w:rPr>
        <w:t>Voice</w:t>
      </w:r>
    </w:p>
    <w:p>
      <w:pPr>
        <w:pStyle w:val="FWSCont2"/>
        <w:spacing w:before="0" w:after="120"/>
        <w:rPr/>
      </w:pPr>
      <w:r>
        <w:rPr>
          <w:sz w:val="22"/>
        </w:rPr>
        <w:t>This  MATA covers assets belonging to the Voice domain and consist of:</w:t>
      </w:r>
    </w:p>
    <w:p>
      <w:pPr>
        <w:pStyle w:val="FWSCont2"/>
        <w:spacing w:before="0" w:after="120"/>
        <w:rPr>
          <w:sz w:val="22"/>
        </w:rPr>
      </w:pPr>
      <w:r>
        <w:rPr>
          <w:sz w:val="22"/>
        </w:rPr>
      </w:r>
    </w:p>
    <w:p>
      <w:pPr>
        <w:pStyle w:val="FWSCont2"/>
        <w:spacing w:before="0" w:after="120"/>
        <w:rPr>
          <w:sz w:val="22"/>
        </w:rPr>
      </w:pPr>
      <w:r>
        <w:rPr>
          <w:sz w:val="22"/>
        </w:rPr>
        <w:t>All voice systems required for delivery of the Services SWS, including :</w:t>
      </w:r>
    </w:p>
    <w:p>
      <w:pPr>
        <w:pStyle w:val="FWSCont2"/>
        <w:spacing w:before="0" w:after="120"/>
        <w:ind w:start="720" w:end="0"/>
        <w:rPr/>
      </w:pPr>
      <w:r>
        <w:rPr>
          <w:sz w:val="22"/>
        </w:rPr>
        <w:t>(i) PBX systems and Call Centre Voice systems,</w:t>
      </w:r>
    </w:p>
    <w:p>
      <w:pPr>
        <w:pStyle w:val="FWSCont2"/>
        <w:spacing w:before="0" w:after="120"/>
        <w:ind w:start="720" w:end="0"/>
        <w:rPr>
          <w:sz w:val="22"/>
        </w:rPr>
      </w:pPr>
      <w:r>
        <w:rPr>
          <w:sz w:val="22"/>
        </w:rPr>
      </w:r>
    </w:p>
    <w:p>
      <w:pPr>
        <w:pStyle w:val="FWSCont2"/>
        <w:spacing w:before="0" w:after="120"/>
        <w:ind w:start="720" w:end="0"/>
        <w:rPr/>
      </w:pPr>
      <w:r>
        <w:rPr>
          <w:sz w:val="22"/>
        </w:rPr>
        <w:t>(ii) and the following items connected to these systems</w:t>
      </w:r>
    </w:p>
    <w:p>
      <w:pPr>
        <w:pStyle w:val="FWSCont2"/>
        <w:spacing w:before="0" w:after="120"/>
        <w:ind w:start="1440" w:end="0"/>
        <w:rPr>
          <w:sz w:val="22"/>
        </w:rPr>
      </w:pPr>
      <w:r>
        <w:rPr>
          <w:sz w:val="22"/>
        </w:rPr>
        <w:t>PBX Management tools,</w:t>
      </w:r>
    </w:p>
    <w:p>
      <w:pPr>
        <w:pStyle w:val="FWSCont2"/>
        <w:spacing w:before="0" w:after="120"/>
        <w:ind w:start="1440" w:end="0"/>
        <w:rPr>
          <w:sz w:val="22"/>
        </w:rPr>
      </w:pPr>
      <w:r>
        <w:rPr>
          <w:sz w:val="22"/>
        </w:rPr>
        <w:t>Voice loggers,</w:t>
      </w:r>
    </w:p>
    <w:p>
      <w:pPr>
        <w:pStyle w:val="FWSCont2"/>
        <w:spacing w:before="0" w:after="120"/>
        <w:ind w:start="1440" w:end="0"/>
        <w:rPr>
          <w:sz w:val="22"/>
        </w:rPr>
      </w:pPr>
      <w:r>
        <w:rPr>
          <w:sz w:val="22"/>
        </w:rPr>
        <w:t>Voicemail systems ,</w:t>
      </w:r>
    </w:p>
    <w:p>
      <w:pPr>
        <w:pStyle w:val="FWSCont2"/>
        <w:spacing w:before="0" w:after="120"/>
        <w:ind w:start="1440" w:end="0"/>
        <w:rPr>
          <w:sz w:val="22"/>
        </w:rPr>
      </w:pPr>
      <w:r>
        <w:rPr>
          <w:sz w:val="22"/>
        </w:rPr>
        <w:t>Toll ticketing systems,</w:t>
      </w:r>
    </w:p>
    <w:p>
      <w:pPr>
        <w:pStyle w:val="FWSCont2"/>
        <w:spacing w:before="0" w:after="120"/>
        <w:ind w:start="1440" w:end="0"/>
        <w:rPr/>
      </w:pPr>
      <w:r>
        <w:rPr>
          <w:sz w:val="22"/>
        </w:rPr>
        <w:t>and PBX system specific handsets.</w:t>
      </w:r>
    </w:p>
    <w:p>
      <w:pPr>
        <w:pStyle w:val="FWSCont2"/>
        <w:spacing w:before="0" w:after="120"/>
        <w:rPr>
          <w:sz w:val="22"/>
        </w:rPr>
      </w:pPr>
      <w:r>
        <w:rPr>
          <w:sz w:val="22"/>
        </w:rPr>
      </w:r>
    </w:p>
    <w:p>
      <w:pPr>
        <w:pStyle w:val="FWSCont2"/>
        <w:spacing w:before="0" w:after="120"/>
        <w:rPr>
          <w:sz w:val="22"/>
        </w:rPr>
      </w:pPr>
      <w:r>
        <w:rPr>
          <w:sz w:val="22"/>
        </w:rPr>
        <w:t>Details are provided in the attached Excel files listed below and which are hereby incorporated by reference:</w:t>
      </w:r>
    </w:p>
    <w:p>
      <w:pPr>
        <w:pStyle w:val="FWSCont2"/>
        <w:spacing w:before="0" w:after="120"/>
        <w:rPr>
          <w:sz w:val="22"/>
        </w:rPr>
      </w:pPr>
      <w:r>
        <w:rPr>
          <w:sz w:val="22"/>
        </w:rPr>
      </w:r>
    </w:p>
    <w:p>
      <w:pPr>
        <w:pStyle w:val="FWSCont2"/>
        <w:spacing w:before="0" w:after="120"/>
        <w:rPr>
          <w:sz w:val="22"/>
        </w:rPr>
      </w:pPr>
      <w:r>
        <w:rPr>
          <w:sz w:val="22"/>
        </w:rPr>
        <w:t>1.</w:t>
        <w:tab/>
        <w:t>20061117 Be Voice MATA def v1.0 xls dated 17</w:t>
      </w:r>
      <w:r>
        <w:rPr>
          <w:sz w:val="22"/>
          <w:vertAlign w:val="superscript"/>
        </w:rPr>
        <w:t>th</w:t>
      </w:r>
      <w:r>
        <w:rPr>
          <w:sz w:val="22"/>
        </w:rPr>
        <w:t xml:space="preserve"> Nov 2006</w:t>
      </w:r>
    </w:p>
    <w:p>
      <w:pPr>
        <w:pStyle w:val="FWSCont2"/>
        <w:spacing w:before="0" w:after="120"/>
        <w:rPr>
          <w:sz w:val="22"/>
        </w:rPr>
      </w:pPr>
      <w:r>
        <w:rPr>
          <w:sz w:val="22"/>
        </w:rPr>
        <w:t>2.</w:t>
        <w:tab/>
        <w:t>20061117 NL LAN MATA def  v1.0 xls dated 17</w:t>
      </w:r>
      <w:r>
        <w:rPr>
          <w:sz w:val="22"/>
          <w:vertAlign w:val="superscript"/>
        </w:rPr>
        <w:t>th</w:t>
      </w:r>
      <w:r>
        <w:rPr>
          <w:sz w:val="22"/>
        </w:rPr>
        <w:t xml:space="preserve"> Nov 2006</w:t>
      </w:r>
    </w:p>
    <w:p>
      <w:pPr>
        <w:pStyle w:val="FWSCont2"/>
        <w:spacing w:before="0" w:after="120"/>
        <w:rPr>
          <w:sz w:val="22"/>
        </w:rPr>
      </w:pPr>
      <w:r>
        <w:rPr>
          <w:sz w:val="22"/>
        </w:rPr>
        <w:t>3.</w:t>
        <w:tab/>
        <w:t>20061117 NL Voice MATA def v1.0 xls dated 17</w:t>
      </w:r>
      <w:r>
        <w:rPr>
          <w:sz w:val="22"/>
          <w:vertAlign w:val="superscript"/>
        </w:rPr>
        <w:t>th</w:t>
      </w:r>
      <w:r>
        <w:rPr>
          <w:sz w:val="22"/>
        </w:rPr>
        <w:t xml:space="preserve"> Nov 2006</w:t>
      </w:r>
    </w:p>
    <w:p>
      <w:pPr>
        <w:pStyle w:val="FWSCont2"/>
        <w:spacing w:before="0" w:after="120"/>
        <w:rPr>
          <w:sz w:val="22"/>
        </w:rPr>
      </w:pPr>
      <w:r>
        <w:rPr>
          <w:sz w:val="22"/>
        </w:rPr>
      </w:r>
    </w:p>
    <w:p>
      <w:pPr>
        <w:pStyle w:val="FWSCont5"/>
        <w:rPr>
          <w:sz w:val="22"/>
        </w:rPr>
      </w:pPr>
      <w:r>
        <w:rPr>
          <w:sz w:val="22"/>
        </w:rPr>
      </w:r>
    </w:p>
    <w:p>
      <w:pPr>
        <w:pStyle w:val="FWSL4"/>
        <w:numPr>
          <w:ilvl w:val="0"/>
          <w:numId w:val="0"/>
        </w:numPr>
        <w:ind w:hanging="0" w:start="0"/>
        <w:rPr>
          <w:bCs/>
        </w:rPr>
      </w:pPr>
      <w:r>
        <w:rPr>
          <w:bCs/>
        </w:rPr>
      </w:r>
      <w:r>
        <mc:AlternateContent>
          <mc:Choice Requires="wps">
            <w:drawing>
              <wp:anchor behindDoc="0" distT="0" distB="0" distL="91440" distR="91440" simplePos="0" locked="0" layoutInCell="0" allowOverlap="1" relativeHeight="3">
                <wp:simplePos x="0" y="0"/>
                <wp:positionH relativeFrom="page">
                  <wp:posOffset>307340</wp:posOffset>
                </wp:positionH>
                <wp:positionV relativeFrom="paragraph">
                  <wp:posOffset>408305</wp:posOffset>
                </wp:positionV>
                <wp:extent cx="731520" cy="406400"/>
                <wp:effectExtent l="0" t="0" r="0" b="0"/>
                <wp:wrapSquare wrapText="bothSides"/>
                <wp:docPr id="6" name="Frame2"/>
                <a:graphic xmlns:a="http://schemas.openxmlformats.org/drawingml/2006/main">
                  <a:graphicData uri="http://schemas.microsoft.com/office/word/2010/wordprocessingShape">
                    <wps:wsp>
                      <wps:cNvSpPr txBox="1"/>
                      <wps:spPr>
                        <a:xfrm>
                          <a:off x="0" y="0"/>
                          <a:ext cx="731520" cy="406400"/>
                        </a:xfrm>
                        <a:prstGeom prst="rect"/>
                        <a:solidFill>
                          <a:srgbClr val="FFFFFF">
                            <a:alpha val="0"/>
                          </a:srgbClr>
                        </a:solidFill>
                      </wps:spPr>
                      <wps:txbx>
                        <w:txbxContent>
                          <w:p>
                            <w:pPr>
                              <w:pStyle w:val="MarginalNote"/>
                              <w:spacing w:before="40" w:after="240"/>
                              <w:rPr>
                                <w:sz w:val="22"/>
                              </w:rPr>
                            </w:pPr>
                            <w:r>
                              <w:rPr>
                                <w:sz w:val="22"/>
                              </w:rPr>
                            </w:r>
                            <w:bookmarkStart w:id="201" w:name="_Ref532913593"/>
                            <w:bookmarkStart w:id="202" w:name="_Ref532913593"/>
                            <w:bookmarkEnd w:id="202"/>
                          </w:p>
                          <w:p>
                            <w:pPr>
                              <w:pStyle w:val="MarginalNote"/>
                              <w:spacing w:before="40" w:after="240"/>
                              <w:rPr>
                                <w:sz w:val="22"/>
                              </w:rPr>
                            </w:pPr>
                            <w:r>
                              <w:rPr>
                                <w:sz w:val="22"/>
                              </w:rPr>
                            </w:r>
                          </w:p>
                        </w:txbxContent>
                      </wps:txbx>
                      <wps:bodyPr anchor="t" lIns="0" tIns="0" rIns="0" bIns="0">
                        <a:noAutofit/>
                      </wps:bodyPr>
                    </wps:wsp>
                  </a:graphicData>
                </a:graphic>
              </wp:anchor>
            </w:drawing>
          </mc:Choice>
          <mc:Fallback>
            <w:pict>
              <v:rect fillcolor="#FFFFFF" style="position:absolute;rotation:-0;width:57.6pt;height:32pt;mso-wrap-distance-left:7.2pt;mso-wrap-distance-right:7.2pt;mso-wrap-distance-top:0pt;mso-wrap-distance-bottom:0pt;margin-top:32.15pt;mso-position-vertical-relative:text;margin-left:24.2pt;mso-position-horizontal-relative:page">
                <v:fill opacity="0f"/>
                <v:textbox inset="0in,0in,0in,0in">
                  <w:txbxContent>
                    <w:p>
                      <w:pPr>
                        <w:pStyle w:val="MarginalNote"/>
                        <w:spacing w:before="40" w:after="240"/>
                        <w:rPr>
                          <w:sz w:val="22"/>
                        </w:rPr>
                      </w:pPr>
                      <w:r>
                        <w:rPr>
                          <w:sz w:val="22"/>
                        </w:rPr>
                      </w:r>
                      <w:bookmarkStart w:id="203" w:name="_Ref532913593"/>
                      <w:bookmarkStart w:id="204" w:name="_Ref532913593"/>
                      <w:bookmarkEnd w:id="204"/>
                    </w:p>
                    <w:p>
                      <w:pPr>
                        <w:pStyle w:val="MarginalNote"/>
                        <w:spacing w:before="40" w:after="240"/>
                        <w:rPr>
                          <w:sz w:val="22"/>
                        </w:rPr>
                      </w:pPr>
                      <w:r>
                        <w:rPr>
                          <w:sz w:val="22"/>
                        </w:rPr>
                      </w:r>
                    </w:p>
                  </w:txbxContent>
                </v:textbox>
                <w10:wrap type="square"/>
              </v:rect>
            </w:pict>
          </mc:Fallback>
        </mc:AlternateContent>
      </w:r>
      <w:r>
        <mc:AlternateContent>
          <mc:Choice Requires="wps">
            <w:drawing>
              <wp:anchor behindDoc="0" distT="0" distB="0" distL="91440" distR="91440" simplePos="0" locked="0" layoutInCell="0" allowOverlap="1" relativeHeight="4">
                <wp:simplePos x="0" y="0"/>
                <wp:positionH relativeFrom="page">
                  <wp:posOffset>307340</wp:posOffset>
                </wp:positionH>
                <wp:positionV relativeFrom="paragraph">
                  <wp:posOffset>-1270</wp:posOffset>
                </wp:positionV>
                <wp:extent cx="731520" cy="139700"/>
                <wp:effectExtent l="0" t="0" r="0" b="0"/>
                <wp:wrapSquare wrapText="bothSides"/>
                <wp:docPr id="7" name="Frame3"/>
                <a:graphic xmlns:a="http://schemas.openxmlformats.org/drawingml/2006/main">
                  <a:graphicData uri="http://schemas.microsoft.com/office/word/2010/wordprocessingShape">
                    <wps:wsp>
                      <wps:cNvSpPr txBox="1"/>
                      <wps:spPr>
                        <a:xfrm>
                          <a:off x="0" y="0"/>
                          <a:ext cx="731520" cy="139700"/>
                        </a:xfrm>
                        <a:prstGeom prst="rect"/>
                        <a:solidFill>
                          <a:srgbClr val="FFFFFF">
                            <a:alpha val="0"/>
                          </a:srgbClr>
                        </a:solidFill>
                      </wps:spPr>
                      <wps:txbx>
                        <w:txbxContent>
                          <w:p>
                            <w:pPr>
                              <w:pStyle w:val="MarginalNote"/>
                              <w:spacing w:before="40" w:after="240"/>
                              <w:rPr>
                                <w:sz w:val="22"/>
                              </w:rPr>
                            </w:pPr>
                            <w:r>
                              <w:rPr>
                                <w:sz w:val="22"/>
                              </w:rPr>
                            </w:r>
                          </w:p>
                        </w:txbxContent>
                      </wps:txbx>
                      <wps:bodyPr anchor="t" lIns="0" tIns="0" rIns="0" bIns="0">
                        <a:noAutofit/>
                      </wps:bodyPr>
                    </wps:wsp>
                  </a:graphicData>
                </a:graphic>
              </wp:anchor>
            </w:drawing>
          </mc:Choice>
          <mc:Fallback>
            <w:pict>
              <v:rect fillcolor="#FFFFFF" style="position:absolute;rotation:-0;width:57.6pt;height:11pt;mso-wrap-distance-left:7.2pt;mso-wrap-distance-right:7.2pt;mso-wrap-distance-top:0pt;mso-wrap-distance-bottom:0pt;margin-top:-0.1pt;mso-position-vertical-relative:text;margin-left:24.2pt;mso-position-horizontal-relative:page">
                <v:fill opacity="0f"/>
                <v:textbox inset="0in,0in,0in,0in">
                  <w:txbxContent>
                    <w:p>
                      <w:pPr>
                        <w:pStyle w:val="MarginalNote"/>
                        <w:spacing w:before="40" w:after="240"/>
                        <w:rPr>
                          <w:sz w:val="22"/>
                        </w:rPr>
                      </w:pPr>
                      <w:r>
                        <w:rPr>
                          <w:sz w:val="22"/>
                        </w:rPr>
                      </w:r>
                    </w:p>
                  </w:txbxContent>
                </v:textbox>
                <w10:wrap type="square"/>
              </v:rect>
            </w:pict>
          </mc:Fallback>
        </mc:AlternateContent>
      </w:r>
    </w:p>
    <w:p>
      <w:pPr>
        <w:pStyle w:val="FWSL1"/>
        <w:numPr>
          <w:ilvl w:val="0"/>
          <w:numId w:val="0"/>
        </w:numPr>
        <w:tabs>
          <w:tab w:val="clear" w:pos="720"/>
          <w:tab w:val="center" w:pos="4200" w:leader="none"/>
          <w:tab w:val="right" w:pos="8280" w:leader="none"/>
        </w:tabs>
        <w:ind w:hanging="0" w:start="0" w:end="20"/>
        <w:jc w:val="start"/>
        <w:rPr/>
      </w:pPr>
      <w:bookmarkStart w:id="205" w:name="_Ref46936272"/>
      <w:bookmarkStart w:id="206" w:name="_Ref8306571"/>
      <w:bookmarkStart w:id="207" w:name="_Ref6280693"/>
      <w:bookmarkStart w:id="208" w:name="_Ref6058818"/>
      <w:bookmarkStart w:id="209" w:name="_Ref6058790"/>
      <w:bookmarkStart w:id="210" w:name="_Ref6058770"/>
      <w:bookmarkStart w:id="211" w:name="_Ref6058753"/>
      <w:bookmarkStart w:id="212" w:name="_Ref532901415"/>
      <w:bookmarkEnd w:id="212"/>
      <w:r>
        <w:rPr>
          <w:sz w:val="22"/>
        </w:rPr>
        <w:tab/>
      </w:r>
      <w:bookmarkStart w:id="213" w:name="__RefHeading___Toc153622643"/>
      <w:r>
        <w:rPr>
          <w:sz w:val="22"/>
        </w:rPr>
        <w:t xml:space="preserve">SCHEDULE 3 - </w:t>
      </w:r>
      <w:r>
        <w:rPr/>
        <w:t>Apportionment</w:t>
      </w:r>
      <w:bookmarkEnd w:id="207"/>
      <w:bookmarkEnd w:id="208"/>
      <w:bookmarkEnd w:id="209"/>
      <w:bookmarkEnd w:id="210"/>
      <w:bookmarkEnd w:id="211"/>
      <w:r>
        <w:rPr/>
        <w:t xml:space="preserve"> of purchase price</w:t>
      </w:r>
      <w:bookmarkEnd w:id="205"/>
      <w:bookmarkEnd w:id="206"/>
      <w:bookmarkEnd w:id="213"/>
    </w:p>
    <w:tbl>
      <w:tblPr>
        <w:tblW w:w="8388" w:type="dxa"/>
        <w:jc w:val="start"/>
        <w:tblInd w:w="0" w:type="dxa"/>
        <w:tblLayout w:type="fixed"/>
        <w:tblCellMar>
          <w:top w:w="0" w:type="dxa"/>
          <w:start w:w="108" w:type="dxa"/>
          <w:bottom w:w="0" w:type="dxa"/>
          <w:end w:w="108" w:type="dxa"/>
        </w:tblCellMar>
      </w:tblPr>
      <w:tblGrid>
        <w:gridCol w:w="6228"/>
        <w:gridCol w:w="2160"/>
      </w:tblGrid>
      <w:tr>
        <w:trPr/>
        <w:tc>
          <w:tcPr>
            <w:tcW w:w="6228"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b/>
                <w:bCs/>
                <w:sz w:val="22"/>
              </w:rPr>
            </w:pPr>
            <w:r>
              <w:rPr>
                <w:b/>
                <w:bCs/>
                <w:sz w:val="22"/>
              </w:rPr>
              <w:t>Asset</w:t>
            </w:r>
          </w:p>
        </w:tc>
        <w:tc>
          <w:tcPr>
            <w:tcW w:w="2160"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b/>
                <w:bCs/>
                <w:sz w:val="22"/>
              </w:rPr>
            </w:pPr>
            <w:r>
              <w:rPr>
                <w:b/>
                <w:bCs/>
                <w:sz w:val="22"/>
              </w:rPr>
              <w:t xml:space="preserve">Purchase Price in million Euro </w:t>
            </w:r>
          </w:p>
        </w:tc>
      </w:tr>
      <w:tr>
        <w:trPr/>
        <w:tc>
          <w:tcPr>
            <w:tcW w:w="6228" w:type="dxa"/>
            <w:tcBorders>
              <w:top w:val="single" w:sz="4" w:space="0" w:color="000000"/>
              <w:start w:val="single" w:sz="4" w:space="0" w:color="000000"/>
              <w:bottom w:val="single" w:sz="4" w:space="0" w:color="000000"/>
              <w:end w:val="single" w:sz="4" w:space="0" w:color="000000"/>
            </w:tcBorders>
          </w:tcPr>
          <w:p>
            <w:pPr>
              <w:pStyle w:val="BodyText"/>
              <w:spacing w:before="0" w:after="240"/>
              <w:jc w:val="center"/>
              <w:rPr>
                <w:b/>
                <w:bCs/>
                <w:sz w:val="22"/>
              </w:rPr>
            </w:pPr>
            <w:r>
              <w:rPr>
                <w:b/>
                <w:bCs/>
                <w:sz w:val="22"/>
              </w:rPr>
              <w:t>Netherlands</w:t>
            </w:r>
          </w:p>
        </w:tc>
        <w:tc>
          <w:tcPr>
            <w:tcW w:w="2160" w:type="dxa"/>
            <w:tcBorders>
              <w:top w:val="single" w:sz="4" w:space="0" w:color="000000"/>
              <w:start w:val="single" w:sz="4" w:space="0" w:color="000000"/>
              <w:bottom w:val="single" w:sz="4" w:space="0" w:color="000000"/>
              <w:end w:val="single" w:sz="4" w:space="0" w:color="000000"/>
            </w:tcBorders>
          </w:tcPr>
          <w:p>
            <w:pPr>
              <w:pStyle w:val="BodyText"/>
              <w:snapToGrid w:val="false"/>
              <w:spacing w:before="0" w:after="240"/>
              <w:jc w:val="start"/>
              <w:rPr>
                <w:b/>
                <w:bCs/>
                <w:sz w:val="22"/>
              </w:rPr>
            </w:pPr>
            <w:r>
              <w:rPr>
                <w:b/>
                <w:bCs/>
                <w:sz w:val="22"/>
              </w:rPr>
            </w:r>
          </w:p>
        </w:tc>
      </w:tr>
      <w:tr>
        <w:trPr/>
        <w:tc>
          <w:tcPr>
            <w:tcW w:w="6228" w:type="dxa"/>
            <w:tcBorders>
              <w:top w:val="single" w:sz="4" w:space="0" w:color="000000"/>
              <w:start w:val="single" w:sz="4" w:space="0" w:color="000000"/>
              <w:bottom w:val="single" w:sz="4" w:space="0" w:color="000000"/>
              <w:end w:val="single" w:sz="4" w:space="0" w:color="000000"/>
            </w:tcBorders>
          </w:tcPr>
          <w:p>
            <w:pPr>
              <w:pStyle w:val="BodyText"/>
              <w:spacing w:before="0" w:after="240"/>
              <w:jc w:val="start"/>
              <w:rPr>
                <w:sz w:val="22"/>
              </w:rPr>
            </w:pPr>
            <w:r>
              <w:rPr>
                <w:sz w:val="22"/>
              </w:rPr>
              <w:t>LAN EuroBank Netherlands</w:t>
            </w:r>
          </w:p>
        </w:tc>
        <w:tc>
          <w:tcPr>
            <w:tcW w:w="2160" w:type="dxa"/>
            <w:tcBorders>
              <w:top w:val="single" w:sz="4" w:space="0" w:color="000000"/>
              <w:start w:val="single" w:sz="4" w:space="0" w:color="000000"/>
              <w:bottom w:val="single" w:sz="4" w:space="0" w:color="000000"/>
              <w:end w:val="single" w:sz="4" w:space="0" w:color="000000"/>
            </w:tcBorders>
          </w:tcPr>
          <w:p>
            <w:pPr>
              <w:pStyle w:val="BodyText"/>
              <w:spacing w:before="0" w:after="240"/>
              <w:jc w:val="center"/>
              <w:rPr>
                <w:sz w:val="22"/>
              </w:rPr>
            </w:pPr>
            <w:r>
              <w:rPr>
                <w:rFonts w:cs="Arial" w:ascii="Arial" w:hAnsi="Arial"/>
                <w:b/>
                <w:bCs/>
                <w:sz w:val="20"/>
                <w:szCs w:val="20"/>
              </w:rPr>
              <w:t>1.338.805</w:t>
            </w:r>
          </w:p>
        </w:tc>
      </w:tr>
      <w:tr>
        <w:trPr/>
        <w:tc>
          <w:tcPr>
            <w:tcW w:w="6228" w:type="dxa"/>
            <w:tcBorders>
              <w:top w:val="single" w:sz="4" w:space="0" w:color="000000"/>
              <w:start w:val="single" w:sz="4" w:space="0" w:color="000000"/>
              <w:end w:val="single" w:sz="4" w:space="0" w:color="000000"/>
            </w:tcBorders>
          </w:tcPr>
          <w:p>
            <w:pPr>
              <w:pStyle w:val="BodyText"/>
              <w:spacing w:before="0" w:after="240"/>
              <w:jc w:val="start"/>
              <w:rPr>
                <w:sz w:val="22"/>
              </w:rPr>
            </w:pPr>
            <w:r>
              <w:rPr>
                <w:sz w:val="22"/>
              </w:rPr>
              <w:t>Voice EuroBank Netherlands</w:t>
            </w:r>
          </w:p>
        </w:tc>
        <w:tc>
          <w:tcPr>
            <w:tcW w:w="2160" w:type="dxa"/>
            <w:tcBorders>
              <w:top w:val="single" w:sz="4" w:space="0" w:color="000000"/>
              <w:start w:val="single" w:sz="4" w:space="0" w:color="000000"/>
              <w:end w:val="single" w:sz="4" w:space="0" w:color="000000"/>
            </w:tcBorders>
          </w:tcPr>
          <w:p>
            <w:pPr>
              <w:pStyle w:val="BodyText"/>
              <w:spacing w:before="0" w:after="240"/>
              <w:jc w:val="center"/>
              <w:rPr>
                <w:sz w:val="22"/>
              </w:rPr>
            </w:pPr>
            <w:r>
              <w:rPr>
                <w:rFonts w:cs="Arial" w:ascii="Arial" w:hAnsi="Arial"/>
                <w:b/>
                <w:bCs/>
                <w:sz w:val="20"/>
                <w:szCs w:val="20"/>
              </w:rPr>
              <w:t>3.124.925</w:t>
            </w:r>
          </w:p>
        </w:tc>
      </w:tr>
      <w:tr>
        <w:trPr/>
        <w:tc>
          <w:tcPr>
            <w:tcW w:w="6228" w:type="dxa"/>
            <w:tcBorders>
              <w:start w:val="single" w:sz="4" w:space="0" w:color="000000"/>
              <w:bottom w:val="single" w:sz="4" w:space="0" w:color="000000"/>
              <w:end w:val="single" w:sz="4" w:space="0" w:color="000000"/>
            </w:tcBorders>
          </w:tcPr>
          <w:p>
            <w:pPr>
              <w:pStyle w:val="BodyText"/>
              <w:spacing w:before="0" w:after="240"/>
              <w:jc w:val="start"/>
              <w:rPr>
                <w:sz w:val="22"/>
              </w:rPr>
            </w:pPr>
            <w:r>
              <w:rPr>
                <w:sz w:val="22"/>
              </w:rPr>
              <w:t>Total Netherlands</w:t>
            </w:r>
          </w:p>
        </w:tc>
        <w:tc>
          <w:tcPr>
            <w:tcW w:w="2160" w:type="dxa"/>
            <w:tcBorders>
              <w:start w:val="single" w:sz="4" w:space="0" w:color="000000"/>
              <w:bottom w:val="single" w:sz="4" w:space="0" w:color="000000"/>
              <w:end w:val="single" w:sz="4" w:space="0" w:color="000000"/>
            </w:tcBorders>
          </w:tcPr>
          <w:p>
            <w:pPr>
              <w:pStyle w:val="BodyText"/>
              <w:spacing w:before="0" w:after="240"/>
              <w:jc w:val="center"/>
              <w:rPr>
                <w:rFonts w:ascii="Arial" w:hAnsi="Arial" w:cs="Arial"/>
                <w:b/>
                <w:bCs/>
                <w:sz w:val="20"/>
                <w:szCs w:val="20"/>
                <w:u w:val="double"/>
              </w:rPr>
            </w:pPr>
            <w:r>
              <w:rPr>
                <w:rFonts w:cs="Arial" w:ascii="Arial" w:hAnsi="Arial"/>
                <w:b/>
                <w:bCs/>
                <w:sz w:val="20"/>
                <w:szCs w:val="20"/>
                <w:u w:val="double"/>
              </w:rPr>
              <w:t>4.463.730</w:t>
            </w:r>
          </w:p>
        </w:tc>
      </w:tr>
      <w:tr>
        <w:trPr/>
        <w:tc>
          <w:tcPr>
            <w:tcW w:w="6228" w:type="dxa"/>
            <w:tcBorders>
              <w:top w:val="single" w:sz="4" w:space="0" w:color="000000"/>
              <w:start w:val="single" w:sz="4" w:space="0" w:color="000000"/>
              <w:bottom w:val="single" w:sz="4" w:space="0" w:color="000000"/>
              <w:end w:val="single" w:sz="4" w:space="0" w:color="000000"/>
            </w:tcBorders>
          </w:tcPr>
          <w:p>
            <w:pPr>
              <w:pStyle w:val="BodyText"/>
              <w:snapToGrid w:val="false"/>
              <w:spacing w:before="0" w:after="240"/>
              <w:jc w:val="start"/>
              <w:rPr>
                <w:rFonts w:ascii="Arial" w:hAnsi="Arial" w:cs="Arial"/>
                <w:b/>
                <w:bCs/>
                <w:sz w:val="22"/>
                <w:szCs w:val="20"/>
                <w:u w:val="double"/>
              </w:rPr>
            </w:pPr>
            <w:r>
              <w:rPr>
                <w:rFonts w:cs="Arial" w:ascii="Arial" w:hAnsi="Arial"/>
                <w:b/>
                <w:bCs/>
                <w:sz w:val="22"/>
                <w:szCs w:val="20"/>
                <w:u w:val="double"/>
              </w:rPr>
            </w:r>
          </w:p>
        </w:tc>
        <w:tc>
          <w:tcPr>
            <w:tcW w:w="2160" w:type="dxa"/>
            <w:tcBorders>
              <w:top w:val="single" w:sz="4" w:space="0" w:color="000000"/>
              <w:start w:val="single" w:sz="4" w:space="0" w:color="000000"/>
              <w:bottom w:val="single" w:sz="4" w:space="0" w:color="000000"/>
              <w:end w:val="single" w:sz="4" w:space="0" w:color="000000"/>
            </w:tcBorders>
          </w:tcPr>
          <w:p>
            <w:pPr>
              <w:pStyle w:val="BodyText"/>
              <w:snapToGrid w:val="false"/>
              <w:spacing w:before="0" w:after="240"/>
              <w:jc w:val="center"/>
              <w:rPr>
                <w:rFonts w:ascii="Arial" w:hAnsi="Arial" w:cs="Arial"/>
                <w:b/>
                <w:bCs/>
                <w:sz w:val="20"/>
                <w:szCs w:val="20"/>
              </w:rPr>
            </w:pPr>
            <w:r>
              <w:rPr>
                <w:rFonts w:cs="Arial" w:ascii="Arial" w:hAnsi="Arial"/>
                <w:b/>
                <w:bCs/>
                <w:sz w:val="20"/>
                <w:szCs w:val="20"/>
              </w:rPr>
            </w:r>
          </w:p>
        </w:tc>
      </w:tr>
      <w:tr>
        <w:trPr/>
        <w:tc>
          <w:tcPr>
            <w:tcW w:w="6228" w:type="dxa"/>
            <w:tcBorders>
              <w:top w:val="single" w:sz="4" w:space="0" w:color="000000"/>
              <w:start w:val="single" w:sz="4" w:space="0" w:color="000000"/>
              <w:bottom w:val="single" w:sz="4" w:space="0" w:color="000000"/>
              <w:end w:val="single" w:sz="4" w:space="0" w:color="000000"/>
            </w:tcBorders>
          </w:tcPr>
          <w:p>
            <w:pPr>
              <w:pStyle w:val="BodyText"/>
              <w:spacing w:before="0" w:after="240"/>
              <w:jc w:val="center"/>
              <w:rPr>
                <w:b/>
                <w:sz w:val="22"/>
              </w:rPr>
            </w:pPr>
            <w:r>
              <w:rPr>
                <w:b/>
                <w:sz w:val="22"/>
              </w:rPr>
              <w:t>Belgium</w:t>
            </w:r>
          </w:p>
        </w:tc>
        <w:tc>
          <w:tcPr>
            <w:tcW w:w="2160" w:type="dxa"/>
            <w:tcBorders>
              <w:top w:val="single" w:sz="4" w:space="0" w:color="000000"/>
              <w:start w:val="single" w:sz="4" w:space="0" w:color="000000"/>
              <w:bottom w:val="single" w:sz="4" w:space="0" w:color="000000"/>
              <w:end w:val="single" w:sz="4" w:space="0" w:color="000000"/>
            </w:tcBorders>
          </w:tcPr>
          <w:p>
            <w:pPr>
              <w:pStyle w:val="BodyText"/>
              <w:snapToGrid w:val="false"/>
              <w:spacing w:before="0" w:after="240"/>
              <w:jc w:val="center"/>
              <w:rPr>
                <w:rFonts w:ascii="Arial" w:hAnsi="Arial" w:cs="Arial"/>
                <w:b/>
                <w:bCs/>
                <w:sz w:val="20"/>
                <w:szCs w:val="20"/>
              </w:rPr>
            </w:pPr>
            <w:r>
              <w:rPr>
                <w:rFonts w:cs="Arial" w:ascii="Arial" w:hAnsi="Arial"/>
                <w:b/>
                <w:bCs/>
                <w:sz w:val="20"/>
                <w:szCs w:val="20"/>
              </w:rPr>
            </w:r>
          </w:p>
        </w:tc>
      </w:tr>
      <w:tr>
        <w:trPr/>
        <w:tc>
          <w:tcPr>
            <w:tcW w:w="6228" w:type="dxa"/>
            <w:tcBorders>
              <w:top w:val="single" w:sz="4" w:space="0" w:color="000000"/>
              <w:start w:val="single" w:sz="4" w:space="0" w:color="000000"/>
              <w:end w:val="single" w:sz="4" w:space="0" w:color="000000"/>
            </w:tcBorders>
          </w:tcPr>
          <w:p>
            <w:pPr>
              <w:pStyle w:val="BodyText"/>
              <w:spacing w:before="0" w:after="240"/>
              <w:jc w:val="start"/>
              <w:rPr>
                <w:sz w:val="22"/>
              </w:rPr>
            </w:pPr>
            <w:r>
              <w:rPr>
                <w:sz w:val="22"/>
              </w:rPr>
              <w:t>Voice EuroBank Belgium</w:t>
            </w:r>
          </w:p>
        </w:tc>
        <w:tc>
          <w:tcPr>
            <w:tcW w:w="2160" w:type="dxa"/>
            <w:tcBorders>
              <w:top w:val="single" w:sz="4" w:space="0" w:color="000000"/>
              <w:start w:val="single" w:sz="4" w:space="0" w:color="000000"/>
              <w:end w:val="single" w:sz="4" w:space="0" w:color="000000"/>
            </w:tcBorders>
          </w:tcPr>
          <w:p>
            <w:pPr>
              <w:pStyle w:val="BodyText"/>
              <w:spacing w:before="0" w:after="240"/>
              <w:jc w:val="center"/>
              <w:rPr>
                <w:sz w:val="22"/>
              </w:rPr>
            </w:pPr>
            <w:r>
              <w:rPr>
                <w:rFonts w:cs="Arial" w:ascii="Arial" w:hAnsi="Arial"/>
                <w:b/>
                <w:bCs/>
                <w:sz w:val="20"/>
                <w:szCs w:val="20"/>
              </w:rPr>
              <w:t>1.157.781</w:t>
            </w:r>
          </w:p>
        </w:tc>
      </w:tr>
      <w:tr>
        <w:trPr/>
        <w:tc>
          <w:tcPr>
            <w:tcW w:w="6228" w:type="dxa"/>
            <w:tcBorders>
              <w:start w:val="single" w:sz="4" w:space="0" w:color="000000"/>
              <w:bottom w:val="single" w:sz="4" w:space="0" w:color="000000"/>
              <w:end w:val="single" w:sz="4" w:space="0" w:color="000000"/>
            </w:tcBorders>
          </w:tcPr>
          <w:p>
            <w:pPr>
              <w:pStyle w:val="BodyText"/>
              <w:spacing w:before="0" w:after="240"/>
              <w:jc w:val="start"/>
              <w:rPr>
                <w:sz w:val="22"/>
              </w:rPr>
            </w:pPr>
            <w:r>
              <w:rPr>
                <w:sz w:val="22"/>
              </w:rPr>
              <w:t>Total Belgium</w:t>
            </w:r>
          </w:p>
        </w:tc>
        <w:tc>
          <w:tcPr>
            <w:tcW w:w="2160" w:type="dxa"/>
            <w:tcBorders>
              <w:start w:val="single" w:sz="4" w:space="0" w:color="000000"/>
              <w:bottom w:val="single" w:sz="4" w:space="0" w:color="000000"/>
              <w:end w:val="single" w:sz="4" w:space="0" w:color="000000"/>
            </w:tcBorders>
          </w:tcPr>
          <w:p>
            <w:pPr>
              <w:pStyle w:val="BodyText"/>
              <w:spacing w:before="0" w:after="240"/>
              <w:jc w:val="start"/>
              <w:rPr>
                <w:sz w:val="22"/>
                <w:u w:val="double"/>
              </w:rPr>
            </w:pPr>
            <w:r>
              <w:rPr>
                <w:rFonts w:eastAsia="Arial" w:cs="Arial" w:ascii="Arial" w:hAnsi="Arial"/>
                <w:b/>
                <w:bCs/>
                <w:sz w:val="20"/>
                <w:szCs w:val="20"/>
              </w:rPr>
              <w:t xml:space="preserve">          </w:t>
            </w:r>
            <w:r>
              <w:rPr>
                <w:rFonts w:cs="Arial" w:ascii="Arial" w:hAnsi="Arial"/>
                <w:b/>
                <w:bCs/>
                <w:sz w:val="20"/>
                <w:szCs w:val="20"/>
                <w:u w:val="double"/>
              </w:rPr>
              <w:t>1.157.781</w:t>
            </w:r>
          </w:p>
        </w:tc>
      </w:tr>
    </w:tbl>
    <w:p>
      <w:pPr>
        <w:pStyle w:val="FWSCont1"/>
        <w:tabs>
          <w:tab w:val="clear" w:pos="720"/>
          <w:tab w:val="left" w:pos="3480" w:leader="none"/>
        </w:tabs>
        <w:rPr>
          <w:b/>
          <w:bCs/>
          <w:sz w:val="22"/>
        </w:rPr>
      </w:pPr>
      <w:r>
        <w:rPr>
          <w:b/>
          <w:bCs/>
          <w:caps/>
          <w:sz w:val="22"/>
        </w:rPr>
        <w:tab/>
        <w:tab/>
        <w:tab/>
        <w:tab/>
        <w:tab/>
        <w:tab/>
        <w:tab/>
        <w:tab/>
        <w:t>Total</w:t>
      </w:r>
      <w:r>
        <w:rPr>
          <w:b/>
          <w:bCs/>
          <w:sz w:val="22"/>
        </w:rPr>
        <w:t>:  [€]</w:t>
        <w:tab/>
        <w:tab/>
        <w:tab/>
        <w:t xml:space="preserve">     5,621,511.</w:t>
      </w:r>
    </w:p>
    <w:p>
      <w:pPr>
        <w:pStyle w:val="FWSCont1"/>
        <w:tabs>
          <w:tab w:val="clear" w:pos="720"/>
          <w:tab w:val="left" w:pos="3480" w:leader="none"/>
        </w:tabs>
        <w:rPr>
          <w:b/>
          <w:bCs/>
          <w:sz w:val="22"/>
        </w:rPr>
      </w:pPr>
      <w:r>
        <w:rPr>
          <w:b/>
          <w:bCs/>
          <w:sz w:val="22"/>
        </w:rPr>
      </w:r>
    </w:p>
    <w:p>
      <w:pPr>
        <w:pStyle w:val="FWSCont1"/>
        <w:tabs>
          <w:tab w:val="clear" w:pos="720"/>
          <w:tab w:val="left" w:pos="6120" w:leader="none"/>
        </w:tabs>
        <w:rPr>
          <w:b/>
          <w:bCs/>
          <w:sz w:val="22"/>
        </w:rPr>
      </w:pPr>
      <w:r>
        <w:rPr>
          <w:b/>
          <w:bCs/>
          <w:sz w:val="22"/>
        </w:rPr>
      </w:r>
    </w:p>
    <w:p>
      <w:pPr>
        <w:pStyle w:val="FWSCont1"/>
        <w:tabs>
          <w:tab w:val="clear" w:pos="720"/>
          <w:tab w:val="left" w:pos="6120" w:leader="none"/>
        </w:tabs>
        <w:rPr>
          <w:b/>
          <w:bCs/>
          <w:sz w:val="22"/>
        </w:rPr>
      </w:pPr>
      <w:r>
        <w:rPr>
          <w:b/>
          <w:bCs/>
          <w:sz w:val="22"/>
        </w:rPr>
      </w:r>
    </w:p>
    <w:p>
      <w:pPr>
        <w:pStyle w:val="FWSCont1"/>
        <w:tabs>
          <w:tab w:val="clear" w:pos="720"/>
          <w:tab w:val="left" w:pos="6120" w:leader="none"/>
        </w:tabs>
        <w:rPr>
          <w:b/>
          <w:bCs/>
          <w:sz w:val="22"/>
        </w:rPr>
      </w:pPr>
      <w:r>
        <w:rPr>
          <w:b/>
          <w:bCs/>
          <w:sz w:val="22"/>
        </w:rPr>
      </w:r>
    </w:p>
    <w:p>
      <w:pPr>
        <w:pStyle w:val="Normal"/>
        <w:rPr>
          <w:b/>
          <w:bCs/>
          <w:sz w:val="22"/>
        </w:rPr>
      </w:pPr>
      <w:r>
        <w:rPr>
          <w:b/>
          <w:bCs/>
          <w:sz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headerReference w:type="default" r:id="rId10"/>
          <w:headerReference w:type="first" r:id="rId11"/>
          <w:footerReference w:type="default" r:id="rId12"/>
          <w:footerReference w:type="first" r:id="rId13"/>
          <w:type w:val="nextPage"/>
          <w:pgSz w:w="11906" w:h="16838"/>
          <w:pgMar w:left="1800" w:right="1800" w:gutter="0" w:header="720" w:top="1440" w:footer="720" w:bottom="1800"/>
          <w:pgNumType w:start="1" w:fmt="decimal"/>
          <w:formProt w:val="false"/>
          <w:titlePg/>
          <w:textDirection w:val="lrTb"/>
          <w:docGrid w:type="default" w:linePitch="326" w:charSpace="0"/>
        </w:sectPr>
        <w:pStyle w:val="Normal"/>
        <w:rPr/>
      </w:pPr>
      <w:r>
        <w:rPr/>
      </w:r>
    </w:p>
    <w:p>
      <w:pPr>
        <w:pStyle w:val="FWSL1"/>
        <w:numPr>
          <w:ilvl w:val="0"/>
          <w:numId w:val="0"/>
        </w:numPr>
        <w:tabs>
          <w:tab w:val="clear" w:pos="720"/>
          <w:tab w:val="center" w:pos="4200" w:leader="none"/>
          <w:tab w:val="right" w:pos="8280" w:leader="none"/>
        </w:tabs>
        <w:ind w:hanging="0" w:start="0" w:end="20"/>
        <w:jc w:val="start"/>
        <w:rPr/>
      </w:pPr>
      <w:r>
        <w:rPr>
          <w:sz w:val="22"/>
        </w:rPr>
        <w:tab/>
      </w:r>
      <w:bookmarkStart w:id="214" w:name="__RefHeading___Toc153622644"/>
      <w:r>
        <w:rPr>
          <w:sz w:val="22"/>
        </w:rPr>
        <w:t>SCHEDULE 4 - FORM OF LATA</w:t>
      </w:r>
      <w:bookmarkEnd w:id="214"/>
    </w:p>
    <w:p>
      <w:pPr>
        <w:pStyle w:val="BodyText"/>
        <w:jc w:val="center"/>
        <w:rPr>
          <w:b/>
          <w:bCs/>
          <w:sz w:val="22"/>
          <w:szCs w:val="22"/>
        </w:rPr>
      </w:pPr>
      <w:r>
        <w:rPr>
          <w:b/>
          <w:bCs/>
          <w:sz w:val="22"/>
          <w:szCs w:val="22"/>
        </w:rPr>
      </w:r>
    </w:p>
    <w:p>
      <w:pPr>
        <w:pStyle w:val="BodyText"/>
        <w:jc w:val="center"/>
        <w:rPr>
          <w:sz w:val="22"/>
          <w:szCs w:val="22"/>
        </w:rPr>
      </w:pPr>
      <w:r>
        <w:rPr>
          <w:b/>
          <w:bCs/>
          <w:sz w:val="22"/>
          <w:szCs w:val="22"/>
        </w:rPr>
        <w:t xml:space="preserve">LOCAL ASSET TRANSFER AGREEMENT </w:t>
      </w:r>
    </w:p>
    <w:p>
      <w:pPr>
        <w:pStyle w:val="BodyText"/>
        <w:jc w:val="center"/>
        <w:rPr>
          <w:sz w:val="22"/>
          <w:szCs w:val="22"/>
        </w:rPr>
      </w:pPr>
      <w:r>
        <w:rPr>
          <w:sz w:val="22"/>
          <w:szCs w:val="22"/>
        </w:rPr>
        <w:t>made on _____ _____ _____ 2006</w:t>
      </w:r>
    </w:p>
    <w:p>
      <w:pPr>
        <w:pStyle w:val="Heading5"/>
        <w:ind w:hanging="0" w:start="0"/>
        <w:rPr>
          <w:b w:val="false"/>
          <w:bCs/>
          <w:sz w:val="22"/>
          <w:szCs w:val="22"/>
        </w:rPr>
      </w:pPr>
      <w:r>
        <w:rPr>
          <w:b w:val="false"/>
          <w:bCs/>
          <w:sz w:val="22"/>
          <w:szCs w:val="22"/>
        </w:rPr>
        <w:t>BETWEEN:</w:t>
      </w:r>
    </w:p>
    <w:p>
      <w:pPr>
        <w:pStyle w:val="Normal"/>
        <w:rPr>
          <w:b/>
          <w:bCs/>
          <w:sz w:val="22"/>
          <w:szCs w:val="22"/>
        </w:rPr>
      </w:pPr>
      <w:r>
        <w:rPr>
          <w:b/>
          <w:bCs/>
          <w:sz w:val="22"/>
          <w:szCs w:val="22"/>
        </w:rPr>
      </w:r>
    </w:p>
    <w:p>
      <w:pPr>
        <w:pStyle w:val="FWParties"/>
        <w:numPr>
          <w:ilvl w:val="0"/>
          <w:numId w:val="0"/>
        </w:numPr>
        <w:ind w:hanging="0" w:start="0"/>
        <w:rPr/>
      </w:pPr>
      <w:r>
        <w:rPr>
          <w:sz w:val="22"/>
          <w:szCs w:val="22"/>
        </w:rPr>
        <w:t>(1)</w:t>
        <w:tab/>
        <w:t>EuroBank België  NV, a company incorporated under the laws of [●] under company number [●] whose [registered] office is at [●] (the Local EuroBank Affiliate); and</w:t>
      </w:r>
      <w:r>
        <w:rPr>
          <w:b/>
          <w:bCs/>
          <w:sz w:val="22"/>
          <w:szCs w:val="22"/>
        </w:rPr>
      </w:r>
      <w:r>
        <w:rPr>
          <w:sz w:val="22"/>
          <w:szCs w:val="22"/>
        </w:rPr>
      </w:r>
      <w:r>
        <w:rPr>
          <w:b/>
          <w:bCs/>
          <w:i/>
          <w:iCs/>
          <w:sz w:val="22"/>
          <w:szCs w:val="22"/>
        </w:rPr>
      </w:r>
      <w:r>
        <w:rPr>
          <w:sz w:val="22"/>
          <w:szCs w:val="22"/>
        </w:rPr>
      </w:r>
    </w:p>
    <w:p>
      <w:pPr>
        <w:pStyle w:val="FWParties"/>
        <w:numPr>
          <w:ilvl w:val="0"/>
          <w:numId w:val="8"/>
        </w:numPr>
        <w:ind w:hanging="0" w:start="0"/>
        <w:rPr>
          <w:sz w:val="22"/>
          <w:szCs w:val="22"/>
        </w:rPr>
      </w:pPr>
      <w:r>
        <w:rPr>
          <w:b/>
          <w:bCs/>
          <w:sz w:val="22"/>
          <w:szCs w:val="22"/>
        </w:rPr>
        <w:t>TelCo Telecom B.V., a company incorporated under the laws of the Netherlands under company number [_____] whose registered office is at Maanplein 55, the Hague, the Netherlands (the Local PST Supplier).</w:t>
      </w:r>
      <w:r>
        <w:rPr>
          <w:sz w:val="22"/>
          <w:szCs w:val="22"/>
        </w:rPr>
      </w:r>
      <w:r>
        <w:rPr>
          <w:b/>
          <w:bCs/>
          <w:sz w:val="22"/>
          <w:szCs w:val="22"/>
        </w:rPr>
      </w:r>
      <w:r>
        <w:rPr>
          <w:sz w:val="22"/>
          <w:szCs w:val="22"/>
        </w:rPr>
      </w:r>
      <w:r>
        <w:rPr>
          <w:b/>
          <w:bCs/>
          <w:i/>
          <w:iCs/>
          <w:sz w:val="22"/>
          <w:szCs w:val="22"/>
        </w:rPr>
      </w:r>
      <w:r>
        <w:rPr>
          <w:sz w:val="22"/>
          <w:szCs w:val="22"/>
        </w:rPr>
      </w:r>
    </w:p>
    <w:p>
      <w:pPr>
        <w:pStyle w:val="FWParties"/>
        <w:numPr>
          <w:ilvl w:val="0"/>
          <w:numId w:val="0"/>
        </w:numPr>
        <w:ind w:hanging="0" w:start="0"/>
        <w:rPr/>
      </w:pPr>
      <w:r>
        <w:rPr>
          <w:sz w:val="22"/>
          <w:szCs w:val="22"/>
        </w:rPr>
        <w:t>The Local EuroBank Affiliate and the Local PST Supplier hereinafter referred to as the Local Parties.</w:t>
      </w:r>
      <w:r>
        <w:rPr>
          <w:b/>
          <w:bCs/>
          <w:i/>
          <w:iCs/>
          <w:sz w:val="22"/>
          <w:szCs w:val="22"/>
        </w:rPr>
      </w:r>
      <w:r>
        <w:rPr>
          <w:sz w:val="22"/>
          <w:szCs w:val="22"/>
        </w:rPr>
      </w:r>
    </w:p>
    <w:p>
      <w:pPr>
        <w:pStyle w:val="Heading5"/>
        <w:ind w:hanging="0" w:start="0"/>
        <w:rPr>
          <w:b w:val="false"/>
          <w:bCs/>
          <w:sz w:val="22"/>
          <w:szCs w:val="22"/>
        </w:rPr>
      </w:pPr>
      <w:r>
        <w:rPr>
          <w:b w:val="false"/>
          <w:bCs/>
          <w:sz w:val="22"/>
          <w:szCs w:val="22"/>
        </w:rPr>
        <w:t>WHEREAS:</w:t>
      </w:r>
    </w:p>
    <w:p>
      <w:pPr>
        <w:pStyle w:val="Normal"/>
        <w:rPr>
          <w:b/>
          <w:bCs/>
          <w:sz w:val="22"/>
          <w:szCs w:val="22"/>
        </w:rPr>
      </w:pPr>
      <w:r>
        <w:rPr>
          <w:b/>
          <w:bCs/>
          <w:sz w:val="22"/>
          <w:szCs w:val="22"/>
        </w:rPr>
      </w:r>
    </w:p>
    <w:p>
      <w:pPr>
        <w:pStyle w:val="FWRecital"/>
        <w:numPr>
          <w:ilvl w:val="0"/>
          <w:numId w:val="21"/>
        </w:numPr>
        <w:ind w:hanging="0" w:start="0"/>
        <w:rPr>
          <w:sz w:val="22"/>
          <w:szCs w:val="22"/>
        </w:rPr>
      </w:pPr>
      <w:r>
        <w:rPr>
          <w:sz w:val="22"/>
          <w:szCs w:val="22"/>
        </w:rPr>
        <w:t>Following a strategic review of the EuroBank Group’s workplace IT infrastructure function, EuroBank and the PST Supplier have agreed to enter into an outsourcing arrangement whereby EuroBank Group will outsource certain workplace IT infrastructure functions to the PST Supplier.</w:t>
      </w:r>
    </w:p>
    <w:p>
      <w:pPr>
        <w:pStyle w:val="FWRecital"/>
        <w:numPr>
          <w:ilvl w:val="0"/>
          <w:numId w:val="20"/>
        </w:numPr>
        <w:tabs>
          <w:tab w:val="left" w:pos="360" w:leader="none"/>
          <w:tab w:val="left" w:pos="720" w:leader="none"/>
        </w:tabs>
        <w:ind w:hanging="0" w:start="0"/>
        <w:rPr>
          <w:sz w:val="22"/>
          <w:szCs w:val="22"/>
        </w:rPr>
      </w:pPr>
      <w:r>
        <w:rPr>
          <w:sz w:val="22"/>
          <w:szCs w:val="22"/>
        </w:rPr>
        <w:t>The PST Supplier and the EuroBank Group have entered into a PST Supplier Master Services Agreement (the MSA) on the date hereof, which agreement sets out the general terms and conditions for the performance of the Services to the EuroBank Group.</w:t>
      </w:r>
      <w:r>
        <w:rPr>
          <w:b/>
          <w:bCs/>
          <w:i/>
          <w:iCs/>
          <w:sz w:val="22"/>
          <w:szCs w:val="22"/>
        </w:rPr>
      </w:r>
      <w:r>
        <w:rPr>
          <w:sz w:val="22"/>
          <w:szCs w:val="22"/>
        </w:rPr>
      </w:r>
    </w:p>
    <w:p>
      <w:pPr>
        <w:pStyle w:val="FWRecital"/>
        <w:numPr>
          <w:ilvl w:val="0"/>
          <w:numId w:val="20"/>
        </w:numPr>
        <w:tabs>
          <w:tab w:val="left" w:pos="360" w:leader="none"/>
          <w:tab w:val="left" w:pos="720" w:leader="none"/>
        </w:tabs>
        <w:ind w:hanging="0" w:start="0"/>
        <w:rPr>
          <w:sz w:val="22"/>
          <w:szCs w:val="22"/>
        </w:rPr>
      </w:pPr>
      <w:r>
        <w:rPr>
          <w:sz w:val="22"/>
          <w:szCs w:val="22"/>
        </w:rPr>
        <w:t>Simultaneously with entering into the MSA, the PST Supplier and  EuroBank have entered into the Master Asset Transfer Agreement (the MATA), which sets out the general terms and conditions for the transfer of the Transfer Assets.</w:t>
      </w:r>
      <w:r>
        <w:rPr>
          <w:b/>
          <w:bCs/>
          <w:i/>
          <w:iCs/>
          <w:sz w:val="22"/>
          <w:szCs w:val="22"/>
        </w:rPr>
      </w:r>
      <w:r>
        <w:rPr>
          <w:sz w:val="22"/>
          <w:szCs w:val="22"/>
        </w:rPr>
      </w:r>
    </w:p>
    <w:p>
      <w:pPr>
        <w:pStyle w:val="FWRecital"/>
        <w:numPr>
          <w:ilvl w:val="0"/>
          <w:numId w:val="20"/>
        </w:numPr>
        <w:tabs>
          <w:tab w:val="left" w:pos="360" w:leader="none"/>
          <w:tab w:val="left" w:pos="720" w:leader="none"/>
        </w:tabs>
        <w:ind w:hanging="0" w:start="0"/>
        <w:rPr>
          <w:sz w:val="22"/>
          <w:szCs w:val="22"/>
        </w:rPr>
      </w:pPr>
      <w:r>
        <w:rPr>
          <w:sz w:val="22"/>
          <w:szCs w:val="22"/>
        </w:rPr>
        <w:t>As is laid down in the MATA, EuroBank has agreed to sell, or procure the sale of, and the PST Supplier has agreed to purchase, or procure the purchase of, the Transfer Assets to be effected in Belgium in accordance with this Local Asset Transfer Agreement (the LATA);</w:t>
      </w:r>
      <w:r>
        <w:rPr>
          <w:b/>
          <w:bCs/>
          <w:i/>
          <w:iCs/>
          <w:sz w:val="22"/>
          <w:szCs w:val="22"/>
        </w:rPr>
      </w:r>
      <w:r>
        <w:rPr>
          <w:sz w:val="22"/>
          <w:szCs w:val="22"/>
        </w:rPr>
      </w:r>
    </w:p>
    <w:p>
      <w:pPr>
        <w:pStyle w:val="FWRecital"/>
        <w:numPr>
          <w:ilvl w:val="0"/>
          <w:numId w:val="20"/>
        </w:numPr>
        <w:tabs>
          <w:tab w:val="left" w:pos="360" w:leader="none"/>
          <w:tab w:val="left" w:pos="720" w:leader="none"/>
        </w:tabs>
        <w:ind w:hanging="0" w:start="0"/>
        <w:rPr>
          <w:sz w:val="22"/>
          <w:szCs w:val="22"/>
        </w:rPr>
      </w:pPr>
      <w:r>
        <w:rPr>
          <w:sz w:val="22"/>
          <w:szCs w:val="22"/>
        </w:rPr>
        <w:t>In order to effectuate the provisions of the MATA, the Local EuroBank Affiliate and the Local PST Supplier have, in accordance with clause 3 of the MATA, agreed to the following terms and conditions for the provisions of the sale, purchase and transfer of the Transfer Assets by the Local EuroBank Affiliate to the Local PST Supplier as from the Commencement Date (the Local Completion Date).</w:t>
      </w:r>
      <w:r>
        <w:rPr>
          <w:b/>
          <w:bCs/>
          <w:i/>
          <w:iCs/>
          <w:sz w:val="22"/>
          <w:szCs w:val="22"/>
        </w:rPr>
      </w:r>
      <w:r>
        <w:rPr>
          <w:sz w:val="22"/>
          <w:szCs w:val="22"/>
        </w:rPr>
      </w:r>
    </w:p>
    <w:p>
      <w:pPr>
        <w:pStyle w:val="BodyText"/>
        <w:rPr/>
      </w:pPr>
      <w:r>
        <w:rPr>
          <w:b/>
          <w:bCs/>
          <w:sz w:val="22"/>
          <w:szCs w:val="22"/>
        </w:rPr>
        <w:t xml:space="preserve">THE LOCAL PARTIES AGREE </w:t>
      </w:r>
      <w:r>
        <w:rPr>
          <w:sz w:val="22"/>
          <w:szCs w:val="22"/>
        </w:rPr>
        <w:t>as follows:</w:t>
      </w:r>
    </w:p>
    <w:p>
      <w:pPr>
        <w:pStyle w:val="BodyText"/>
        <w:jc w:val="center"/>
        <w:rPr/>
      </w:pPr>
      <w:r>
        <w:rPr>
          <w:b/>
          <w:bCs/>
          <w:sz w:val="22"/>
        </w:rPr>
        <w:t>1 INCORPORATION OF MATA</w:t>
      </w:r>
    </w:p>
    <w:p>
      <w:pPr>
        <w:pStyle w:val="FWOutL3"/>
        <w:numPr>
          <w:ilvl w:val="0"/>
          <w:numId w:val="0"/>
        </w:numPr>
        <w:ind w:hanging="0" w:start="0"/>
        <w:rPr/>
      </w:pPr>
      <w:r>
        <w:rPr>
          <w:sz w:val="22"/>
          <w:szCs w:val="22"/>
        </w:rPr>
        <w:t>1.1 Except as expressly stated herein or in the MATA, all terms and conditions of the MATA (including its Schedules) are incorporated herein by reference and the Local EuroBank Affiliate and the Local PST Supplier hereby confirm that they are bound by, and shall observe and comply with, such provisions.</w:t>
      </w:r>
    </w:p>
    <w:p>
      <w:pPr>
        <w:pStyle w:val="FWOutL3"/>
        <w:numPr>
          <w:ilvl w:val="0"/>
          <w:numId w:val="0"/>
        </w:numPr>
        <w:ind w:hanging="0" w:start="0"/>
        <w:rPr/>
      </w:pPr>
      <w:r>
        <w:rPr>
          <w:sz w:val="22"/>
          <w:szCs w:val="22"/>
        </w:rPr>
        <w:t>1.2 Unless explicitly described otherwise herein, all references to EuroBank in the MATA shall be deemed to be a reference to the Local EuroBank Affiliate for the purpose of this LATA, and all references to the PST Supplier in the MATA shall be deemed to be a reference to the Local PST Supplier for the purpose of this LATA.</w:t>
      </w:r>
    </w:p>
    <w:p>
      <w:pPr>
        <w:pStyle w:val="FWOutL3"/>
        <w:numPr>
          <w:ilvl w:val="0"/>
          <w:numId w:val="0"/>
        </w:numPr>
        <w:ind w:hanging="0" w:start="0"/>
        <w:rPr/>
      </w:pPr>
      <w:r>
        <w:rPr>
          <w:sz w:val="22"/>
          <w:szCs w:val="22"/>
        </w:rPr>
        <w:t>1.3 The Local Parties shall be deemed included in any references to a “party” or “parties” under the MATA where the context so requires.</w:t>
      </w:r>
    </w:p>
    <w:p>
      <w:pPr>
        <w:pStyle w:val="FWOutL3"/>
        <w:numPr>
          <w:ilvl w:val="0"/>
          <w:numId w:val="0"/>
        </w:numPr>
        <w:ind w:hanging="0" w:start="0"/>
        <w:rPr/>
      </w:pPr>
      <w:r>
        <w:rPr>
          <w:sz w:val="22"/>
          <w:szCs w:val="22"/>
        </w:rPr>
        <w:t>1.4 Terms used in this LATA shall have the meaning given in the MATA unless expressly stated otherwise.</w:t>
      </w:r>
    </w:p>
    <w:p>
      <w:pPr>
        <w:pStyle w:val="BodyText"/>
        <w:jc w:val="center"/>
        <w:rPr/>
      </w:pPr>
      <w:r>
        <w:rPr>
          <w:b/>
          <w:bCs/>
          <w:sz w:val="22"/>
          <w:szCs w:val="22"/>
        </w:rPr>
        <w:t>2 LATA</w:t>
      </w:r>
    </w:p>
    <w:p>
      <w:pPr>
        <w:pStyle w:val="FWOutL3"/>
        <w:numPr>
          <w:ilvl w:val="0"/>
          <w:numId w:val="0"/>
        </w:numPr>
        <w:ind w:hanging="0" w:start="0"/>
        <w:rPr>
          <w:sz w:val="22"/>
          <w:szCs w:val="22"/>
        </w:rPr>
      </w:pPr>
      <w:r>
        <w:rPr>
          <w:sz w:val="22"/>
          <w:szCs w:val="22"/>
        </w:rPr>
        <w:t xml:space="preserve">This agreement constitutes a LATA as </w:t>
      </w:r>
      <w:bookmarkStart w:id="215" w:name="_Ref115147551"/>
      <w:r>
        <w:rPr>
          <w:sz w:val="22"/>
          <w:szCs w:val="22"/>
        </w:rPr>
        <w:t>referred to in clause 3 of the MATA.</w:t>
      </w:r>
    </w:p>
    <w:p>
      <w:pPr>
        <w:pStyle w:val="BodyText"/>
        <w:jc w:val="center"/>
        <w:rPr/>
      </w:pPr>
      <w:r>
        <w:rPr>
          <w:b/>
          <w:bCs/>
          <w:sz w:val="22"/>
          <w:szCs w:val="22"/>
        </w:rPr>
        <w:t>3 TRANSFER ASSETS</w:t>
      </w:r>
    </w:p>
    <w:p>
      <w:pPr>
        <w:pStyle w:val="FWOutL3"/>
        <w:numPr>
          <w:ilvl w:val="0"/>
          <w:numId w:val="0"/>
        </w:numPr>
        <w:ind w:hanging="0" w:start="0"/>
        <w:rPr/>
      </w:pPr>
      <w:r>
        <w:rPr>
          <w:sz w:val="22"/>
          <w:szCs w:val="22"/>
        </w:rPr>
        <w:t xml:space="preserve">3.1 The Transfer Assets covered by this LATA are described in Schedule 1 of the MATA  . </w:t>
      </w:r>
    </w:p>
    <w:p>
      <w:pPr>
        <w:pStyle w:val="FWOutL3"/>
        <w:numPr>
          <w:ilvl w:val="0"/>
          <w:numId w:val="0"/>
        </w:numPr>
        <w:ind w:hanging="0" w:start="0"/>
        <w:rPr/>
      </w:pPr>
      <w:r>
        <w:rPr>
          <w:sz w:val="22"/>
          <w:szCs w:val="22"/>
        </w:rPr>
        <w:t xml:space="preserve">3.2 The Local EuroBank Affiliate hereby sells, transfers and assigns to the Local PST Supplier with effect from the Local Completion Date and the Local PST Supplier hereby purchases, assumes and receives from the Local EuroBank Affiliate with effect from the Local Completion Date the Local Transfer Assets </w:t>
      </w:r>
    </w:p>
    <w:p>
      <w:pPr>
        <w:pStyle w:val="BodyText"/>
        <w:jc w:val="center"/>
        <w:rPr/>
      </w:pPr>
      <w:r>
        <w:rPr>
          <w:rFonts w:cs="Times New Roman Bold;Times New Roman" w:ascii="Times New Roman Bold;Times New Roman" w:hAnsi="Times New Roman Bold;Times New Roman"/>
          <w:b/>
          <w:bCs/>
          <w:smallCaps/>
          <w:sz w:val="22"/>
          <w:szCs w:val="22"/>
        </w:rPr>
        <w:t xml:space="preserve">4 Consideration AND PAYMENT </w:t>
      </w:r>
    </w:p>
    <w:p>
      <w:pPr>
        <w:pStyle w:val="FWOutL3"/>
        <w:numPr>
          <w:ilvl w:val="0"/>
          <w:numId w:val="0"/>
        </w:numPr>
        <w:ind w:hanging="0" w:start="0"/>
        <w:rPr/>
      </w:pPr>
      <w:r>
        <w:rPr>
          <w:sz w:val="22"/>
          <w:szCs w:val="22"/>
        </w:rPr>
        <w:t>4.1 The purchase price for the Local Transfer Assets has been set out in Schedule 3 of the MATA.</w:t>
      </w:r>
    </w:p>
    <w:p>
      <w:pPr>
        <w:pStyle w:val="FWOutL3"/>
        <w:numPr>
          <w:ilvl w:val="0"/>
          <w:numId w:val="0"/>
        </w:numPr>
        <w:ind w:hanging="0" w:start="0"/>
        <w:rPr>
          <w:sz w:val="22"/>
          <w:szCs w:val="22"/>
        </w:rPr>
      </w:pPr>
      <w:r>
        <w:rPr>
          <w:sz w:val="22"/>
          <w:szCs w:val="22"/>
        </w:rPr>
        <w:t xml:space="preserve">4.2 The method of payment is described in clause 4 of the MATA. </w:t>
      </w:r>
    </w:p>
    <w:p>
      <w:pPr>
        <w:pStyle w:val="FWOutL3"/>
        <w:numPr>
          <w:ilvl w:val="0"/>
          <w:numId w:val="0"/>
        </w:numPr>
        <w:ind w:hanging="0" w:start="0"/>
        <w:rPr>
          <w:sz w:val="22"/>
          <w:szCs w:val="22"/>
        </w:rPr>
      </w:pPr>
      <w:r>
        <w:rPr>
          <w:bCs/>
          <w:iCs/>
          <w:color w:val="000000"/>
          <w:sz w:val="22"/>
          <w:szCs w:val="22"/>
        </w:rPr>
        <w:t>4.3 EuroBank and the PST Supplier assume that the transfer of the Transfer Assets falls under the scope of article 11 of the Belgian VAT Code (BTW-Wetboek), so that the transfer will not be subject to 21% Belgian VAT. On basis of this assumption, the Purchase Price will be set at book value. In case the tax authorities would argue that the aforementioned article 11 of the Belgian VAT act (would not apply) does not apply, parties will cooperate to recalculate the price of  the Transfer Assets, which will then be set at book value minus any Belgian VAT amount related to the Transfer Assets that EuroBank will receive from the Belgian tax authorities.</w:t>
      </w:r>
      <w:r>
        <w:rPr>
          <w:rFonts w:cs="Arial" w:ascii="Arial" w:hAnsi="Arial"/>
          <w:bCs/>
          <w:iCs/>
          <w:color w:val="000000"/>
        </w:rPr>
      </w:r>
      <w:r>
        <w:rPr>
          <w:rFonts w:cs="Arial" w:ascii="Arial" w:hAnsi="Arial"/>
          <w:b/>
          <w:bCs/>
          <w:iCs/>
          <w:color w:val="000000"/>
        </w:rPr>
      </w:r>
      <w:r>
        <w:rPr>
          <w:sz w:val="22"/>
          <w:szCs w:val="22"/>
        </w:rPr>
      </w:r>
    </w:p>
    <w:p>
      <w:pPr>
        <w:pStyle w:val="BodyText"/>
        <w:jc w:val="center"/>
        <w:rPr/>
      </w:pPr>
      <w:r>
        <w:rPr>
          <w:rFonts w:cs="Times New Roman Bold;Times New Roman" w:ascii="Times New Roman Bold;Times New Roman" w:hAnsi="Times New Roman Bold;Times New Roman"/>
          <w:b/>
          <w:bCs/>
          <w:smallCaps/>
          <w:sz w:val="22"/>
          <w:szCs w:val="22"/>
        </w:rPr>
        <w:t>5 additional local provisions</w:t>
      </w:r>
    </w:p>
    <w:p>
      <w:pPr>
        <w:pStyle w:val="FWOutL3"/>
        <w:numPr>
          <w:ilvl w:val="0"/>
          <w:numId w:val="0"/>
        </w:numPr>
        <w:ind w:hanging="0" w:start="0"/>
        <w:rPr>
          <w:sz w:val="22"/>
          <w:szCs w:val="22"/>
        </w:rPr>
      </w:pPr>
      <w:r>
        <w:rPr>
          <w:sz w:val="22"/>
          <w:szCs w:val="22"/>
        </w:rPr>
        <w:t>5.1 In deviation from the provisions set out in the MATA and its Schedules, any mandatory local Belgian law requirements are inserted here by reference and shall prevail over the provisions of the MATA.</w:t>
      </w:r>
    </w:p>
    <w:p>
      <w:pPr>
        <w:pStyle w:val="BodyText"/>
        <w:jc w:val="center"/>
        <w:rPr/>
      </w:pPr>
      <w:r>
        <w:rPr>
          <w:b/>
          <w:bCs/>
          <w:sz w:val="22"/>
          <w:szCs w:val="22"/>
        </w:rPr>
        <w:t>6 MISCELLANEOUS</w:t>
      </w:r>
    </w:p>
    <w:p>
      <w:pPr>
        <w:pStyle w:val="FWOutL3"/>
        <w:numPr>
          <w:ilvl w:val="0"/>
          <w:numId w:val="0"/>
        </w:numPr>
        <w:ind w:hanging="0" w:start="0"/>
        <w:rPr/>
      </w:pPr>
      <w:r>
        <w:rPr>
          <w:sz w:val="22"/>
          <w:szCs w:val="22"/>
        </w:rPr>
        <w:t>6.1 Save as otherwise set out in the MATA or this LATA, ownership and risk of the Local Transfer Assets shall pass from the Local EuroBank Affiliate to the Local PST Supplier with effect from 00:00:01 on the Local Completion Date.</w:t>
      </w:r>
    </w:p>
    <w:p>
      <w:pPr>
        <w:pStyle w:val="FWOutL3"/>
        <w:numPr>
          <w:ilvl w:val="0"/>
          <w:numId w:val="0"/>
        </w:numPr>
        <w:ind w:hanging="0" w:start="0"/>
        <w:rPr/>
      </w:pPr>
      <w:r>
        <w:rPr>
          <w:sz w:val="22"/>
          <w:szCs w:val="22"/>
        </w:rPr>
        <w:t>6.2 The Local PST Supplier hereby undertakes to give effect to the transfer as referred to under clause 3 of this LATA as per the Local Completion Date and to change all registrations with applicable authorities and institutions (including but not limited to tax authorities, chamber of commerce, district court and land registry).</w:t>
      </w:r>
    </w:p>
    <w:p>
      <w:pPr>
        <w:pStyle w:val="FWOutL3"/>
        <w:numPr>
          <w:ilvl w:val="0"/>
          <w:numId w:val="0"/>
        </w:numPr>
        <w:ind w:hanging="0" w:start="0"/>
        <w:rPr/>
      </w:pPr>
      <w:r>
        <w:rPr>
          <w:sz w:val="22"/>
          <w:szCs w:val="22"/>
        </w:rPr>
        <w:t>6.3 The Local Parties hereby acknowledge that nothing in this LATA limits the rights and obligations of EuroBank or the PST Supplier under the MATA, nor will anything in this LATA be construed as a limitation of any right or obligation under the MATA.</w:t>
      </w:r>
    </w:p>
    <w:p>
      <w:pPr>
        <w:pStyle w:val="BodyText"/>
        <w:jc w:val="center"/>
        <w:rPr/>
      </w:pPr>
      <w:r>
        <w:rPr>
          <w:rFonts w:cs="Times New Roman Bold;Times New Roman" w:ascii="Times New Roman Bold;Times New Roman" w:hAnsi="Times New Roman Bold;Times New Roman"/>
          <w:b/>
          <w:bCs/>
          <w:smallCaps/>
          <w:sz w:val="22"/>
          <w:szCs w:val="22"/>
        </w:rPr>
        <w:t>7 Notices</w:t>
      </w:r>
    </w:p>
    <w:p>
      <w:pPr>
        <w:pStyle w:val="FWOutL3"/>
        <w:numPr>
          <w:ilvl w:val="0"/>
          <w:numId w:val="0"/>
        </w:numPr>
        <w:ind w:hanging="0" w:start="0"/>
        <w:rPr/>
      </w:pPr>
      <w:bookmarkStart w:id="216" w:name="_Ref110877593"/>
      <w:bookmarkEnd w:id="215"/>
      <w:r>
        <w:rPr>
          <w:sz w:val="22"/>
          <w:szCs w:val="22"/>
        </w:rPr>
        <w:t>7.1 In addition to clause 9.9.2 of the MATA, the addresses and fax numbers of the Local Parties are as follows:</w:t>
      </w:r>
      <w:bookmarkEnd w:id="216"/>
    </w:p>
    <w:p>
      <w:pPr>
        <w:pStyle w:val="BodyText"/>
        <w:rPr>
          <w:sz w:val="22"/>
          <w:szCs w:val="22"/>
        </w:rPr>
      </w:pPr>
      <w:r>
        <w:rPr>
          <w:sz w:val="22"/>
          <w:szCs w:val="22"/>
        </w:rPr>
        <w:t>The Local PST Supplier</w:t>
      </w:r>
    </w:p>
    <w:p>
      <w:pPr>
        <w:pStyle w:val="BodyText"/>
        <w:rPr>
          <w:sz w:val="22"/>
          <w:szCs w:val="22"/>
        </w:rPr>
      </w:pPr>
      <w:r>
        <w:rPr>
          <w:sz w:val="22"/>
          <w:szCs w:val="22"/>
        </w:rPr>
        <w:t>Address:</w:t>
        <w:tab/>
        <w:tab/>
        <w:t>[●]</w:t>
      </w:r>
    </w:p>
    <w:p>
      <w:pPr>
        <w:pStyle w:val="BodyText"/>
        <w:rPr>
          <w:sz w:val="22"/>
          <w:szCs w:val="22"/>
        </w:rPr>
      </w:pPr>
      <w:r>
        <w:rPr>
          <w:sz w:val="22"/>
          <w:szCs w:val="22"/>
        </w:rPr>
        <w:t>Fax:</w:t>
        <w:tab/>
        <w:tab/>
        <w:tab/>
        <w:t>[●]</w:t>
      </w:r>
    </w:p>
    <w:p>
      <w:pPr>
        <w:pStyle w:val="BodyText"/>
        <w:rPr>
          <w:sz w:val="22"/>
          <w:szCs w:val="22"/>
        </w:rPr>
      </w:pPr>
      <w:r>
        <w:rPr>
          <w:sz w:val="22"/>
          <w:szCs w:val="22"/>
        </w:rPr>
        <w:t>For the attention of:</w:t>
        <w:tab/>
        <w:t>[●]</w:t>
      </w:r>
    </w:p>
    <w:p>
      <w:pPr>
        <w:pStyle w:val="BodyText"/>
        <w:rPr>
          <w:sz w:val="22"/>
          <w:szCs w:val="22"/>
        </w:rPr>
      </w:pPr>
      <w:r>
        <w:rPr>
          <w:sz w:val="22"/>
          <w:szCs w:val="22"/>
        </w:rPr>
      </w:r>
    </w:p>
    <w:p>
      <w:pPr>
        <w:pStyle w:val="BodyText"/>
        <w:rPr>
          <w:sz w:val="22"/>
          <w:szCs w:val="22"/>
        </w:rPr>
      </w:pPr>
      <w:r>
        <w:rPr>
          <w:sz w:val="22"/>
          <w:szCs w:val="22"/>
        </w:rPr>
      </w:r>
    </w:p>
    <w:p>
      <w:pPr>
        <w:pStyle w:val="BodyText"/>
        <w:rPr>
          <w:sz w:val="22"/>
          <w:szCs w:val="22"/>
        </w:rPr>
      </w:pPr>
      <w:r>
        <w:rPr>
          <w:sz w:val="22"/>
          <w:szCs w:val="22"/>
        </w:rPr>
        <w:t>Local EuroBank Affiliate</w:t>
      </w:r>
    </w:p>
    <w:p>
      <w:pPr>
        <w:pStyle w:val="BodyText"/>
        <w:rPr>
          <w:sz w:val="22"/>
          <w:szCs w:val="22"/>
        </w:rPr>
      </w:pPr>
      <w:r>
        <w:rPr>
          <w:sz w:val="22"/>
          <w:szCs w:val="22"/>
        </w:rPr>
        <w:t>Address:</w:t>
        <w:tab/>
        <w:tab/>
        <w:t>[●]</w:t>
      </w:r>
    </w:p>
    <w:p>
      <w:pPr>
        <w:pStyle w:val="BodyText"/>
        <w:rPr>
          <w:sz w:val="22"/>
          <w:szCs w:val="22"/>
        </w:rPr>
      </w:pPr>
      <w:r>
        <w:rPr>
          <w:sz w:val="22"/>
          <w:szCs w:val="22"/>
        </w:rPr>
        <w:t>Fax:</w:t>
        <w:tab/>
        <w:tab/>
        <w:tab/>
        <w:t>[●]</w:t>
      </w:r>
    </w:p>
    <w:p>
      <w:pPr>
        <w:pStyle w:val="BodyText"/>
        <w:rPr>
          <w:sz w:val="22"/>
          <w:szCs w:val="22"/>
        </w:rPr>
      </w:pPr>
      <w:r>
        <w:rPr>
          <w:sz w:val="22"/>
          <w:szCs w:val="22"/>
        </w:rPr>
        <w:t>For the attention of:</w:t>
        <w:tab/>
        <w:t>[●]</w:t>
      </w:r>
    </w:p>
    <w:p>
      <w:pPr>
        <w:pStyle w:val="BodyText"/>
        <w:rPr>
          <w:sz w:val="22"/>
          <w:szCs w:val="22"/>
        </w:rPr>
      </w:pPr>
      <w:r>
        <w:rPr>
          <w:sz w:val="22"/>
          <w:szCs w:val="22"/>
        </w:rPr>
      </w:r>
    </w:p>
    <w:p>
      <w:pPr>
        <w:pStyle w:val="FWOutL2"/>
        <w:numPr>
          <w:ilvl w:val="0"/>
          <w:numId w:val="0"/>
        </w:numPr>
        <w:ind w:hanging="0" w:start="0"/>
        <w:rPr>
          <w:sz w:val="22"/>
          <w:szCs w:val="22"/>
        </w:rPr>
      </w:pPr>
      <w:r>
        <w:rPr>
          <w:sz w:val="22"/>
          <w:szCs w:val="22"/>
        </w:rPr>
      </w:r>
    </w:p>
    <w:p>
      <w:pPr>
        <w:pStyle w:val="BodyText"/>
        <w:jc w:val="center"/>
        <w:rPr/>
      </w:pPr>
      <w:r>
        <w:rPr>
          <w:rFonts w:cs="Times New Roman Bold;Times New Roman" w:ascii="Times New Roman Bold;Times New Roman" w:hAnsi="Times New Roman Bold;Times New Roman"/>
          <w:b/>
          <w:bCs/>
          <w:smallCaps/>
          <w:sz w:val="22"/>
          <w:szCs w:val="22"/>
        </w:rPr>
        <w:t>8 Governing Law and jurisdiction</w:t>
      </w:r>
    </w:p>
    <w:p>
      <w:pPr>
        <w:pStyle w:val="FWOutL3"/>
        <w:numPr>
          <w:ilvl w:val="0"/>
          <w:numId w:val="0"/>
        </w:numPr>
        <w:ind w:hanging="0" w:start="0"/>
        <w:rPr/>
      </w:pPr>
      <w:r>
        <w:rPr>
          <w:sz w:val="22"/>
          <w:szCs w:val="22"/>
        </w:rPr>
        <w:t>8.1 Except to the extent prohibited under the laws of any jurisdiction which are applicable in respect of this LATA, this LATA shall be governed by and construed in accordance with the laws of the Netherlands.</w:t>
      </w:r>
    </w:p>
    <w:p>
      <w:pPr>
        <w:pStyle w:val="FWOutL3"/>
        <w:numPr>
          <w:ilvl w:val="0"/>
          <w:numId w:val="0"/>
        </w:numPr>
        <w:ind w:hanging="0" w:start="0"/>
        <w:rPr/>
      </w:pPr>
      <w:r>
        <w:rPr>
          <w:sz w:val="22"/>
          <w:szCs w:val="22"/>
        </w:rPr>
        <w:t>8.2 To the extent that the provisions of this LATA fail to comply with any requirement under the laws of any jurisdiction (other than the Netherlands) which are applicable in respect of this LATA, the Local Parties shall use their respective reasonable endeavours to ensure that such provisions are amended so as to comply with such laws but so as to minimise the economic effect on either of the Local Parties.</w:t>
      </w:r>
    </w:p>
    <w:p>
      <w:pPr>
        <w:pStyle w:val="FWOutL3"/>
        <w:numPr>
          <w:ilvl w:val="0"/>
          <w:numId w:val="0"/>
        </w:numPr>
        <w:ind w:hanging="0" w:start="0"/>
        <w:rPr/>
      </w:pPr>
      <w:r>
        <w:rPr>
          <w:sz w:val="22"/>
          <w:szCs w:val="22"/>
        </w:rPr>
        <w:t xml:space="preserve">8.3 All disputes, controversies or claims between arising out of or in connection with this LATA shall be settled in accordance with clause 9.14 of the MATA. </w:t>
      </w:r>
    </w:p>
    <w:p>
      <w:pPr>
        <w:pStyle w:val="BodyText"/>
        <w:jc w:val="center"/>
        <w:rPr>
          <w:rFonts w:ascii="Times New Roman Bold;Times New Roman" w:hAnsi="Times New Roman Bold;Times New Roman" w:cs="Times New Roman Bold;Times New Roman"/>
          <w:b/>
          <w:bCs/>
          <w:smallCaps/>
          <w:sz w:val="22"/>
          <w:szCs w:val="22"/>
        </w:rPr>
      </w:pPr>
      <w:r>
        <w:rPr>
          <w:rFonts w:cs="Times New Roman Bold;Times New Roman" w:ascii="Times New Roman Bold;Times New Roman" w:hAnsi="Times New Roman Bold;Times New Roman"/>
          <w:b/>
          <w:bCs/>
          <w:smallCaps/>
          <w:sz w:val="22"/>
          <w:szCs w:val="22"/>
        </w:rPr>
      </w:r>
    </w:p>
    <w:p>
      <w:pPr>
        <w:pStyle w:val="BodyText"/>
        <w:jc w:val="center"/>
        <w:rPr/>
      </w:pPr>
      <w:r>
        <w:rPr>
          <w:rFonts w:cs="Times New Roman Bold;Times New Roman" w:ascii="Times New Roman Bold;Times New Roman" w:hAnsi="Times New Roman Bold;Times New Roman"/>
          <w:b/>
          <w:bCs/>
          <w:smallCaps/>
          <w:sz w:val="22"/>
          <w:szCs w:val="22"/>
        </w:rPr>
        <w:t>9 Counterparts</w:t>
      </w:r>
    </w:p>
    <w:p>
      <w:pPr>
        <w:pStyle w:val="FWOutCont3"/>
        <w:rPr>
          <w:sz w:val="22"/>
          <w:szCs w:val="22"/>
        </w:rPr>
      </w:pPr>
      <w:r>
        <w:rPr>
          <w:sz w:val="22"/>
          <w:szCs w:val="22"/>
        </w:rPr>
        <w:t>This LATA may be executed in any number of counterparts and by the Local Parties to it on separate counterparts, each of which is an original but all of which taken together shall constitute one and the same instrument.</w:t>
      </w:r>
    </w:p>
    <w:p>
      <w:pPr>
        <w:pStyle w:val="Sealing"/>
        <w:keepNext w:val="true"/>
        <w:rPr>
          <w:sz w:val="22"/>
          <w:szCs w:val="22"/>
        </w:rPr>
      </w:pPr>
      <w:r>
        <w:rPr>
          <w:sz w:val="22"/>
          <w:szCs w:val="22"/>
        </w:rPr>
        <w:t>EXECUTED by the Local Parties</w:t>
        <w:tab/>
        <w:t>)</w:t>
      </w:r>
    </w:p>
    <w:p>
      <w:pPr>
        <w:pStyle w:val="Sealing"/>
        <w:keepNext w:val="true"/>
        <w:rPr>
          <w:sz w:val="22"/>
          <w:szCs w:val="22"/>
        </w:rPr>
      </w:pPr>
      <w:r>
        <w:rPr>
          <w:sz w:val="22"/>
          <w:szCs w:val="22"/>
        </w:rPr>
        <w:br/>
        <w:t>Signed by</w:t>
        <w:tab/>
        <w:tab/>
        <w:t>)</w:t>
        <w:br/>
        <w:t xml:space="preserve">a duly authorised </w:t>
        <w:tab/>
        <w:tab/>
        <w:t>)</w:t>
        <w:br/>
        <w:t>representative of</w:t>
        <w:tab/>
        <w:tab/>
        <w:t>)</w:t>
        <w:br/>
        <w:t>[insert name of Local EuroBank Affiliate]:</w:t>
        <w:tab/>
        <w:t>)</w:t>
      </w:r>
    </w:p>
    <w:p>
      <w:pPr>
        <w:pStyle w:val="Sealing"/>
        <w:keepNext w:val="true"/>
        <w:rPr>
          <w:sz w:val="22"/>
          <w:szCs w:val="22"/>
        </w:rPr>
      </w:pPr>
      <w:r>
        <w:rPr>
          <w:sz w:val="22"/>
          <w:szCs w:val="22"/>
        </w:rPr>
        <w:t>_________________________</w:t>
        <w:tab/>
        <w:t>Signature</w:t>
      </w:r>
    </w:p>
    <w:p>
      <w:pPr>
        <w:pStyle w:val="Sealing"/>
        <w:keepNext w:val="true"/>
        <w:rPr>
          <w:sz w:val="22"/>
          <w:szCs w:val="22"/>
        </w:rPr>
      </w:pPr>
      <w:r>
        <w:rPr>
          <w:sz w:val="22"/>
          <w:szCs w:val="22"/>
        </w:rPr>
        <w:t>Signed by</w:t>
        <w:tab/>
        <w:tab/>
        <w:t>)</w:t>
        <w:br/>
        <w:t xml:space="preserve">a duly authorised </w:t>
        <w:tab/>
        <w:tab/>
        <w:t>)</w:t>
        <w:br/>
        <w:t>representative of</w:t>
        <w:tab/>
        <w:tab/>
        <w:t>)</w:t>
        <w:br/>
        <w:t>[insert name of Local EuroBank Affiliate]:</w:t>
        <w:tab/>
        <w:t>)</w:t>
      </w:r>
    </w:p>
    <w:p>
      <w:pPr>
        <w:pStyle w:val="Sealing"/>
        <w:keepNext w:val="true"/>
        <w:rPr>
          <w:sz w:val="22"/>
          <w:szCs w:val="22"/>
        </w:rPr>
      </w:pPr>
      <w:r>
        <w:rPr>
          <w:sz w:val="22"/>
          <w:szCs w:val="22"/>
        </w:rPr>
        <w:t>_________________________</w:t>
        <w:tab/>
        <w:t>Signature</w:t>
      </w:r>
    </w:p>
    <w:p>
      <w:pPr>
        <w:pStyle w:val="Sealing"/>
        <w:keepNext w:val="true"/>
        <w:rPr>
          <w:sz w:val="22"/>
          <w:szCs w:val="22"/>
        </w:rPr>
      </w:pPr>
      <w:r>
        <w:rPr>
          <w:sz w:val="22"/>
          <w:szCs w:val="22"/>
        </w:rPr>
      </w:r>
    </w:p>
    <w:p>
      <w:pPr>
        <w:pStyle w:val="Sealing"/>
        <w:keepNext w:val="true"/>
        <w:rPr>
          <w:sz w:val="22"/>
          <w:szCs w:val="22"/>
        </w:rPr>
      </w:pPr>
      <w:r>
        <w:rPr>
          <w:sz w:val="22"/>
          <w:szCs w:val="22"/>
        </w:rPr>
        <w:t>Signed by</w:t>
        <w:tab/>
        <w:tab/>
        <w:t>)</w:t>
        <w:br/>
        <w:t xml:space="preserve">a duly authorised </w:t>
        <w:tab/>
        <w:tab/>
        <w:t>)</w:t>
        <w:br/>
        <w:t>representative of</w:t>
        <w:tab/>
        <w:tab/>
        <w:t>)</w:t>
        <w:br/>
        <w:t>[insert name of Local PST Supplier]</w:t>
        <w:tab/>
        <w:t>)</w:t>
      </w:r>
    </w:p>
    <w:p>
      <w:pPr>
        <w:pStyle w:val="Sealing"/>
        <w:keepNext w:val="true"/>
        <w:rPr>
          <w:b/>
          <w:bCs/>
          <w:sz w:val="22"/>
          <w:szCs w:val="22"/>
        </w:rPr>
      </w:pPr>
      <w:r>
        <w:rPr>
          <w:sz w:val="22"/>
          <w:szCs w:val="22"/>
        </w:rPr>
        <w:t>_________________________</w:t>
        <w:tab/>
        <w:t>Signature</w:t>
      </w:r>
    </w:p>
    <w:p>
      <w:pPr>
        <w:pStyle w:val="Normal"/>
        <w:rPr>
          <w:b/>
          <w:bCs/>
          <w:sz w:val="22"/>
          <w:szCs w:val="22"/>
        </w:rPr>
      </w:pPr>
      <w:r>
        <w:rPr>
          <w:b/>
          <w:bCs/>
          <w:sz w:val="22"/>
          <w:szCs w:val="22"/>
        </w:rPr>
      </w:r>
    </w:p>
    <w:p>
      <w:pPr>
        <w:pStyle w:val="BodyText"/>
        <w:spacing w:before="960" w:after="2880"/>
        <w:jc w:val="center"/>
        <w:rPr>
          <w:sz w:val="22"/>
          <w:szCs w:val="22"/>
        </w:rPr>
      </w:pPr>
      <w:r>
        <w:rPr>
          <w:sz w:val="22"/>
          <w:szCs w:val="22"/>
        </w:rPr>
      </w:r>
    </w:p>
    <w:sectPr>
      <w:headerReference w:type="default" r:id="rId14"/>
      <w:headerReference w:type="first" r:id="rId15"/>
      <w:footerReference w:type="default" r:id="rId16"/>
      <w:footerReference w:type="first" r:id="rId17"/>
      <w:type w:val="nextPage"/>
      <w:pgSz w:w="11906" w:h="16838"/>
      <w:pgMar w:left="1800" w:right="1800" w:gutter="0" w:header="720" w:top="1440" w:footer="720" w:bottom="180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Arial Unicode MS">
    <w:charset w:val="80"/>
    <w:family w:val="swiss"/>
    <w:pitch w:val="variable"/>
  </w:font>
  <w:font w:name="Tahoma">
    <w:charset w:val="00" w:characterSet="windows-1252"/>
    <w:family w:val="swiss"/>
    <w:pitch w:val="variable"/>
  </w:font>
  <w:font w:name="Times New Roman Bold">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20"/>
      <w:rPr/>
    </w:pPr>
    <w:r>
      <w:rPr>
        <w:rStyle w:val="PageNumber"/>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bookmarkStart w:id="0" w:name="_Ref532912010"/>
    <w:r>
      <w:rPr>
        <w:color w:val="008000"/>
        <w:lang w:val="en-US" w:eastAsia="en-US"/>
      </w:rPr>
      <w:t>Ops &amp; IT Banking Confidential</w:t>
    </w:r>
    <w:r>
      <w:rPr>
        <w:lang w:val="en-US" w:eastAsia="en-US"/>
      </w:rPr>
      <w:tab/>
    </w:r>
    <w:bookmarkStart w:id="1" w:name="_Ref6280582"/>
    <w:bookmarkStart w:id="2" w:name="_Ref9067"/>
    <w:bookmarkEnd w:id="0"/>
    <w:bookmarkEnd w:id="1"/>
    <w:bookmarkEnd w:id="2"/>
    <w:r>
      <w:rPr>
        <w:rStyle w:val="PageNumber"/>
      </w:rPr>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20"/>
      <w:rPr/>
    </w:pPr>
    <w:r>
      <w:rPr>
        <w:rStyle w:val="PageNumber"/>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ab/>
      <w:t>30/11/06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color w:val="008000"/>
        <w:lang w:val="en-US" w:eastAsia="en-US"/>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20"/>
      <w:rPr/>
    </w:pPr>
    <w:r>
      <w:rPr>
        <w:rStyle w:val="PageNumber"/>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r>
      <w:rPr>
        <w:rStyle w:val="PageNumber"/>
      </w:rPr>
      <w:tab/>
      <w:t>30/11/06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color w:val="008000"/>
        <w:lang w:val="en-US" w:eastAsia="en-US"/>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ab/>
      <w:t>30/11/06</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20"/>
      <w:rPr/>
    </w:pPr>
    <w:r>
      <w:rPr>
        <w:rStyle w:val="PageNumber"/>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r>
      <w:rPr>
        <w:rStyle w:val="PageNumber"/>
      </w:rPr>
      <w:tab/>
      <w:t>30/11/06</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rPr/>
    </w:pPr>
    <w:r>
      <w:rPr>
        <w:color w:val="008000"/>
        <w:lang w:val="en-US" w:eastAsia="en-US"/>
      </w:rPr>
      <w:t>Ops &amp; IT Banking Confidential</w:t>
    </w:r>
    <w:r>
      <w:rPr>
        <w:lang w:val="en-US" w:eastAsia="en-US"/>
      </w:rPr>
      <w:tab/>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r>
      <w:rPr>
        <w:rStyle w:val="PageNumber"/>
      </w:rPr>
      <w:tab/>
      <w:t>30/11/06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pPr>
    <w:r>
      <w:rPr/>
      <w:drawing>
        <wp:inline distT="0" distB="0" distL="0" distR="0">
          <wp:extent cx="965200" cy="28448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ind w:end="20"/>
      <w:jc w:val="start"/>
      <w:rPr/>
    </w:pPr>
    <w:r>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pPr>
    <w:r>
      <w:rPr/>
      <w:drawing>
        <wp:inline distT="0" distB="0" distL="0" distR="0">
          <wp:extent cx="965200" cy="284480"/>
          <wp:effectExtent l="0" t="0" r="0" b="0"/>
          <wp:docPr id="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title=""/>
                  <pic:cNvPicPr>
                    <a:picLocks noChangeAspect="1" noChangeArrowheads="1"/>
                  </pic:cNvPicPr>
                </pic:nvPicPr>
                <pic:blipFill>
                  <a:blip r:embed="rId1"/>
                  <a:stretch>
                    <a:fillRect/>
                  </a:stretch>
                </pic:blipFill>
                <pic:spPr bwMode="auto">
                  <a:xfrm>
                    <a:off x="0" y="0"/>
                    <a:ext cx="965200" cy="284480"/>
                  </a:xfrm>
                  <a:prstGeom prst="rect">
                    <a:avLst/>
                  </a:prstGeom>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ind w:end="20"/>
      <w:jc w:val="start"/>
      <w:rPr/>
    </w:pPr>
    <w:r>
      <w:rPr/>
      <w:drawing>
        <wp:inline distT="0" distB="0" distL="0" distR="0">
          <wp:extent cx="965200" cy="2844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pPr>
    <w:r>
      <w:rPr/>
      <w:drawing>
        <wp:inline distT="0" distB="0" distL="0" distR="0">
          <wp:extent cx="965200" cy="284480"/>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ind w:end="20"/>
      <w:jc w:val="start"/>
      <w:rPr/>
    </w:pPr>
    <w:r>
      <w:rPr/>
      <w:drawing>
        <wp:inline distT="0" distB="0" distL="0" distR="0">
          <wp:extent cx="965200" cy="284480"/>
          <wp:effectExtent l="0" t="0" r="0" b="0"/>
          <wp:docPr id="9"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jc w:val="start"/>
      <w:rPr/>
    </w:pPr>
    <w:r>
      <w:rPr/>
      <w:drawing>
        <wp:inline distT="0" distB="0" distL="0" distR="0">
          <wp:extent cx="965200" cy="284480"/>
          <wp:effectExtent l="0" t="0" r="0" b="0"/>
          <wp:docPr id="10"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CPN"/>
      <w:tabs>
        <w:tab w:val="clear" w:pos="720"/>
        <w:tab w:val="left" w:pos="0" w:leader="none"/>
        <w:tab w:val="center" w:pos="4320" w:leader="none"/>
        <w:tab w:val="right" w:pos="8280" w:leader="none"/>
      </w:tabs>
      <w:spacing w:before="360" w:after="0"/>
      <w:ind w:end="20"/>
      <w:jc w:val="start"/>
      <w:rPr/>
    </w:pPr>
    <w:r>
      <w:rPr/>
      <w:drawing>
        <wp:inline distT="0" distB="0" distL="0" distR="0">
          <wp:extent cx="965200" cy="284480"/>
          <wp:effectExtent l="0" t="0" r="0" b="0"/>
          <wp:docPr id="11" name="Image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Copy 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MATA Final v1.9.DOC</w:t>
    </w:r>
    <w:r>
      <w:rPr>
        <w:sz w:val="16"/>
        <w:szCs w:val="16"/>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800"/>
        </w:tabs>
        <w:ind w:start="1800" w:hanging="360"/>
      </w:pPr>
      <w:rPr>
        <w:rFonts w:ascii="Symbol" w:hAnsi="Symbol" w:cs="Symbol" w:hint="default"/>
      </w:rPr>
    </w:lvl>
  </w:abstractNum>
  <w:abstractNum w:abstractNumId="3">
    <w:lvl w:ilvl="0">
      <w:start w:val="1"/>
      <w:numFmt w:val="bullet"/>
      <w:lvlText w:val=""/>
      <w:lvlJc w:val="start"/>
      <w:pPr>
        <w:tabs>
          <w:tab w:val="num" w:pos="1440"/>
        </w:tabs>
        <w:ind w:start="144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0" w:hanging="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1.%2.%3"/>
      <w:lvlJc w:val="start"/>
      <w:pPr>
        <w:tabs>
          <w:tab w:val="num" w:pos="1080"/>
        </w:tabs>
        <w:ind w:start="360" w:hanging="0"/>
      </w:pPr>
      <w:rPr>
        <w:smallCaps w:val="false"/>
        <w:caps w:val="false"/>
        <w:sz w:val="24"/>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abstractNum>
  <w:abstractNum w:abstractNumId="8">
    <w:lvl w:ilvl="0">
      <w:start w:val="1"/>
      <w:numFmt w:val="decimal"/>
      <w:lvlText w:val="(%1)"/>
      <w:lvlJc w:val="start"/>
      <w:pPr>
        <w:tabs>
          <w:tab w:val="num" w:pos="720"/>
        </w:tabs>
        <w:ind w:start="720" w:hanging="720"/>
      </w:pPr>
      <w:rPr/>
    </w:lvl>
  </w:abstractNum>
  <w:abstractNum w:abstractNumId="9">
    <w:lvl w:ilvl="0">
      <w:start w:val="1"/>
      <w:numFmt w:val="upperRoman"/>
      <w:suff w:val="nothing"/>
      <w:lvlText w:val="Section %1:"/>
      <w:lvlJc w:val="start"/>
      <w:pPr>
        <w:tabs>
          <w:tab w:val="num" w:pos="0"/>
        </w:tabs>
        <w:ind w:start="0" w:hanging="0"/>
      </w:pPr>
      <w:rPr>
        <w:caps/>
        <w:sz w:val="24"/>
        <w:i w:val="false"/>
        <w:u w:val="none"/>
        <w:b/>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2.%3"/>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val="false"/>
        <w:rFonts w:ascii="Times New Roman" w:hAnsi="Times New Roman" w:cs="Times New Roman"/>
        <w:color w:val="000000"/>
      </w:rPr>
    </w:lvl>
    <w:lvl w:ilvl="1">
      <w:start w:val="1"/>
      <w:numFmt w:val="lowerLetter"/>
      <w:lvlText w:val="(%2)"/>
      <w:lvlJc w:val="start"/>
      <w:pPr>
        <w:tabs>
          <w:tab w:val="num" w:pos="720"/>
        </w:tabs>
        <w:ind w:start="720" w:hanging="720"/>
      </w:pPr>
      <w:rPr>
        <w:smallCaps w:val="false"/>
        <w:caps w:val="false"/>
        <w:i w:val="false"/>
        <w:u w:val="none"/>
        <w:b w:val="false"/>
        <w:rFonts w:ascii="Times New Roman" w:hAnsi="Times New Roman" w:cs="Times New Roman"/>
        <w:color w:val="000000"/>
      </w:rPr>
    </w:lvl>
    <w:lvl w:ilvl="2">
      <w:start w:val="1"/>
      <w:numFmt w:val="lowerRoman"/>
      <w:lvlText w:val="(%3)"/>
      <w:lvlJc w:val="end"/>
      <w:pPr>
        <w:tabs>
          <w:tab w:val="num" w:pos="1440"/>
        </w:tabs>
        <w:ind w:start="1440" w:hanging="216"/>
      </w:pPr>
      <w:rPr>
        <w:smallCaps w:val="false"/>
        <w:caps w:val="false"/>
        <w:i w:val="false"/>
        <w:u w:val="none"/>
        <w:b w:val="false"/>
        <w:rFonts w:ascii="Times New Roman" w:hAnsi="Times New Roman" w:cs="Times New Roman"/>
        <w:color w:val="000000"/>
      </w:rPr>
    </w:lvl>
    <w:lvl w:ilvl="3">
      <w:start w:val="1"/>
      <w:numFmt w:val="upperLetter"/>
      <w:lvlText w:val="(%4)"/>
      <w:lvlJc w:val="start"/>
      <w:pPr>
        <w:tabs>
          <w:tab w:val="num" w:pos="2160"/>
        </w:tabs>
        <w:ind w:start="2160" w:hanging="720"/>
      </w:pPr>
      <w:rPr>
        <w:smallCaps w:val="false"/>
        <w:caps w:val="false"/>
        <w:i w:val="false"/>
        <w:u w:val="none"/>
        <w:b w:val="false"/>
        <w:rFonts w:ascii="Times New Roman" w:hAnsi="Times New Roman" w:cs="Times New Roman"/>
        <w:color w:val="000000"/>
      </w:rPr>
    </w:lvl>
    <w:lvl w:ilvl="4">
      <w:start w:val="1"/>
      <w:numFmt w:val="upperRoman"/>
      <w:lvlText w:val="(%5)"/>
      <w:lvlJc w:val="end"/>
      <w:pPr>
        <w:tabs>
          <w:tab w:val="num" w:pos="2880"/>
        </w:tabs>
        <w:ind w:start="2880" w:hanging="216"/>
      </w:pPr>
      <w:rPr>
        <w:smallCaps w:val="false"/>
        <w:caps w:val="false"/>
        <w:i w:val="false"/>
        <w:u w:val="none"/>
        <w:b w:val="false"/>
        <w:rFonts w:ascii="Times New Roman" w:hAnsi="Times New Roman" w:cs="Times New Roman"/>
        <w:color w:val="000000"/>
      </w:rPr>
    </w:lvl>
    <w:lvl w:ilvl="5">
      <w:start w:val="27"/>
      <w:numFmt w:val="lowerLetter"/>
      <w:lvlText w:val="(%6)"/>
      <w:lvlJc w:val="start"/>
      <w:pPr>
        <w:tabs>
          <w:tab w:val="num" w:pos="3600"/>
        </w:tabs>
        <w:ind w:start="3600" w:hanging="720"/>
      </w:pPr>
      <w:rPr>
        <w:smallCaps w:val="false"/>
        <w:caps w:val="false"/>
        <w:i w:val="false"/>
        <w:u w:val="none"/>
        <w:b w:val="false"/>
        <w:rFonts w:ascii="Times New Roman" w:hAnsi="Times New Roman" w:cs="Times New Roman"/>
        <w:color w:val="000000"/>
      </w:rPr>
    </w:lvl>
    <w:lvl w:ilvl="6">
      <w:start w:val="1"/>
      <w:numFmt w:val="decimal"/>
      <w:lvlText w:val="(%7)"/>
      <w:lvlJc w:val="start"/>
      <w:pPr>
        <w:tabs>
          <w:tab w:val="num" w:pos="4320"/>
        </w:tabs>
        <w:ind w:start="4320" w:hanging="720"/>
      </w:pPr>
      <w:rPr>
        <w:smallCaps w:val="false"/>
        <w:caps w:val="false"/>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i w:val="false"/>
        <w:u w:val="none"/>
        <w:b w:val="false"/>
        <w:rFonts w:ascii="Times New Roman" w:hAnsi="Times New Roman" w:cs="Times New Roman"/>
        <w:color w:val="000000"/>
      </w:rPr>
    </w:lvl>
  </w:abstractNum>
  <w:abstractNum w:abstractNumId="11">
    <w:lvl w:ilvl="0">
      <w:start w:val="1"/>
      <w:numFmt w:val="decimal"/>
      <w:suff w:val="nothing"/>
      <w:lvlText w:val="Annex %1 "/>
      <w:lvlJc w:val="start"/>
      <w:pPr>
        <w:tabs>
          <w:tab w:val="num" w:pos="0"/>
        </w:tabs>
        <w:ind w:start="0" w:hanging="0"/>
      </w:pPr>
      <w:rPr>
        <w:caps/>
        <w:sz w:val="24"/>
        <w:i w:val="false"/>
        <w:u w:val="none"/>
        <w:b/>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3."/>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3">
      <w:start w:val="1"/>
      <w:numFmt w:val="decimal"/>
      <w:lvlText w:val="%2.%4"/>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4">
      <w:start w:val="1"/>
      <w:numFmt w:val="lowerLetter"/>
      <w:lvlText w:val="(%5)"/>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5">
      <w:start w:val="1"/>
      <w:numFmt w:val="lowerRoman"/>
      <w:lvlText w:val="(%6)"/>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6">
      <w:start w:val="1"/>
      <w:numFmt w:val="upperLetter"/>
      <w:lvlText w:val="(%7)"/>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7">
      <w:start w:val="1"/>
      <w:numFmt w:val="upperRoman"/>
      <w:lvlText w:val="(%8)"/>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8">
      <w:start w:val="27"/>
      <w:numFmt w:val="lowerLetter"/>
      <w:lvlText w:val="(%9)"/>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abstractNum>
  <w:abstractNum w:abstractNumId="12">
    <w:lvl w:ilvl="0">
      <w:start w:val="1"/>
      <w:numFmt w:val="decimal"/>
      <w:suff w:val="nothing"/>
      <w:lvlText w:val="Schedule %1"/>
      <w:lvlJc w:val="start"/>
      <w:pPr>
        <w:tabs>
          <w:tab w:val="num" w:pos="0"/>
        </w:tabs>
        <w:ind w:start="3240" w:hanging="0"/>
      </w:pPr>
      <w:rPr>
        <w:caps/>
        <w:sz w:val="24"/>
        <w:i w:val="false"/>
        <w:u w:val="none"/>
        <w:b/>
        <w:rFonts w:ascii="Times New Roman" w:hAnsi="Times New Roman" w:cs="Times New Roman"/>
        <w:color w:val="000000"/>
      </w:rPr>
    </w:lvl>
    <w:lvl w:ilvl="1">
      <w:start w:val="1"/>
      <w:numFmt w:val="upperLetter"/>
      <w:suff w:val="space"/>
      <w:lvlText w:val="Part %2 "/>
      <w:lvlJc w:val="start"/>
      <w:pPr>
        <w:tabs>
          <w:tab w:val="num" w:pos="0"/>
        </w:tabs>
        <w:ind w:start="0" w:hanging="0"/>
      </w:pPr>
      <w:rPr>
        <w:smallCaps w:val="false"/>
        <w:caps w:val="false"/>
        <w:sz w:val="24"/>
        <w:i w:val="false"/>
        <w:u w:val="none"/>
        <w:b/>
        <w:rFonts w:ascii="Times New Roman" w:hAnsi="Times New Roman" w:cs="Times New Roman"/>
        <w:color w:val="000000"/>
      </w:rPr>
    </w:lvl>
    <w:lvl w:ilvl="2">
      <w:start w:val="1"/>
      <w:numFmt w:val="decimal"/>
      <w:lvlText w:val="%3."/>
      <w:lvlJc w:val="start"/>
      <w:pPr>
        <w:tabs>
          <w:tab w:val="num" w:pos="720"/>
        </w:tabs>
        <w:ind w:start="0" w:hanging="0"/>
      </w:pPr>
      <w:rPr>
        <w:smallCaps w:val="false"/>
        <w:caps w:val="false"/>
        <w:sz w:val="24"/>
        <w:i w:val="false"/>
        <w:u w:val="none"/>
        <w:b/>
        <w:rFonts w:ascii="Times New Roman" w:hAnsi="Times New Roman" w:cs="Times New Roman"/>
        <w:color w:val="000000"/>
      </w:rPr>
    </w:lvl>
    <w:lvl w:ilvl="3">
      <w:start w:val="1"/>
      <w:numFmt w:val="decimal"/>
      <w:lvlText w:val="%4."/>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4">
      <w:start w:val="1"/>
      <w:numFmt w:val="decimal"/>
      <w:lvlText w:val="%3.%5"/>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5">
      <w:start w:val="1"/>
      <w:numFmt w:val="lowerLetter"/>
      <w:lvlText w:val="(%6)"/>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6">
      <w:start w:val="1"/>
      <w:numFmt w:val="lowerRoman"/>
      <w:lvlText w:val="(%7)"/>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7">
      <w:start w:val="1"/>
      <w:numFmt w:val="upperLetter"/>
      <w:lvlText w:val="(%8)"/>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8">
      <w:start w:val="1"/>
      <w:numFmt w:val="upperRoman"/>
      <w:lvlText w:val="(%9)"/>
      <w:lvlJc w:val="end"/>
      <w:pPr>
        <w:tabs>
          <w:tab w:val="num" w:pos="2880"/>
        </w:tabs>
        <w:ind w:start="2880" w:hanging="216"/>
      </w:pPr>
      <w:rPr>
        <w:smallCaps w:val="false"/>
        <w:caps w:val="false"/>
        <w:sz w:val="24"/>
        <w:i w:val="false"/>
        <w:u w:val="none"/>
        <w:b w:val="false"/>
        <w:rFonts w:ascii="Times New Roman" w:hAnsi="Times New Roman" w:cs="Times New Roman"/>
        <w:color w:val="000000"/>
      </w:rPr>
    </w:lvl>
  </w:abstractNum>
  <w:abstractNum w:abstractNumId="13">
    <w:lvl w:ilvl="0">
      <w:start w:val="1"/>
      <w:numFmt w:val="bullet"/>
      <w:lvlText w:val="·"/>
      <w:lvlJc w:val="start"/>
      <w:pPr>
        <w:tabs>
          <w:tab w:val="num" w:pos="720"/>
        </w:tabs>
        <w:ind w:start="720" w:hanging="720"/>
      </w:pPr>
      <w:rPr>
        <w:rFonts w:ascii="Symbol" w:hAnsi="Symbol" w:cs="Symbol" w:hint="default"/>
        <w:smallCaps w:val="false"/>
        <w:caps w:val="false"/>
        <w:i w:val="false"/>
        <w:u w:val="none"/>
        <w:b w:val="false"/>
        <w:color w:val="000000"/>
      </w:rPr>
    </w:lvl>
    <w:lvl w:ilvl="1">
      <w:start w:val="1"/>
      <w:numFmt w:val="bullet"/>
      <w:lvlText w:val="■"/>
      <w:lvlJc w:val="start"/>
      <w:pPr>
        <w:tabs>
          <w:tab w:val="num" w:pos="1440"/>
        </w:tabs>
        <w:ind w:start="1440" w:hanging="720"/>
      </w:pPr>
      <w:rPr>
        <w:rFonts w:ascii="Times New Roman" w:hAnsi="Times New Roman" w:cs="Times New Roman" w:hint="default"/>
        <w:smallCaps w:val="false"/>
        <w:caps w:val="false"/>
        <w:sz w:val="20"/>
        <w:i w:val="false"/>
        <w:u w:val="none"/>
        <w:b w:val="false"/>
        <w:color w:val="000000"/>
      </w:rPr>
    </w:lvl>
    <w:lvl w:ilvl="2">
      <w:start w:val="1"/>
      <w:numFmt w:val="bullet"/>
      <w:lvlText w:val="-"/>
      <w:lvlJc w:val="start"/>
      <w:pPr>
        <w:tabs>
          <w:tab w:val="num" w:pos="2160"/>
        </w:tabs>
        <w:ind w:start="2160" w:hanging="720"/>
      </w:pPr>
      <w:rPr>
        <w:rFonts w:ascii="Times New Roman" w:hAnsi="Times New Roman" w:cs="Times New Roman" w:hint="default"/>
        <w:smallCaps w:val="false"/>
        <w:caps w:val="false"/>
        <w:sz w:val="20"/>
        <w:i w:val="false"/>
        <w:u w:val="none"/>
        <w:b w:val="false"/>
        <w:color w:val="000000"/>
      </w:rPr>
    </w:lvl>
    <w:lvl w:ilvl="3">
      <w:start w:val="1"/>
      <w:numFmt w:val="bullet"/>
      <w:lvlText w:val="■"/>
      <w:lvlJc w:val="start"/>
      <w:pPr>
        <w:tabs>
          <w:tab w:val="num" w:pos="1800"/>
        </w:tabs>
        <w:ind w:start="1800" w:hanging="360"/>
      </w:pPr>
      <w:rPr>
        <w:rFonts w:ascii="Liberation Serif" w:hAnsi="Liberation Serif" w:cs="Liberation Serif" w:hint="default"/>
        <w:smallCaps w:val="false"/>
        <w:caps w:val="false"/>
        <w:sz w:val="20"/>
        <w:i w:val="false"/>
        <w:u w:val="none"/>
        <w:b w:val="false"/>
        <w:color w:val="000000"/>
      </w:rPr>
    </w:lvl>
    <w:lvl w:ilvl="4">
      <w:start w:val="1"/>
      <w:numFmt w:val="bullet"/>
      <w:lvlText w:val="■"/>
      <w:lvlJc w:val="start"/>
      <w:pPr>
        <w:tabs>
          <w:tab w:val="num" w:pos="1800"/>
        </w:tabs>
        <w:ind w:start="1800" w:hanging="360"/>
      </w:pPr>
      <w:rPr>
        <w:rFonts w:ascii="Liberation Serif" w:hAnsi="Liberation Serif" w:cs="Liberation Serif" w:hint="default"/>
        <w:smallCaps w:val="false"/>
        <w:caps w:val="false"/>
        <w:sz w:val="24"/>
        <w:i w:val="false"/>
        <w:u w:val="none"/>
        <w:b w:val="false"/>
        <w:color w:val="000000"/>
      </w:rPr>
    </w:lvl>
    <w:lvl w:ilvl="5">
      <w:start w:val="1"/>
      <w:numFmt w:val="upperLetter"/>
      <w:lvlText w:val="(%6)"/>
      <w:lvlJc w:val="start"/>
      <w:pPr>
        <w:tabs>
          <w:tab w:val="num" w:pos="2160"/>
        </w:tabs>
        <w:ind w:start="2160" w:hanging="720"/>
      </w:pPr>
      <w:rPr>
        <w:smallCaps w:val="false"/>
        <w:caps w:val="false"/>
        <w:i w:val="false"/>
        <w:u w:val="none"/>
        <w:b w:val="false"/>
        <w:rFonts w:ascii="Times New Roman" w:hAnsi="Times New Roman" w:cs="Times New Roman"/>
        <w:color w:val="000000"/>
      </w:rPr>
    </w:lvl>
    <w:lvl w:ilvl="6">
      <w:start w:val="1"/>
      <w:numFmt w:val="lowerLetter"/>
      <w:lvlText w:val="%7."/>
      <w:lvlJc w:val="start"/>
      <w:pPr>
        <w:tabs>
          <w:tab w:val="num" w:pos="5040"/>
        </w:tabs>
        <w:ind w:start="0" w:firstLine="4320"/>
      </w:pPr>
      <w:rPr>
        <w:smallCaps w:val="false"/>
        <w:caps w:val="false"/>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i w:val="false"/>
        <w:u w:val="none"/>
        <w:b w:val="false"/>
        <w:rFonts w:ascii="Times New Roman" w:hAnsi="Times New Roman" w:cs="Times New Roman"/>
        <w:color w:val="000000"/>
      </w:rPr>
    </w:lvl>
  </w:abstractNum>
  <w:abstractNum w:abstractNumId="14">
    <w:lvl w:ilvl="0">
      <w:start w:val="1"/>
      <w:numFmt w:val="none"/>
      <w:suff w:val="nothing"/>
      <w:lvlText w:val=""/>
      <w:lvlJc w:val="start"/>
      <w:pPr>
        <w:tabs>
          <w:tab w:val="num" w:pos="720"/>
        </w:tabs>
        <w:ind w:start="0" w:hanging="0"/>
      </w:pPr>
      <w:rPr>
        <w:smallCaps w:val="false"/>
        <w:caps w:val="false"/>
        <w:sz w:val="24"/>
        <w:i w:val="false"/>
        <w:u w:val="none"/>
        <w:b/>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2">
      <w:start w:val="1"/>
      <w:numFmt w:val="decimal"/>
      <w:suff w:val="space"/>
      <w:lvlText w:val="[Alternative %3:"/>
      <w:lvlJc w:val="start"/>
      <w:pPr>
        <w:tabs>
          <w:tab w:val="num" w:pos="0"/>
        </w:tabs>
        <w:ind w:start="0" w:hanging="0"/>
      </w:pPr>
      <w:rPr>
        <w:smallCaps w:val="false"/>
        <w:caps w:val="false"/>
        <w:sz w:val="24"/>
        <w:i/>
        <w:u w:val="none"/>
        <w:b/>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abstractNum>
  <w:abstractNum w:abstractNumId="15">
    <w:lvl w:ilvl="0">
      <w:start w:val="1"/>
      <w:numFmt w:val="decimal"/>
      <w:suff w:val="nothing"/>
      <w:lvlText w:val="Exhibit %1 "/>
      <w:lvlJc w:val="start"/>
      <w:pPr>
        <w:tabs>
          <w:tab w:val="num" w:pos="0"/>
        </w:tabs>
        <w:ind w:start="0" w:hanging="0"/>
      </w:pPr>
      <w:rPr>
        <w:caps/>
        <w:sz w:val="24"/>
        <w:i w:val="false"/>
        <w:u w:val="none"/>
        <w:b/>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3."/>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3">
      <w:start w:val="1"/>
      <w:numFmt w:val="decimal"/>
      <w:lvlText w:val="%2.%4"/>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4">
      <w:start w:val="1"/>
      <w:numFmt w:val="lowerLetter"/>
      <w:lvlText w:val="(%5)"/>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5">
      <w:start w:val="1"/>
      <w:numFmt w:val="lowerRoman"/>
      <w:lvlText w:val="(%6)"/>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6">
      <w:start w:val="1"/>
      <w:numFmt w:val="upperLetter"/>
      <w:lvlText w:val="(%7)"/>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7">
      <w:start w:val="1"/>
      <w:numFmt w:val="upperRoman"/>
      <w:lvlText w:val="(%8)"/>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8">
      <w:start w:val="27"/>
      <w:numFmt w:val="lowerLetter"/>
      <w:lvlText w:val="(%9)"/>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abstractNum>
  <w:abstractNum w:abstractNumId="16">
    <w:lvl w:ilvl="0">
      <w:start w:val="1"/>
      <w:numFmt w:val="none"/>
      <w:suff w:val="nothing"/>
      <w:lvlText w:val=""/>
      <w:lvlJc w:val="start"/>
      <w:pPr>
        <w:tabs>
          <w:tab w:val="num" w:pos="0"/>
        </w:tabs>
        <w:ind w:start="0" w:hanging="0"/>
      </w:pPr>
      <w:rPr>
        <w:smallCaps w:val="false"/>
        <w:caps w:val="false"/>
        <w:sz w:val="24"/>
        <w:i w:val="false"/>
        <w:u w:val="none"/>
        <w:b w:val="false"/>
        <w:rFonts w:ascii="Times New Roman" w:hAnsi="Times New Roman" w:cs="Times New Roman"/>
        <w:color w:val="000000"/>
      </w:rPr>
    </w:lvl>
    <w:lvl w:ilvl="1">
      <w:start w:val="1"/>
      <w:numFmt w:val="lowerLetter"/>
      <w:lvlText w:val="(%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Roman"/>
      <w:lvlText w:val="(%3)"/>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3">
      <w:start w:val="1"/>
      <w:numFmt w:val="upperLetter"/>
      <w:lvlText w:val="(%4)"/>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4">
      <w:start w:val="1"/>
      <w:numFmt w:val="upperRoman"/>
      <w:lvlText w:val="(%5)"/>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5">
      <w:start w:val="27"/>
      <w:numFmt w:val="lowerLetter"/>
      <w:lvlText w:val="(%6)"/>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6">
      <w:start w:val="1"/>
      <w:numFmt w:val="decimal"/>
      <w:lvlText w:val="(%7)"/>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sz w:val="24"/>
        <w:i w:val="false"/>
        <w:u w:val="none"/>
        <w:b w:val="false"/>
        <w:rFonts w:ascii="Times New Roman" w:hAnsi="Times New Roman" w:cs="Times New Roman"/>
        <w:color w:val="000000"/>
      </w:rPr>
    </w:lvl>
  </w:abstractNum>
  <w:abstractNum w:abstractNumId="17">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8">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9">
    <w:lvl w:ilvl="0">
      <w:start w:val="1"/>
      <w:numFmt w:val="bullet"/>
      <w:lvlText w:val="·"/>
      <w:lvlJc w:val="start"/>
      <w:pPr>
        <w:tabs>
          <w:tab w:val="num" w:pos="720"/>
        </w:tabs>
        <w:ind w:start="720" w:hanging="720"/>
      </w:pPr>
      <w:rPr>
        <w:rFonts w:ascii="Symbol" w:hAnsi="Symbol" w:cs="Symbol" w:hint="default"/>
        <w:smallCaps w:val="false"/>
        <w:caps w:val="false"/>
        <w:i w:val="false"/>
        <w:u w:val="none"/>
        <w:b w:val="false"/>
        <w:color w:val="000000"/>
      </w:rPr>
    </w:lvl>
    <w:lvl w:ilvl="1">
      <w:start w:val="1"/>
      <w:numFmt w:val="bullet"/>
      <w:lvlText w:val="·"/>
      <w:lvlJc w:val="start"/>
      <w:pPr>
        <w:tabs>
          <w:tab w:val="num" w:pos="1440"/>
        </w:tabs>
        <w:ind w:start="1440" w:hanging="720"/>
      </w:pPr>
      <w:rPr>
        <w:rFonts w:ascii="Symbol" w:hAnsi="Symbol" w:cs="Symbol" w:hint="default"/>
        <w:smallCaps w:val="false"/>
        <w:caps w:val="false"/>
        <w:i w:val="false"/>
        <w:u w:val="none"/>
        <w:b w:val="false"/>
        <w:color w:val="000000"/>
      </w:rPr>
    </w:lvl>
    <w:lvl w:ilvl="2">
      <w:start w:val="1"/>
      <w:numFmt w:val="bullet"/>
      <w:lvlText w:val="·"/>
      <w:lvlJc w:val="start"/>
      <w:pPr>
        <w:tabs>
          <w:tab w:val="num" w:pos="2160"/>
        </w:tabs>
        <w:ind w:start="2160" w:hanging="720"/>
      </w:pPr>
      <w:rPr>
        <w:rFonts w:ascii="Symbol" w:hAnsi="Symbol" w:cs="Symbol" w:hint="default"/>
        <w:smallCaps w:val="false"/>
        <w:caps w:val="false"/>
        <w:i w:val="false"/>
        <w:u w:val="none"/>
        <w:b/>
        <w:color w:val="000000"/>
      </w:rPr>
    </w:lvl>
    <w:lvl w:ilvl="3">
      <w:start w:val="1"/>
      <w:numFmt w:val="bullet"/>
      <w:lvlText w:val="·"/>
      <w:lvlJc w:val="start"/>
      <w:pPr>
        <w:tabs>
          <w:tab w:val="num" w:pos="2880"/>
        </w:tabs>
        <w:ind w:start="2880" w:hanging="720"/>
      </w:pPr>
      <w:rPr>
        <w:rFonts w:ascii="Symbol" w:hAnsi="Symbol" w:cs="Symbol" w:hint="default"/>
        <w:smallCaps w:val="false"/>
        <w:caps w:val="false"/>
        <w:i w:val="false"/>
        <w:u w:val="none"/>
        <w:b w:val="false"/>
        <w:color w:val="000000"/>
      </w:rPr>
    </w:lvl>
    <w:lvl w:ilvl="4">
      <w:start w:val="1"/>
      <w:numFmt w:val="bullet"/>
      <w:lvlText w:val="·"/>
      <w:lvlJc w:val="start"/>
      <w:pPr>
        <w:tabs>
          <w:tab w:val="num" w:pos="3600"/>
        </w:tabs>
        <w:ind w:start="3600" w:hanging="720"/>
      </w:pPr>
      <w:rPr>
        <w:rFonts w:ascii="Symbol" w:hAnsi="Symbol" w:cs="Symbol" w:hint="default"/>
        <w:smallCaps w:val="false"/>
        <w:caps w:val="false"/>
        <w:i w:val="false"/>
        <w:u w:val="none"/>
        <w:b w:val="false"/>
        <w:color w:val="000000"/>
      </w:rPr>
    </w:lvl>
    <w:lvl w:ilvl="5">
      <w:start w:val="1"/>
      <w:numFmt w:val="bullet"/>
      <w:lvlText w:val="·"/>
      <w:lvlJc w:val="start"/>
      <w:pPr>
        <w:tabs>
          <w:tab w:val="num" w:pos="4320"/>
        </w:tabs>
        <w:ind w:start="4320" w:hanging="720"/>
      </w:pPr>
      <w:rPr>
        <w:rFonts w:ascii="Symbol" w:hAnsi="Symbol" w:cs="Symbol" w:hint="default"/>
        <w:smallCaps w:val="false"/>
        <w:caps w:val="false"/>
        <w:i w:val="false"/>
        <w:u w:val="none"/>
        <w:b w:val="false"/>
        <w:color w:val="000000"/>
      </w:rPr>
    </w:lvl>
    <w:lvl w:ilvl="6">
      <w:start w:val="1"/>
      <w:numFmt w:val="bullet"/>
      <w:lvlText w:val="·"/>
      <w:lvlJc w:val="start"/>
      <w:pPr>
        <w:tabs>
          <w:tab w:val="num" w:pos="5040"/>
        </w:tabs>
        <w:ind w:start="5040" w:hanging="720"/>
      </w:pPr>
      <w:rPr>
        <w:rFonts w:ascii="Symbol" w:hAnsi="Symbol" w:cs="Symbol" w:hint="default"/>
        <w:smallCaps w:val="false"/>
        <w:caps w:val="false"/>
        <w:i w:val="false"/>
        <w:u w:val="none"/>
        <w:b w:val="false"/>
        <w:color w:val="000000"/>
      </w:rPr>
    </w:lvl>
    <w:lvl w:ilvl="7">
      <w:start w:val="1"/>
      <w:numFmt w:val="bullet"/>
      <w:lvlText w:val="·"/>
      <w:lvlJc w:val="start"/>
      <w:pPr>
        <w:tabs>
          <w:tab w:val="num" w:pos="5760"/>
        </w:tabs>
        <w:ind w:start="5760" w:hanging="720"/>
      </w:pPr>
      <w:rPr>
        <w:rFonts w:ascii="Symbol" w:hAnsi="Symbol" w:cs="Symbol" w:hint="default"/>
        <w:smallCaps w:val="false"/>
        <w:caps w:val="false"/>
        <w:i w:val="false"/>
        <w:u w:val="none"/>
        <w:b w:val="false"/>
        <w:color w:val="000000"/>
      </w:rPr>
    </w:lvl>
    <w:lvl w:ilvl="8">
      <w:start w:val="1"/>
      <w:numFmt w:val="bullet"/>
      <w:lvlText w:val="·"/>
      <w:lvlJc w:val="start"/>
      <w:pPr>
        <w:tabs>
          <w:tab w:val="num" w:pos="6480"/>
        </w:tabs>
        <w:ind w:start="6480" w:hanging="720"/>
      </w:pPr>
      <w:rPr>
        <w:rFonts w:ascii="Symbol" w:hAnsi="Symbol" w:cs="Symbol" w:hint="default"/>
        <w:smallCaps w:val="false"/>
        <w:caps w:val="false"/>
        <w:i w:val="false"/>
        <w:u w:val="none"/>
        <w:b w:val="false"/>
        <w:color w:val="000000"/>
      </w:rPr>
    </w:lvl>
  </w:abstractNum>
  <w:abstractNum w:abstractNumId="20">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0"/>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docClass" w:val="-NONE-"/>
    <w:docVar w:name="docClient" w:val="104955"/>
    <w:docVar w:name="docCliMat" w:val="104955-0076"/>
    <w:docVar w:name="docDesc" w:val="ING/SWS - MATA with Tax Language (26.06.2006)"/>
    <w:docVar w:name="docGlobPracGroup" w:val="IPT"/>
    <w:docVar w:name="docId" w:val="LC1496038"/>
    <w:docVar w:name="docIdVer" w:val="LC1496038/4"/>
    <w:docVar w:name="docLanguage" w:val="EN(UK)"/>
    <w:docVar w:name="docMatter" w:val="0076"/>
    <w:docVar w:name="docTemplate" w:val="lon-fre-eng-doc.dot"/>
    <w:docVar w:name="docType" w:val="New Document"/>
    <w:docVar w:name="docVersion" w:val="4"/>
    <w:docVar w:name="operClass" w:val="Fee Earner"/>
    <w:docVar w:name="operCorresp" w:val="Mark Parsons"/>
    <w:docVar w:name="operEmail" w:val="mark.parsons@freshfields.com"/>
    <w:docVar w:name="operExtension" w:val="4651"/>
    <w:docVar w:name="operFax" w:val="44 20 7108 4651"/>
    <w:docVar w:name="operId" w:val="MXPARSONS"/>
    <w:docVar w:name="operInitials" w:val="MP"/>
    <w:docVar w:name="operLocation" w:val="London"/>
    <w:docVar w:name="operName" w:val="Parsons, Mark"/>
    <w:docVar w:name="operPhone" w:val="44 20 7716 4651"/>
    <w:docVar w:name="zzmpAMBody" w:val="||AM Body Text|2|3|1|1|0|49||1|0|32||1|0|32||1|0|32||1|0|32||1|0|32||1|0|32||1|0|32||mpNA||"/>
    <w:docVar w:name="zzmpFIB" w:val="||FI Body Text|2|3|1|4|0|41||1|0|49||1|0|32||1|0|32||1|0|32||1|0|32||1|0|32||1|0|32||1|0|32||"/>
    <w:docVar w:name="zzmpFixedCurScheme" w:val="FWOut"/>
    <w:docVar w:name="zzmpFixedCurScheme_9.0" w:val="3zzmpFWOut"/>
    <w:docVar w:name="zzmpFWA" w:val="||FW Appendices|2|3|1|4|0|41||1|0|49||1|0|32||1|0|32||1|0|32||1|0|32||1|0|32||1|0|32||1|0|32||"/>
    <w:docVar w:name="zzmpFWAnnex" w:val="||FW Annex|2|3|1|4|0|41||1|0|49||1|0|32||1|0|32||1|0|32||1|0|32||1|0|32||1|0|32||1|0|32||"/>
    <w:docVar w:name="zzmpFWB" w:val="||FW Body Text|2|3|0|1|0|49||1|0|32||1|0|32||1|0|32||1|0|32||1|0|32||1|0|32||1|0|32||mpNA||"/>
    <w:docVar w:name="zzmpFWBu" w:val="||FW Bullets 1|2|3|0|1|0|32||1|0|0||1|0|0||mpNA||mpNA||mpNA||mpNA||mpNA||mpNA||"/>
    <w:docVar w:name="zzmpFWBullets3" w:val="||FW Bullets 3|2|3|1|1|0|32||1|0|32||1|0|32||1|0|32||1|0|32||1|0|32||1|0|32||1|0|32||1|0|32||"/>
    <w:docVar w:name="zzmpFWD" w:val="||FW Definitions|2|3|1|0|0|32||1|0|0||1|0|0||1|0|0||1|0|0||1|0|0||1|0|0||mpNA||mpNA||"/>
    <w:docVar w:name="zzmpFWN" w:val="||FW Notes|2|3|0|1|0|32||1|0|0||1|0|0||1|0|0||1|0|0||1|0|0||1|0|0||mpNA||mpNA||"/>
    <w:docVar w:name="zzmpFWOut" w:val="||FW Outsourcing|3|3|1|1|2|41||1|2|33||1|0|32||1|0|32||1|0|32||1|0|32||1|0|32||1|0|32||1|0|32||"/>
    <w:docVar w:name="zzmpFWS" w:val="||FW Schedules|2|3|1|0|0|41||2|0|33||1|0|49||1|0|32||1|0|32||1|0|32||1|0|32||1|0|32||1|0|32||"/>
    <w:docVar w:name="zzmpnSession" w:val="9.083194E-02"/>
    <w:docVar w:name="zzmpREB" w:val="||RE Body Text|2|3|1|1|0|49||1|0|32||2|0|32||1|0|32||1|0|32||1|0|32||1|0|32||1|0|32||1|0|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2">
    <w:name w:val="WW8Num8z2"/>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sz w:val="24"/>
      <w:u w:val="none"/>
    </w:rPr>
  </w:style>
  <w:style w:type="character" w:styleId="WW8Num9z2">
    <w:name w:val="WW8Num9z2"/>
    <w:qFormat/>
    <w:rPr>
      <w:rFonts w:ascii="Times New Roman" w:hAnsi="Times New Roman" w:cs="Times New Roman"/>
      <w:b w:val="false"/>
      <w:i w:val="false"/>
      <w:caps w:val="false"/>
      <w:smallCaps w:val="false"/>
      <w:color w:val="000000"/>
      <w:sz w:val="24"/>
      <w:u w:val="none"/>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cs="Times New Roman"/>
      <w:b/>
      <w:i w:val="false"/>
      <w:caps/>
      <w:color w:val="000000"/>
      <w:sz w:val="24"/>
      <w:u w:val="none"/>
    </w:rPr>
  </w:style>
  <w:style w:type="character" w:styleId="WW8Num12z1">
    <w:name w:val="WW8Num12z1"/>
    <w:qFormat/>
    <w:rPr>
      <w:rFonts w:ascii="Times New Roman" w:hAnsi="Times New Roman" w:cs="Times New Roman"/>
      <w:b/>
      <w:i w:val="false"/>
      <w:caps w:val="false"/>
      <w:smallCaps w:val="false"/>
      <w:color w:val="000000"/>
      <w:sz w:val="24"/>
      <w:u w:val="none"/>
    </w:rPr>
  </w:style>
  <w:style w:type="character" w:styleId="WW8Num12z2">
    <w:name w:val="WW8Num12z2"/>
    <w:qFormat/>
    <w:rPr>
      <w:rFonts w:ascii="Times New Roman" w:hAnsi="Times New Roman" w:cs="Times New Roman"/>
      <w:b w:val="false"/>
      <w:i w:val="false"/>
      <w:caps w:val="false"/>
      <w:smallCaps w:val="false"/>
      <w:color w:val="000000"/>
      <w:sz w:val="24"/>
      <w:u w:val="none"/>
    </w:rPr>
  </w:style>
  <w:style w:type="character" w:styleId="WW8Num13z0">
    <w:name w:val="WW8Num13z0"/>
    <w:qFormat/>
    <w:rPr/>
  </w:style>
  <w:style w:type="character" w:styleId="WW8Num14z0">
    <w:name w:val="WW8Num14z0"/>
    <w:qFormat/>
    <w:rPr>
      <w:rFonts w:ascii="Times New Roman" w:hAnsi="Times New Roman" w:cs="Times New Roman"/>
      <w:b/>
      <w:i w:val="false"/>
      <w:caps/>
      <w:color w:val="000000"/>
      <w:sz w:val="24"/>
      <w:u w:val="none"/>
    </w:rPr>
  </w:style>
  <w:style w:type="character" w:styleId="WW8Num14z1">
    <w:name w:val="WW8Num14z1"/>
    <w:qFormat/>
    <w:rPr>
      <w:rFonts w:ascii="Times New Roman" w:hAnsi="Times New Roman" w:cs="Times New Roman"/>
      <w:b/>
      <w:i w:val="false"/>
      <w:caps w:val="false"/>
      <w:smallCaps w:val="false"/>
      <w:color w:val="000000"/>
      <w:sz w:val="24"/>
      <w:u w:val="none"/>
    </w:rPr>
  </w:style>
  <w:style w:type="character" w:styleId="WW8Num14z3">
    <w:name w:val="WW8Num14z3"/>
    <w:qFormat/>
    <w:rPr>
      <w:rFonts w:ascii="Times New Roman" w:hAnsi="Times New Roman" w:cs="Times New Roman"/>
      <w:b w:val="false"/>
      <w:i w:val="false"/>
      <w:caps w:val="false"/>
      <w:smallCaps w:val="false"/>
      <w:color w:val="000000"/>
      <w:sz w:val="24"/>
      <w:u w:val="none"/>
    </w:rPr>
  </w:style>
  <w:style w:type="character" w:styleId="WW8Num15z0">
    <w:name w:val="WW8Num15z0"/>
    <w:qFormat/>
    <w:rPr>
      <w:rFonts w:ascii="Times New Roman" w:hAnsi="Times New Roman" w:cs="Times New Roman"/>
      <w:b w:val="false"/>
      <w:i w:val="false"/>
      <w:caps w:val="false"/>
      <w:smallCaps w:val="false"/>
      <w:color w:val="000000"/>
      <w:u w:val="none"/>
    </w:rPr>
  </w:style>
  <w:style w:type="character" w:styleId="WW8Num16z0">
    <w:name w:val="WW8Num16z0"/>
    <w:qFormat/>
    <w:rPr/>
  </w:style>
  <w:style w:type="character" w:styleId="WW8Num17z0">
    <w:name w:val="WW8Num17z0"/>
    <w:qFormat/>
    <w:rPr>
      <w:rFonts w:ascii="Times New Roman" w:hAnsi="Times New Roman" w:cs="Times New Roman"/>
      <w:b/>
      <w:i w:val="false"/>
      <w:caps w:val="false"/>
      <w:smallCaps w:val="false"/>
      <w:color w:val="000000"/>
      <w:sz w:val="22"/>
      <w:u w:val="none"/>
    </w:rPr>
  </w:style>
  <w:style w:type="character" w:styleId="WW8Num17z2">
    <w:name w:val="WW8Num17z2"/>
    <w:qFormat/>
    <w:rPr>
      <w:rFonts w:ascii="Times New Roman" w:hAnsi="Times New Roman" w:cs="Times New Roman"/>
      <w:b w:val="false"/>
      <w:i w:val="false"/>
      <w:caps w:val="false"/>
      <w:smallCaps w:val="false"/>
      <w:color w:val="000000"/>
      <w:sz w:val="22"/>
      <w:u w:val="none"/>
    </w:rPr>
  </w:style>
  <w:style w:type="character" w:styleId="WW8Num18z0">
    <w:name w:val="WW8Num18z0"/>
    <w:qFormat/>
    <w:rPr>
      <w:rFonts w:ascii="Times New Roman" w:hAnsi="Times New Roman" w:cs="Times New Roman"/>
      <w:b/>
      <w:i w:val="false"/>
      <w:caps/>
      <w:color w:val="000000"/>
      <w:sz w:val="24"/>
      <w:u w:val="none"/>
    </w:rPr>
  </w:style>
  <w:style w:type="character" w:styleId="WW8Num18z1">
    <w:name w:val="WW8Num18z1"/>
    <w:qFormat/>
    <w:rPr>
      <w:rFonts w:ascii="Times New Roman" w:hAnsi="Times New Roman" w:cs="Times New Roman"/>
      <w:b/>
      <w:i w:val="false"/>
      <w:caps w:val="false"/>
      <w:smallCaps w:val="false"/>
      <w:color w:val="000000"/>
      <w:sz w:val="24"/>
      <w:u w:val="none"/>
    </w:rPr>
  </w:style>
  <w:style w:type="character" w:styleId="WW8Num18z2">
    <w:name w:val="WW8Num18z2"/>
    <w:qFormat/>
    <w:rPr>
      <w:rFonts w:ascii="Times New Roman" w:hAnsi="Times New Roman" w:cs="Times New Roman"/>
      <w:b w:val="false"/>
      <w:i w:val="false"/>
      <w:caps w:val="false"/>
      <w:smallCaps w:val="false"/>
      <w:color w:val="000000"/>
      <w:sz w:val="24"/>
      <w:u w:val="none"/>
    </w:rPr>
  </w:style>
  <w:style w:type="character" w:styleId="WW8Num19z0">
    <w:name w:val="WW8Num19z0"/>
    <w:qFormat/>
    <w:rPr>
      <w:rFonts w:ascii="Times New Roman" w:hAnsi="Times New Roman" w:cs="Times New Roman"/>
      <w:b/>
      <w:i w:val="false"/>
      <w:caps/>
      <w:color w:val="000000"/>
      <w:sz w:val="24"/>
      <w:u w:val="none"/>
    </w:rPr>
  </w:style>
  <w:style w:type="character" w:styleId="WW8Num19z1">
    <w:name w:val="WW8Num19z1"/>
    <w:qFormat/>
    <w:rPr>
      <w:rFonts w:ascii="Times New Roman" w:hAnsi="Times New Roman" w:cs="Times New Roman"/>
      <w:b/>
      <w:i w:val="false"/>
      <w:caps w:val="false"/>
      <w:smallCaps w:val="false"/>
      <w:color w:val="000000"/>
      <w:sz w:val="24"/>
      <w:u w:val="none"/>
    </w:rPr>
  </w:style>
  <w:style w:type="character" w:styleId="WW8Num19z3">
    <w:name w:val="WW8Num19z3"/>
    <w:qFormat/>
    <w:rPr>
      <w:rFonts w:ascii="Times New Roman" w:hAnsi="Times New Roman" w:cs="Times New Roman"/>
      <w:b w:val="false"/>
      <w:i w:val="false"/>
      <w:caps w:val="false"/>
      <w:smallCaps w:val="false"/>
      <w:color w:val="000000"/>
      <w:sz w:val="24"/>
      <w:u w:val="none"/>
    </w:rPr>
  </w:style>
  <w:style w:type="character" w:styleId="WW8Num20z0">
    <w:name w:val="WW8Num20z0"/>
    <w:qFormat/>
    <w:rPr>
      <w:rFonts w:ascii="Symbol" w:hAnsi="Symbol" w:cs="Symbol"/>
      <w:b w:val="false"/>
      <w:i w:val="false"/>
      <w:caps w:val="false"/>
      <w:smallCaps w:val="false"/>
      <w:color w:val="000000"/>
      <w:u w:val="none"/>
    </w:rPr>
  </w:style>
  <w:style w:type="character" w:styleId="WW8Num20z1">
    <w:name w:val="WW8Num20z1"/>
    <w:qFormat/>
    <w:rPr>
      <w:rFonts w:ascii="Times New Roman" w:hAnsi="Times New Roman" w:cs="Times New Roman"/>
      <w:b w:val="false"/>
      <w:i w:val="false"/>
      <w:caps w:val="false"/>
      <w:smallCaps w:val="false"/>
      <w:color w:val="000000"/>
      <w:sz w:val="20"/>
      <w:u w:val="none"/>
    </w:rPr>
  </w:style>
  <w:style w:type="character" w:styleId="WW8Num20z3">
    <w:name w:val="WW8Num20z3"/>
    <w:qFormat/>
    <w:rPr>
      <w:b w:val="false"/>
      <w:i w:val="false"/>
      <w:caps w:val="false"/>
      <w:smallCaps w:val="false"/>
      <w:color w:val="000000"/>
      <w:sz w:val="20"/>
      <w:u w:val="none"/>
    </w:rPr>
  </w:style>
  <w:style w:type="character" w:styleId="WW8Num20z4">
    <w:name w:val="WW8Num20z4"/>
    <w:qFormat/>
    <w:rPr>
      <w:b w:val="false"/>
      <w:i w:val="false"/>
      <w:caps w:val="false"/>
      <w:smallCaps w:val="false"/>
      <w:color w:val="000000"/>
      <w:sz w:val="24"/>
      <w:u w:val="none"/>
    </w:rPr>
  </w:style>
  <w:style w:type="character" w:styleId="WW8Num20z5">
    <w:name w:val="WW8Num20z5"/>
    <w:qFormat/>
    <w:rPr>
      <w:rFonts w:ascii="Times New Roman" w:hAnsi="Times New Roman" w:cs="Times New Roman"/>
      <w:b w:val="false"/>
      <w:i w:val="false"/>
      <w:caps w:val="false"/>
      <w:smallCaps w:val="false"/>
      <w:color w:val="000000"/>
      <w:u w:val="none"/>
    </w:rPr>
  </w:style>
  <w:style w:type="character" w:styleId="WW8Num21z0">
    <w:name w:val="WW8Num21z0"/>
    <w:qFormat/>
    <w:rPr>
      <w:rFonts w:ascii="Times New Roman" w:hAnsi="Times New Roman" w:cs="Times New Roman"/>
      <w:b/>
      <w:i w:val="false"/>
      <w:caps w:val="false"/>
      <w:smallCaps w:val="false"/>
      <w:color w:val="000000"/>
      <w:sz w:val="24"/>
      <w:u w:val="none"/>
    </w:rPr>
  </w:style>
  <w:style w:type="character" w:styleId="WW8Num21z1">
    <w:name w:val="WW8Num21z1"/>
    <w:qFormat/>
    <w:rPr>
      <w:rFonts w:ascii="Times New Roman" w:hAnsi="Times New Roman" w:cs="Times New Roman"/>
      <w:b w:val="false"/>
      <w:i w:val="false"/>
      <w:caps w:val="false"/>
      <w:smallCaps w:val="false"/>
      <w:color w:val="000000"/>
      <w:sz w:val="24"/>
      <w:u w:val="none"/>
    </w:rPr>
  </w:style>
  <w:style w:type="character" w:styleId="WW8Num21z2">
    <w:name w:val="WW8Num21z2"/>
    <w:qFormat/>
    <w:rPr>
      <w:rFonts w:ascii="Times New Roman" w:hAnsi="Times New Roman" w:cs="Times New Roman"/>
      <w:b/>
      <w:i/>
      <w:caps w:val="false"/>
      <w:smallCaps w:val="false"/>
      <w:color w:val="000000"/>
      <w:sz w:val="24"/>
      <w:u w:val="none"/>
    </w:rPr>
  </w:style>
  <w:style w:type="character" w:styleId="WW8Num22z0">
    <w:name w:val="WW8Num22z0"/>
    <w:qFormat/>
    <w:rPr>
      <w:rFonts w:ascii="Times New Roman" w:hAnsi="Times New Roman" w:cs="Times New Roman"/>
      <w:b/>
      <w:i w:val="false"/>
      <w:caps/>
      <w:color w:val="000000"/>
      <w:sz w:val="24"/>
      <w:u w:val="none"/>
    </w:rPr>
  </w:style>
  <w:style w:type="character" w:styleId="WW8Num22z1">
    <w:name w:val="WW8Num22z1"/>
    <w:qFormat/>
    <w:rPr>
      <w:rFonts w:ascii="Times New Roman" w:hAnsi="Times New Roman" w:cs="Times New Roman"/>
      <w:b/>
      <w:i w:val="false"/>
      <w:caps w:val="false"/>
      <w:smallCaps w:val="false"/>
      <w:color w:val="000000"/>
      <w:sz w:val="24"/>
      <w:u w:val="none"/>
    </w:rPr>
  </w:style>
  <w:style w:type="character" w:styleId="WW8Num22z2">
    <w:name w:val="WW8Num22z2"/>
    <w:qFormat/>
    <w:rPr>
      <w:rFonts w:ascii="Times New Roman" w:hAnsi="Times New Roman" w:cs="Times New Roman"/>
      <w:b w:val="false"/>
      <w:i w:val="false"/>
      <w:caps w:val="false"/>
      <w:smallCaps w:val="false"/>
      <w:color w:val="000000"/>
      <w:sz w:val="24"/>
      <w:u w:val="none"/>
    </w:rPr>
  </w:style>
  <w:style w:type="character" w:styleId="WW8Num23z0">
    <w:name w:val="WW8Num23z0"/>
    <w:qFormat/>
    <w:rPr>
      <w:rFonts w:ascii="Times New Roman" w:hAnsi="Times New Roman" w:cs="Times New Roman"/>
      <w:b w:val="false"/>
      <w:i w:val="false"/>
      <w:caps w:val="false"/>
      <w:smallCaps w:val="false"/>
      <w:color w:val="000000"/>
      <w:sz w:val="24"/>
      <w:u w:val="none"/>
    </w:rPr>
  </w:style>
  <w:style w:type="character" w:styleId="WW8Num24z0">
    <w:name w:val="WW8Num24z0"/>
    <w:qFormat/>
    <w:rPr>
      <w:rFonts w:ascii="Times New Roman" w:hAnsi="Times New Roman" w:cs="Times New Roman"/>
      <w:b/>
      <w:i w:val="false"/>
      <w:caps w:val="false"/>
      <w:smallCaps w:val="false"/>
      <w:color w:val="000000"/>
      <w:sz w:val="24"/>
      <w:u w:val="none"/>
    </w:rPr>
  </w:style>
  <w:style w:type="character" w:styleId="WW8Num24z1">
    <w:name w:val="WW8Num24z1"/>
    <w:qFormat/>
    <w:rPr>
      <w:rFonts w:ascii="Times New Roman" w:hAnsi="Times New Roman" w:cs="Times New Roman"/>
      <w:b w:val="false"/>
      <w:i w:val="false"/>
      <w:caps w:val="false"/>
      <w:smallCaps w:val="false"/>
      <w:color w:val="000000"/>
      <w:sz w:val="24"/>
      <w:u w:val="none"/>
    </w:rPr>
  </w:style>
  <w:style w:type="character" w:styleId="WW8Num25z0">
    <w:name w:val="WW8Num25z0"/>
    <w:qFormat/>
    <w:rPr>
      <w:rFonts w:ascii="Times New Roman" w:hAnsi="Times New Roman" w:cs="Times New Roman"/>
      <w:b/>
      <w:i w:val="false"/>
      <w:caps w:val="false"/>
      <w:smallCaps w:val="false"/>
      <w:color w:val="000000"/>
      <w:u w:val="none"/>
    </w:rPr>
  </w:style>
  <w:style w:type="character" w:styleId="WW8Num25z1">
    <w:name w:val="WW8Num25z1"/>
    <w:qFormat/>
    <w:rPr>
      <w:rFonts w:ascii="Times New Roman" w:hAnsi="Times New Roman" w:cs="Times New Roman"/>
      <w:b w:val="false"/>
      <w:i w:val="false"/>
      <w:caps w:val="false"/>
      <w:smallCaps w:val="false"/>
      <w:color w:val="000000"/>
      <w:u w:val="none"/>
    </w:rPr>
  </w:style>
  <w:style w:type="character" w:styleId="WW8Num26z0">
    <w:name w:val="WW8Num26z0"/>
    <w:qFormat/>
    <w:rPr>
      <w:rFonts w:ascii="Symbol" w:hAnsi="Symbol" w:cs="Symbol"/>
      <w:b w:val="false"/>
      <w:i w:val="false"/>
      <w:caps w:val="false"/>
      <w:smallCaps w:val="false"/>
      <w:color w:val="000000"/>
      <w:u w:val="none"/>
    </w:rPr>
  </w:style>
  <w:style w:type="character" w:styleId="WW8Num26z2">
    <w:name w:val="WW8Num26z2"/>
    <w:qFormat/>
    <w:rPr>
      <w:rFonts w:ascii="Symbol" w:hAnsi="Symbol" w:cs="Symbol"/>
      <w:b/>
      <w:i w:val="false"/>
      <w:caps w:val="false"/>
      <w:smallCaps w:val="false"/>
      <w:color w:val="000000"/>
      <w:u w:val="none"/>
    </w:rPr>
  </w:style>
  <w:style w:type="character" w:styleId="WW8Num27z0">
    <w:name w:val="WW8Num27z0"/>
    <w:qFormat/>
    <w:rPr/>
  </w:style>
  <w:style w:type="character" w:styleId="WW8Num28z0">
    <w:name w:val="WW8Num28z0"/>
    <w:qFormat/>
    <w:rPr/>
  </w:style>
  <w:style w:type="character" w:styleId="DefaultParagraphFont">
    <w:name w:val="Default Paragraph Font"/>
    <w:qFormat/>
    <w:rPr/>
  </w:style>
  <w:style w:type="character" w:styleId="CommentReference">
    <w:name w:val="Comment Reference"/>
    <w:basedOn w:val="DefaultParagraphFont"/>
    <w:qFormat/>
    <w:rPr>
      <w:rFonts w:ascii="Times New Roman" w:hAnsi="Times New Roman" w:cs="Times New Roman"/>
      <w:sz w:val="16"/>
      <w:vertAlign w:val="superscript"/>
    </w:rPr>
  </w:style>
  <w:style w:type="character" w:styleId="FootnoteCharacters">
    <w:name w:val="Footnote Characters"/>
    <w:basedOn w:val="DefaultParagraphFont"/>
    <w:qFormat/>
    <w:rPr>
      <w:vertAlign w:val="superscript"/>
    </w:rPr>
  </w:style>
  <w:style w:type="character" w:styleId="EndnoteCharacters">
    <w:name w:val="Endnote Characters"/>
    <w:basedOn w:val="FootnoteCharacters"/>
    <w:qFormat/>
    <w:rPr>
      <w:position w:val="0"/>
      <w:sz w:val="24"/>
      <w:vertAlign w:val="baseline"/>
    </w:rPr>
  </w:style>
  <w:style w:type="character" w:styleId="PageNumber">
    <w:name w:val="page number"/>
    <w:basedOn w:val="DefaultParagraphFont"/>
    <w:rPr>
      <w:rFonts w:ascii="Times New Roman" w:hAnsi="Times New Roman" w:cs="Times New Roman"/>
      <w:sz w:val="16"/>
    </w:rPr>
  </w:style>
  <w:style w:type="character" w:styleId="Emphasis">
    <w:name w:val="Emphasis"/>
    <w:basedOn w:val="DefaultParagraphFont"/>
    <w:qFormat/>
    <w:rPr>
      <w:rFonts w:ascii="Times New Roman" w:hAnsi="Times New Roman" w:cs="Times New Roman"/>
      <w:b/>
      <w:i/>
      <w:iCs/>
      <w:sz w:val="24"/>
    </w:rPr>
  </w:style>
  <w:style w:type="character" w:styleId="FollowedHyperlink">
    <w:name w:val="FollowedHyperlink"/>
    <w:basedOn w:val="DefaultParagraphFont"/>
    <w:rPr>
      <w:rFonts w:ascii="Times New Roman" w:hAnsi="Times New Roman" w:cs="Times New Roman"/>
      <w:color w:val="800080"/>
      <w:u w:val="single"/>
    </w:rPr>
  </w:style>
  <w:style w:type="character" w:styleId="DeltaViewDeletion">
    <w:name w:val="DeltaView Deletion"/>
    <w:qFormat/>
    <w:rPr>
      <w:strike/>
      <w:color w:val="FF0000"/>
    </w:rPr>
  </w:style>
  <w:style w:type="character" w:styleId="FsCrossOff">
    <w:name w:val="FsCrossOff"/>
    <w:basedOn w:val="DefaultParagraphFont"/>
    <w:qFormat/>
    <w:rPr/>
  </w:style>
  <w:style w:type="character" w:styleId="FsCrossOn">
    <w:name w:val="FsCrossOn"/>
    <w:basedOn w:val="DefaultParagraphFont"/>
    <w:qFormat/>
    <w:rPr>
      <w:u w:val="dottedHeavy"/>
    </w:rPr>
  </w:style>
  <w:style w:type="character" w:styleId="FsHidden">
    <w:name w:val="FsHidden"/>
    <w:basedOn w:val="DefaultParagraphFont"/>
    <w:qFormat/>
    <w:rPr>
      <w:vanish/>
      <w:color w:val="FFFF00"/>
    </w:rPr>
  </w:style>
  <w:style w:type="character" w:styleId="DeltaViewInsertion">
    <w:name w:val="DeltaView Insertion"/>
    <w:qFormat/>
    <w:rPr>
      <w:color w:val="0000FF"/>
      <w:u w:val="double"/>
    </w:rPr>
  </w:style>
  <w:style w:type="character" w:styleId="Hyperlink">
    <w:name w:val="Hyperlink"/>
    <w:basedOn w:val="DefaultParagraphFont"/>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240"/>
      <w:jc w:val="both"/>
    </w:pPr>
    <w:rPr/>
  </w:style>
  <w:style w:type="paragraph" w:styleId="List">
    <w:name w:val="List"/>
    <w:basedOn w:val="Normal"/>
    <w:pPr>
      <w:tabs>
        <w:tab w:val="clear" w:pos="720"/>
        <w:tab w:val="left" w:pos="360" w:leader="none"/>
      </w:tabs>
      <w:ind w:hanging="360" w:start="360" w:end="0"/>
    </w:pPr>
    <w:rPr/>
  </w:style>
  <w:style w:type="paragraph" w:styleId="Caption">
    <w:name w:val="caption"/>
    <w:basedOn w:val="Normal"/>
    <w:next w:val="BodyText"/>
    <w:qFormat/>
    <w:pPr>
      <w:spacing w:before="120" w:after="120"/>
    </w:pPr>
    <w:rPr>
      <w:b/>
      <w:bCs/>
      <w:sz w:val="16"/>
      <w:szCs w:val="20"/>
    </w:rPr>
  </w:style>
  <w:style w:type="paragraph" w:styleId="Index">
    <w:name w:val="Index"/>
    <w:basedOn w:val="Normal"/>
    <w:qFormat/>
    <w:pPr>
      <w:suppressLineNumbers/>
    </w:pPr>
    <w:rPr>
      <w:rFonts w:cs="Arial Unicode MS"/>
    </w:rPr>
  </w:style>
  <w:style w:type="paragraph" w:styleId="CommentText">
    <w:name w:val="Comment Text"/>
    <w:basedOn w:val="Normal"/>
    <w:qFormat/>
    <w:pPr>
      <w:spacing w:before="0" w:after="240"/>
      <w:ind w:firstLine="360" w:start="360" w:end="0"/>
    </w:pPr>
    <w:rPr>
      <w:sz w:val="16"/>
    </w:rPr>
  </w:style>
  <w:style w:type="paragraph" w:styleId="TOC8">
    <w:name w:val="toc 8"/>
    <w:basedOn w:val="BodyText"/>
    <w:pPr>
      <w:tabs>
        <w:tab w:val="clear" w:pos="720"/>
        <w:tab w:val="right" w:pos="8309" w:leader="dot"/>
      </w:tabs>
      <w:ind w:hanging="0" w:start="1440" w:end="720"/>
    </w:pPr>
    <w:rPr>
      <w:i/>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6">
    <w:name w:val="toc 6"/>
    <w:basedOn w:val="BodyText"/>
    <w:pPr>
      <w:tabs>
        <w:tab w:val="clear" w:pos="720"/>
        <w:tab w:val="right" w:pos="8309" w:leader="dot"/>
      </w:tabs>
      <w:ind w:hanging="0" w:start="72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BodyText"/>
    <w:pPr>
      <w:tabs>
        <w:tab w:val="clear" w:pos="720"/>
        <w:tab w:val="right" w:pos="8280" w:leader="none"/>
      </w:tabs>
      <w:spacing w:before="0" w:after="0"/>
    </w:pPr>
    <w:rPr>
      <w:sz w:val="16"/>
    </w:rPr>
  </w:style>
  <w:style w:type="paragraph" w:styleId="Header">
    <w:name w:val="header"/>
    <w:basedOn w:val="BodyText"/>
    <w:pPr>
      <w:tabs>
        <w:tab w:val="clear" w:pos="720"/>
        <w:tab w:val="right" w:pos="8280" w:leader="none"/>
      </w:tabs>
      <w:spacing w:before="0" w:after="0"/>
    </w:pPr>
    <w:rPr>
      <w:sz w:val="16"/>
    </w:rPr>
  </w:style>
  <w:style w:type="paragraph" w:styleId="FootnoteText">
    <w:name w:val="footnote text"/>
    <w:basedOn w:val="BodyText"/>
    <w:pPr>
      <w:spacing w:before="0" w:after="120"/>
      <w:ind w:hanging="357" w:start="357" w:end="0"/>
    </w:pPr>
    <w:rPr>
      <w:sz w:val="20"/>
      <w:szCs w:val="20"/>
    </w:rPr>
  </w:style>
  <w:style w:type="paragraph" w:styleId="NormalIndent">
    <w:name w:val="Normal Indent"/>
    <w:basedOn w:val="Normal"/>
    <w:qFormat/>
    <w:pPr>
      <w:spacing w:before="0" w:after="240"/>
    </w:pPr>
    <w:rPr/>
  </w:style>
  <w:style w:type="paragraph" w:styleId="a">
    <w:name w:val="(a)"/>
    <w:basedOn w:val="BodyText"/>
    <w:qFormat/>
    <w:pPr>
      <w:ind w:hanging="720" w:start="720" w:end="0"/>
    </w:pPr>
    <w:rPr/>
  </w:style>
  <w:style w:type="paragraph" w:styleId="i">
    <w:name w:val="(i)"/>
    <w:basedOn w:val="BodyText"/>
    <w:qFormat/>
    <w:pPr>
      <w:tabs>
        <w:tab w:val="clear" w:pos="720"/>
        <w:tab w:val="right" w:pos="1296" w:leader="none"/>
      </w:tabs>
      <w:ind w:hanging="1440" w:start="1440" w:end="0"/>
    </w:pPr>
    <w:rPr/>
  </w:style>
  <w:style w:type="paragraph" w:styleId="ParaHeading">
    <w:name w:val="ParaHeading"/>
    <w:basedOn w:val="BodyText"/>
    <w:next w:val="BodyText"/>
    <w:qFormat/>
    <w:pPr>
      <w:keepNext w:val="true"/>
      <w:keepLines/>
    </w:pPr>
    <w:rPr>
      <w:b/>
    </w:rPr>
  </w:style>
  <w:style w:type="paragraph" w:styleId="A1">
    <w:name w:val="A"/>
    <w:basedOn w:val="BodyText"/>
    <w:qFormat/>
    <w:pPr>
      <w:ind w:hanging="432" w:start="1872" w:end="0"/>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AHeading">
    <w:name w:val="TOA Heading"/>
    <w:basedOn w:val="Normal"/>
    <w:next w:val="Normal"/>
    <w:qFormat/>
    <w:pPr>
      <w:spacing w:before="120" w:after="0"/>
    </w:pPr>
    <w:rPr>
      <w:rFonts w:ascii="Arial" w:hAnsi="Arial" w:cs="Arial"/>
      <w:b/>
      <w:bCs/>
    </w:rPr>
  </w:style>
  <w:style w:type="paragraph" w:styleId="ListBullet">
    <w:name w:val="List Bullet"/>
    <w:basedOn w:val="Normal"/>
    <w:qFormat/>
    <w:pPr>
      <w:numPr>
        <w:ilvl w:val="0"/>
        <w:numId w:val="6"/>
      </w:numPr>
    </w:pPr>
    <w:rPr/>
  </w:style>
  <w:style w:type="paragraph" w:styleId="ListBullet21">
    <w:name w:val="List Bullet 21"/>
    <w:basedOn w:val="Normal"/>
    <w:qFormat/>
    <w:pPr>
      <w:numPr>
        <w:ilvl w:val="0"/>
        <w:numId w:val="5"/>
      </w:numPr>
    </w:pPr>
    <w:rPr/>
  </w:style>
  <w:style w:type="paragraph" w:styleId="ListBullet31">
    <w:name w:val="List Bullet 31"/>
    <w:basedOn w:val="Normal"/>
    <w:qFormat/>
    <w:pPr>
      <w:numPr>
        <w:ilvl w:val="0"/>
        <w:numId w:val="4"/>
      </w:numPr>
    </w:pPr>
    <w:rPr/>
  </w:style>
  <w:style w:type="paragraph" w:styleId="Salutation">
    <w:name w:val="Salutation"/>
    <w:basedOn w:val="BodyText"/>
    <w:next w:val="Normal"/>
    <w:qFormat/>
    <w:pPr/>
    <w:rPr/>
  </w:style>
  <w:style w:type="paragraph" w:styleId="EndnoteText">
    <w:name w:val="endnote text"/>
    <w:basedOn w:val="FootnoteText"/>
    <w:pPr/>
    <w:rPr>
      <w:szCs w:val="20"/>
    </w:rPr>
  </w:style>
  <w:style w:type="paragraph" w:styleId="Signature">
    <w:name w:val="Signature"/>
    <w:basedOn w:val="Normal"/>
    <w:pPr>
      <w:ind w:hanging="0" w:start="4320" w:end="0"/>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TOC9">
    <w:name w:val="toc 9"/>
    <w:basedOn w:val="BodyText"/>
    <w:next w:val="Normal"/>
    <w:pPr>
      <w:tabs>
        <w:tab w:val="clear" w:pos="720"/>
        <w:tab w:val="right" w:pos="8309" w:leader="dot"/>
      </w:tabs>
      <w:ind w:hanging="0" w:start="1440" w:end="0"/>
    </w:pPr>
    <w:rPr>
      <w:i/>
    </w:rPr>
  </w:style>
  <w:style w:type="paragraph" w:styleId="Closing">
    <w:name w:val="Closing"/>
    <w:basedOn w:val="BodyText"/>
    <w:qFormat/>
    <w:pPr>
      <w:ind w:hanging="0" w:start="4320" w:end="0"/>
    </w:pPr>
    <w:rPr/>
  </w:style>
  <w:style w:type="paragraph" w:styleId="ListBullet41">
    <w:name w:val="List Bullet 41"/>
    <w:basedOn w:val="Normal"/>
    <w:qFormat/>
    <w:pPr>
      <w:numPr>
        <w:ilvl w:val="0"/>
        <w:numId w:val="3"/>
      </w:numPr>
    </w:pPr>
    <w:rPr/>
  </w:style>
  <w:style w:type="paragraph" w:styleId="E-mailSignature">
    <w:name w:val="E-mail Signature"/>
    <w:basedOn w:val="Normal"/>
    <w:qFormat/>
    <w:pPr/>
    <w:rPr/>
  </w:style>
  <w:style w:type="paragraph" w:styleId="EnvelopeAddress">
    <w:name w:val="envelope address"/>
    <w:basedOn w:val="Normal"/>
    <w:pPr>
      <w:spacing w:before="0" w:after="0"/>
    </w:pPr>
    <w:rPr>
      <w:rFonts w:cs="Arial"/>
    </w:rPr>
  </w:style>
  <w:style w:type="paragraph" w:styleId="EnvelopeReturn">
    <w:name w:val="envelope return"/>
    <w:basedOn w:val="Normal"/>
    <w:pPr/>
    <w:rPr>
      <w:rFonts w:cs="Arial"/>
      <w:szCs w:val="20"/>
    </w:rPr>
  </w:style>
  <w:style w:type="paragraph" w:styleId="Index2">
    <w:name w:val="index 2"/>
    <w:basedOn w:val="Normal"/>
    <w:next w:val="Normal"/>
    <w:pPr>
      <w:ind w:hanging="240" w:start="480" w:end="0"/>
    </w:pPr>
    <w:rPr/>
  </w:style>
  <w:style w:type="paragraph" w:styleId="Index3">
    <w:name w:val="index 3"/>
    <w:basedOn w:val="BodyText"/>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numPr>
        <w:ilvl w:val="0"/>
        <w:numId w:val="3"/>
      </w:numPr>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ListBullet2">
    <w:name w:val="List Bullet 2"/>
    <w:basedOn w:val="Normal"/>
    <w:pPr>
      <w:tabs>
        <w:tab w:val="clear" w:pos="720"/>
        <w:tab w:val="left" w:pos="360" w:leader="none"/>
      </w:tabs>
      <w:ind w:hanging="360" w:start="360" w:end="0"/>
    </w:pPr>
    <w:rPr/>
  </w:style>
  <w:style w:type="paragraph" w:styleId="ListBullet3">
    <w:name w:val="List Bullet 3"/>
    <w:basedOn w:val="Normal"/>
    <w:pPr>
      <w:tabs>
        <w:tab w:val="clear" w:pos="720"/>
        <w:tab w:val="left" w:pos="1710" w:leader="none"/>
      </w:tabs>
      <w:ind w:hanging="360" w:start="1710" w:end="0"/>
    </w:pPr>
    <w:rPr/>
  </w:style>
  <w:style w:type="paragraph" w:styleId="ListBullet4">
    <w:name w:val="List Bullet 4"/>
    <w:basedOn w:val="Normal"/>
    <w:pPr>
      <w:tabs>
        <w:tab w:val="clear" w:pos="720"/>
        <w:tab w:val="left" w:pos="1620" w:leader="none"/>
      </w:tabs>
      <w:ind w:hanging="180" w:start="1620" w:end="0"/>
    </w:pPr>
    <w:rPr/>
  </w:style>
  <w:style w:type="paragraph" w:styleId="ListBullet51">
    <w:name w:val="List Bullet 51"/>
    <w:basedOn w:val="Normal"/>
    <w:qFormat/>
    <w:pPr>
      <w:numPr>
        <w:ilvl w:val="0"/>
        <w:numId w:val="2"/>
      </w:numPr>
    </w:pPr>
    <w:rPr/>
  </w:style>
  <w:style w:type="paragraph" w:styleId="IndexHeading2">
    <w:name w:val="Index Heading 2"/>
    <w:basedOn w:val="IndexHeading"/>
    <w:qFormat/>
    <w:pPr>
      <w:tabs>
        <w:tab w:val="clear" w:pos="720"/>
        <w:tab w:val="right" w:pos="8280" w:leader="none"/>
      </w:tabs>
      <w:jc w:val="start"/>
    </w:pPr>
    <w:rPr/>
  </w:style>
  <w:style w:type="paragraph" w:styleId="ListBullet5">
    <w:name w:val="List Bullet 5"/>
    <w:basedOn w:val="Normal"/>
    <w:pPr>
      <w:ind w:hanging="283" w:start="1415" w:end="0"/>
    </w:pPr>
    <w:rPr/>
  </w:style>
  <w:style w:type="paragraph" w:styleId="Address">
    <w:name w:val="Address"/>
    <w:basedOn w:val="BodyText"/>
    <w:qFormat/>
    <w:pPr>
      <w:spacing w:lineRule="exact" w:line="280" w:before="0" w:after="720"/>
    </w:pPr>
    <w:rPr>
      <w:lang w:val="en-US" w:eastAsia="en-US"/>
    </w:rPr>
  </w:style>
  <w:style w:type="paragraph" w:styleId="Date">
    <w:name w:val="Date"/>
    <w:basedOn w:val="Normal"/>
    <w:qFormat/>
    <w:pPr>
      <w:jc w:val="end"/>
    </w:pPr>
    <w:rPr/>
  </w:style>
  <w:style w:type="paragraph" w:styleId="Label">
    <w:name w:val="Label"/>
    <w:basedOn w:val="BodyText"/>
    <w:qFormat/>
    <w:pPr>
      <w:spacing w:lineRule="exact" w:line="280" w:before="240" w:after="120"/>
      <w:ind w:hanging="0" w:start="284" w:end="0"/>
    </w:pPr>
    <w:rPr/>
  </w:style>
  <w:style w:type="paragraph" w:styleId="ListContinue">
    <w:name w:val="List Continue"/>
    <w:basedOn w:val="Normal"/>
    <w:qFormat/>
    <w:pPr>
      <w:spacing w:before="0" w:after="120"/>
      <w:ind w:hanging="0" w:start="360" w:end="0"/>
    </w:pPr>
    <w:rPr/>
  </w:style>
  <w:style w:type="paragraph" w:styleId="FWRecital">
    <w:name w:val="FWRecital"/>
    <w:basedOn w:val="BodyText"/>
    <w:qFormat/>
    <w:pPr>
      <w:numPr>
        <w:ilvl w:val="0"/>
        <w:numId w:val="20"/>
      </w:numPr>
      <w:tabs>
        <w:tab w:val="left" w:pos="720" w:leader="none"/>
      </w:tabs>
    </w:pPr>
    <w:rPr/>
  </w:style>
  <w:style w:type="paragraph" w:styleId="FWBCont1">
    <w:name w:val="FWB Cont 1"/>
    <w:basedOn w:val="Normal"/>
    <w:qFormat/>
    <w:pPr>
      <w:spacing w:before="0" w:after="240"/>
      <w:jc w:val="both"/>
    </w:pPr>
    <w:rPr>
      <w:szCs w:val="20"/>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8"/>
      </w:numPr>
      <w:spacing w:before="0" w:after="240"/>
      <w:outlineLvl w:val="0"/>
    </w:pPr>
    <w:rPr>
      <w:b/>
      <w:smallCaps/>
      <w:szCs w:val="20"/>
    </w:rPr>
  </w:style>
  <w:style w:type="paragraph" w:styleId="FWBL2">
    <w:name w:val="FWB_L2"/>
    <w:basedOn w:val="FWBL1"/>
    <w:qFormat/>
    <w:pPr>
      <w:keepNext w:val="false"/>
      <w:keepLines w:val="false"/>
      <w:numPr>
        <w:ilvl w:val="0"/>
        <w:numId w:val="18"/>
      </w:numPr>
      <w:jc w:val="both"/>
      <w:outlineLvl w:val="9"/>
    </w:pPr>
    <w:rPr>
      <w:b w:val="false"/>
      <w:caps w:val="false"/>
      <w:smallCaps w:val="false"/>
    </w:rPr>
  </w:style>
  <w:style w:type="paragraph" w:styleId="FWBL3">
    <w:name w:val="FWB_L3"/>
    <w:basedOn w:val="FWBL2"/>
    <w:qFormat/>
    <w:pPr>
      <w:numPr>
        <w:ilvl w:val="0"/>
        <w:numId w:val="18"/>
      </w:numPr>
    </w:pPr>
    <w:rPr/>
  </w:style>
  <w:style w:type="paragraph" w:styleId="FWBL4">
    <w:name w:val="FWB_L4"/>
    <w:basedOn w:val="FWBL3"/>
    <w:qFormat/>
    <w:pPr>
      <w:numPr>
        <w:ilvl w:val="0"/>
        <w:numId w:val="18"/>
      </w:numPr>
    </w:pPr>
    <w:rPr/>
  </w:style>
  <w:style w:type="paragraph" w:styleId="FWBL5">
    <w:name w:val="FWB_L5"/>
    <w:basedOn w:val="FWBL4"/>
    <w:qFormat/>
    <w:pPr>
      <w:numPr>
        <w:ilvl w:val="0"/>
        <w:numId w:val="18"/>
      </w:numPr>
    </w:pPr>
    <w:rPr/>
  </w:style>
  <w:style w:type="paragraph" w:styleId="FWBL6">
    <w:name w:val="FWB_L6"/>
    <w:basedOn w:val="FWBL5"/>
    <w:qFormat/>
    <w:pPr>
      <w:numPr>
        <w:ilvl w:val="0"/>
        <w:numId w:val="18"/>
      </w:numPr>
    </w:pPr>
    <w:rPr/>
  </w:style>
  <w:style w:type="paragraph" w:styleId="FWBL7">
    <w:name w:val="FWB_L7"/>
    <w:basedOn w:val="FWBL6"/>
    <w:qFormat/>
    <w:pPr>
      <w:numPr>
        <w:ilvl w:val="0"/>
        <w:numId w:val="18"/>
      </w:numPr>
    </w:pPr>
    <w:rPr/>
  </w:style>
  <w:style w:type="paragraph" w:styleId="FWBL8">
    <w:name w:val="FWB_L8"/>
    <w:basedOn w:val="FWBL7"/>
    <w:qFormat/>
    <w:pPr>
      <w:numPr>
        <w:ilvl w:val="0"/>
        <w:numId w:val="18"/>
      </w:numPr>
    </w:pPr>
    <w:rPr/>
  </w:style>
  <w:style w:type="paragraph" w:styleId="FWParties">
    <w:name w:val="FWParties"/>
    <w:basedOn w:val="BodyText"/>
    <w:qFormat/>
    <w:pPr>
      <w:numPr>
        <w:ilvl w:val="0"/>
        <w:numId w:val="8"/>
      </w:numPr>
    </w:pPr>
    <w:rPr/>
  </w:style>
  <w:style w:type="paragraph" w:styleId="FWBPL1">
    <w:name w:val="FWBP_L1"/>
    <w:basedOn w:val="BodyText"/>
    <w:qFormat/>
    <w:pPr>
      <w:spacing w:lineRule="atLeast" w:line="280" w:before="0" w:after="140"/>
      <w:jc w:val="start"/>
    </w:pPr>
    <w:rPr>
      <w:spacing w:val="1"/>
    </w:rPr>
  </w:style>
  <w:style w:type="paragraph" w:styleId="FWSL1">
    <w:name w:val="FWS_L1"/>
    <w:basedOn w:val="Normal"/>
    <w:next w:val="FWSL2"/>
    <w:qFormat/>
    <w:pPr>
      <w:keepNext w:val="true"/>
      <w:keepLines/>
      <w:pageBreakBefore/>
      <w:numPr>
        <w:ilvl w:val="0"/>
        <w:numId w:val="12"/>
      </w:numPr>
      <w:spacing w:lineRule="auto" w:line="480" w:before="0" w:after="240"/>
      <w:jc w:val="center"/>
      <w:outlineLvl w:val="0"/>
    </w:pPr>
    <w:rPr>
      <w:b/>
      <w:caps/>
      <w:szCs w:val="20"/>
    </w:rPr>
  </w:style>
  <w:style w:type="paragraph" w:styleId="FWSL2">
    <w:name w:val="FWS_L2"/>
    <w:basedOn w:val="FWSL1"/>
    <w:next w:val="FWSL3"/>
    <w:qFormat/>
    <w:pPr>
      <w:pageBreakBefore w:val="false"/>
      <w:numPr>
        <w:ilvl w:val="0"/>
        <w:numId w:val="12"/>
      </w:numPr>
      <w:spacing w:lineRule="auto" w:line="240"/>
      <w:outlineLvl w:val="1"/>
    </w:pPr>
    <w:rPr>
      <w:caps w:val="false"/>
      <w:smallCaps w:val="false"/>
    </w:rPr>
  </w:style>
  <w:style w:type="paragraph" w:styleId="FWSL3">
    <w:name w:val="FWS_L3"/>
    <w:basedOn w:val="FWSL2"/>
    <w:next w:val="FWSL5"/>
    <w:qFormat/>
    <w:pPr>
      <w:numPr>
        <w:ilvl w:val="0"/>
        <w:numId w:val="12"/>
      </w:numPr>
      <w:jc w:val="start"/>
      <w:outlineLvl w:val="2"/>
    </w:pPr>
    <w:rPr>
      <w:smallCaps/>
    </w:rPr>
  </w:style>
  <w:style w:type="paragraph" w:styleId="FWSL4">
    <w:name w:val="FWS_L4"/>
    <w:basedOn w:val="FWSL3"/>
    <w:qFormat/>
    <w:pPr>
      <w:keepNext w:val="false"/>
      <w:keepLines w:val="false"/>
      <w:numPr>
        <w:ilvl w:val="0"/>
        <w:numId w:val="12"/>
      </w:numPr>
      <w:jc w:val="both"/>
      <w:outlineLvl w:val="9"/>
    </w:pPr>
    <w:rPr>
      <w:b w:val="false"/>
      <w:caps w:val="false"/>
      <w:smallCaps w:val="false"/>
    </w:rPr>
  </w:style>
  <w:style w:type="paragraph" w:styleId="FWSL5">
    <w:name w:val="FWS_L5"/>
    <w:basedOn w:val="FWSL4"/>
    <w:qFormat/>
    <w:pPr>
      <w:numPr>
        <w:ilvl w:val="0"/>
        <w:numId w:val="12"/>
      </w:numPr>
    </w:pPr>
    <w:rPr/>
  </w:style>
  <w:style w:type="paragraph" w:styleId="FWNL1">
    <w:name w:val="FWN_L1"/>
    <w:basedOn w:val="Normal"/>
    <w:qFormat/>
    <w:pPr>
      <w:numPr>
        <w:ilvl w:val="0"/>
        <w:numId w:val="10"/>
      </w:numPr>
    </w:pPr>
    <w:rPr>
      <w:szCs w:val="20"/>
    </w:rPr>
  </w:style>
  <w:style w:type="paragraph" w:styleId="FWNL2">
    <w:name w:val="FWN_L2"/>
    <w:basedOn w:val="FWNL1"/>
    <w:qFormat/>
    <w:pPr>
      <w:numPr>
        <w:ilvl w:val="0"/>
        <w:numId w:val="10"/>
      </w:numPr>
    </w:pPr>
    <w:rPr/>
  </w:style>
  <w:style w:type="paragraph" w:styleId="FWNL3">
    <w:name w:val="FWN_L3"/>
    <w:basedOn w:val="FWNL2"/>
    <w:qFormat/>
    <w:pPr>
      <w:numPr>
        <w:ilvl w:val="0"/>
        <w:numId w:val="10"/>
      </w:numPr>
    </w:pPr>
    <w:rPr/>
  </w:style>
  <w:style w:type="paragraph" w:styleId="FWNL4">
    <w:name w:val="FWN_L4"/>
    <w:basedOn w:val="FWNL3"/>
    <w:qFormat/>
    <w:pPr>
      <w:numPr>
        <w:ilvl w:val="0"/>
        <w:numId w:val="10"/>
      </w:numPr>
    </w:pPr>
    <w:rPr/>
  </w:style>
  <w:style w:type="paragraph" w:styleId="FWNL5">
    <w:name w:val="FWN_L5"/>
    <w:basedOn w:val="FWNL4"/>
    <w:qFormat/>
    <w:pPr>
      <w:numPr>
        <w:ilvl w:val="0"/>
        <w:numId w:val="10"/>
      </w:numPr>
    </w:pPr>
    <w:rPr/>
  </w:style>
  <w:style w:type="paragraph" w:styleId="FWNL6">
    <w:name w:val="FWN_L6"/>
    <w:basedOn w:val="FWNL5"/>
    <w:qFormat/>
    <w:pPr>
      <w:numPr>
        <w:ilvl w:val="0"/>
        <w:numId w:val="10"/>
      </w:numPr>
    </w:pPr>
    <w:rPr/>
  </w:style>
  <w:style w:type="paragraph" w:styleId="FWNL7">
    <w:name w:val="FWN_L7"/>
    <w:basedOn w:val="FWNL6"/>
    <w:qFormat/>
    <w:pPr>
      <w:numPr>
        <w:ilvl w:val="0"/>
        <w:numId w:val="10"/>
      </w:numPr>
    </w:pPr>
    <w:rPr/>
  </w:style>
  <w:style w:type="paragraph" w:styleId="FWBuL1">
    <w:name w:val="FWBu_L1"/>
    <w:basedOn w:val="Normal"/>
    <w:qFormat/>
    <w:pPr>
      <w:numPr>
        <w:ilvl w:val="0"/>
        <w:numId w:val="13"/>
      </w:numPr>
    </w:pPr>
    <w:rPr>
      <w:szCs w:val="20"/>
    </w:rPr>
  </w:style>
  <w:style w:type="paragraph" w:styleId="FWBuL2">
    <w:name w:val="FWBu_L2"/>
    <w:basedOn w:val="FWBuL1"/>
    <w:qFormat/>
    <w:pPr>
      <w:numPr>
        <w:ilvl w:val="0"/>
        <w:numId w:val="13"/>
      </w:numPr>
    </w:pPr>
    <w:rPr/>
  </w:style>
  <w:style w:type="paragraph" w:styleId="FWBuL3">
    <w:name w:val="FWBu_L3"/>
    <w:basedOn w:val="FWBuL2"/>
    <w:qFormat/>
    <w:pPr>
      <w:numPr>
        <w:ilvl w:val="0"/>
        <w:numId w:val="13"/>
      </w:numPr>
    </w:pPr>
    <w:rPr/>
  </w:style>
  <w:style w:type="paragraph" w:styleId="FWSL6">
    <w:name w:val="FWS_L6"/>
    <w:basedOn w:val="FWSL5"/>
    <w:qFormat/>
    <w:pPr>
      <w:numPr>
        <w:ilvl w:val="0"/>
        <w:numId w:val="12"/>
      </w:numPr>
    </w:pPr>
    <w:rPr/>
  </w:style>
  <w:style w:type="paragraph" w:styleId="FWSL7">
    <w:name w:val="FWS_L7"/>
    <w:basedOn w:val="FWSL6"/>
    <w:qFormat/>
    <w:pPr>
      <w:numPr>
        <w:ilvl w:val="0"/>
        <w:numId w:val="12"/>
      </w:numPr>
    </w:pPr>
    <w:rPr/>
  </w:style>
  <w:style w:type="paragraph" w:styleId="FWSL8">
    <w:name w:val="FWS_L8"/>
    <w:basedOn w:val="FWSL7"/>
    <w:qFormat/>
    <w:pPr>
      <w:numPr>
        <w:ilvl w:val="0"/>
        <w:numId w:val="12"/>
      </w:numPr>
    </w:pPr>
    <w:rPr/>
  </w:style>
  <w:style w:type="paragraph" w:styleId="FWSL9">
    <w:name w:val="FWS_L9"/>
    <w:basedOn w:val="FWSL8"/>
    <w:qFormat/>
    <w:pPr>
      <w:numPr>
        <w:ilvl w:val="0"/>
        <w:numId w:val="12"/>
      </w:numPr>
    </w:pPr>
    <w:rPr/>
  </w:style>
  <w:style w:type="paragraph" w:styleId="FWDL1">
    <w:name w:val="FWD_L1"/>
    <w:basedOn w:val="Normal"/>
    <w:qFormat/>
    <w:pPr>
      <w:numPr>
        <w:ilvl w:val="0"/>
        <w:numId w:val="16"/>
      </w:numPr>
      <w:spacing w:before="0" w:after="240"/>
    </w:pPr>
    <w:rPr>
      <w:szCs w:val="20"/>
    </w:rPr>
  </w:style>
  <w:style w:type="paragraph" w:styleId="FWDL2">
    <w:name w:val="FWD_L2"/>
    <w:basedOn w:val="FWDL1"/>
    <w:qFormat/>
    <w:pPr>
      <w:numPr>
        <w:ilvl w:val="0"/>
        <w:numId w:val="16"/>
      </w:numPr>
    </w:pPr>
    <w:rPr/>
  </w:style>
  <w:style w:type="paragraph" w:styleId="FWDL3">
    <w:name w:val="FWD_L3"/>
    <w:basedOn w:val="FWDL2"/>
    <w:qFormat/>
    <w:pPr>
      <w:numPr>
        <w:ilvl w:val="0"/>
        <w:numId w:val="16"/>
      </w:numPr>
    </w:pPr>
    <w:rPr/>
  </w:style>
  <w:style w:type="paragraph" w:styleId="FWDL4">
    <w:name w:val="FWD_L4"/>
    <w:basedOn w:val="FWDL3"/>
    <w:qFormat/>
    <w:pPr>
      <w:numPr>
        <w:ilvl w:val="0"/>
        <w:numId w:val="16"/>
      </w:numPr>
    </w:pPr>
    <w:rPr/>
  </w:style>
  <w:style w:type="paragraph" w:styleId="FWDL5">
    <w:name w:val="FWD_L5"/>
    <w:basedOn w:val="FWDL4"/>
    <w:qFormat/>
    <w:pPr>
      <w:numPr>
        <w:ilvl w:val="0"/>
        <w:numId w:val="16"/>
      </w:numPr>
    </w:pPr>
    <w:rPr/>
  </w:style>
  <w:style w:type="paragraph" w:styleId="FWDL6">
    <w:name w:val="FWD_L6"/>
    <w:basedOn w:val="FWDL5"/>
    <w:qFormat/>
    <w:pPr>
      <w:numPr>
        <w:ilvl w:val="0"/>
        <w:numId w:val="16"/>
      </w:numPr>
    </w:pPr>
    <w:rPr/>
  </w:style>
  <w:style w:type="paragraph" w:styleId="FWDL7">
    <w:name w:val="FWD_L7"/>
    <w:basedOn w:val="FWDL6"/>
    <w:qFormat/>
    <w:pPr>
      <w:numPr>
        <w:ilvl w:val="0"/>
        <w:numId w:val="16"/>
      </w:numPr>
    </w:pPr>
    <w:rPr/>
  </w:style>
  <w:style w:type="paragraph" w:styleId="FIBL1">
    <w:name w:val="FIB_L1"/>
    <w:basedOn w:val="BodyText"/>
    <w:qFormat/>
    <w:pPr>
      <w:numPr>
        <w:ilvl w:val="0"/>
        <w:numId w:val="9"/>
      </w:numPr>
    </w:pPr>
    <w:rPr/>
  </w:style>
  <w:style w:type="paragraph" w:styleId="FIBL2">
    <w:name w:val="FIB_L2"/>
    <w:basedOn w:val="BodyText"/>
    <w:qFormat/>
    <w:pPr>
      <w:numPr>
        <w:ilvl w:val="0"/>
        <w:numId w:val="9"/>
      </w:numPr>
    </w:pPr>
    <w:rPr/>
  </w:style>
  <w:style w:type="paragraph" w:styleId="FIBL3">
    <w:name w:val="FIB_L3"/>
    <w:basedOn w:val="BodyText"/>
    <w:qFormat/>
    <w:pPr>
      <w:numPr>
        <w:ilvl w:val="0"/>
        <w:numId w:val="9"/>
      </w:numPr>
    </w:pPr>
    <w:rPr/>
  </w:style>
  <w:style w:type="paragraph" w:styleId="FIBL4">
    <w:name w:val="FIB_L4"/>
    <w:basedOn w:val="BodyText"/>
    <w:qFormat/>
    <w:pPr>
      <w:numPr>
        <w:ilvl w:val="0"/>
        <w:numId w:val="9"/>
      </w:numPr>
    </w:pPr>
    <w:rPr/>
  </w:style>
  <w:style w:type="paragraph" w:styleId="FIBL5">
    <w:name w:val="FIB_L5"/>
    <w:basedOn w:val="BodyText"/>
    <w:qFormat/>
    <w:pPr>
      <w:numPr>
        <w:ilvl w:val="0"/>
        <w:numId w:val="9"/>
      </w:numPr>
    </w:pPr>
    <w:rPr/>
  </w:style>
  <w:style w:type="paragraph" w:styleId="FIBL6">
    <w:name w:val="FIB_L6"/>
    <w:basedOn w:val="BodyText"/>
    <w:qFormat/>
    <w:pPr>
      <w:numPr>
        <w:ilvl w:val="0"/>
        <w:numId w:val="9"/>
      </w:numPr>
    </w:pPr>
    <w:rPr/>
  </w:style>
  <w:style w:type="paragraph" w:styleId="FIBL7">
    <w:name w:val="FIB_L7"/>
    <w:basedOn w:val="BodyText"/>
    <w:qFormat/>
    <w:pPr>
      <w:numPr>
        <w:ilvl w:val="0"/>
        <w:numId w:val="9"/>
      </w:numPr>
    </w:pPr>
    <w:rPr/>
  </w:style>
  <w:style w:type="paragraph" w:styleId="FIBL8">
    <w:name w:val="FIB_L8"/>
    <w:basedOn w:val="BodyText"/>
    <w:qFormat/>
    <w:pPr>
      <w:numPr>
        <w:ilvl w:val="0"/>
        <w:numId w:val="9"/>
      </w:numPr>
    </w:pPr>
    <w:rPr/>
  </w:style>
  <w:style w:type="paragraph" w:styleId="FIBL9">
    <w:name w:val="FIB_L9"/>
    <w:basedOn w:val="BodyText"/>
    <w:qFormat/>
    <w:pPr>
      <w:numPr>
        <w:ilvl w:val="0"/>
        <w:numId w:val="9"/>
      </w:numPr>
    </w:pPr>
    <w:rPr/>
  </w:style>
  <w:style w:type="paragraph" w:styleId="REBL1">
    <w:name w:val="REB_L1"/>
    <w:basedOn w:val="Normal"/>
    <w:next w:val="REBL2"/>
    <w:qFormat/>
    <w:pPr>
      <w:keepNext w:val="true"/>
      <w:keepLines/>
      <w:numPr>
        <w:ilvl w:val="0"/>
        <w:numId w:val="14"/>
      </w:numPr>
      <w:spacing w:before="0" w:after="240"/>
      <w:outlineLvl w:val="0"/>
    </w:pPr>
    <w:rPr>
      <w:b/>
      <w:smallCaps/>
      <w:szCs w:val="20"/>
    </w:rPr>
  </w:style>
  <w:style w:type="paragraph" w:styleId="REBL2">
    <w:name w:val="REB_L2"/>
    <w:basedOn w:val="REBL1"/>
    <w:qFormat/>
    <w:pPr>
      <w:keepNext w:val="false"/>
      <w:keepLines w:val="false"/>
      <w:numPr>
        <w:ilvl w:val="0"/>
        <w:numId w:val="14"/>
      </w:numPr>
      <w:jc w:val="both"/>
      <w:outlineLvl w:val="9"/>
    </w:pPr>
    <w:rPr>
      <w:b w:val="false"/>
      <w:caps w:val="false"/>
      <w:smallCaps w:val="false"/>
    </w:rPr>
  </w:style>
  <w:style w:type="paragraph" w:styleId="REBL3">
    <w:name w:val="REB_L3"/>
    <w:basedOn w:val="REBL2"/>
    <w:qFormat/>
    <w:pPr>
      <w:numPr>
        <w:ilvl w:val="0"/>
        <w:numId w:val="14"/>
      </w:numPr>
    </w:pPr>
    <w:rPr/>
  </w:style>
  <w:style w:type="paragraph" w:styleId="REBL4">
    <w:name w:val="REB_L4"/>
    <w:basedOn w:val="REBL3"/>
    <w:qFormat/>
    <w:pPr>
      <w:numPr>
        <w:ilvl w:val="0"/>
        <w:numId w:val="14"/>
      </w:numPr>
    </w:pPr>
    <w:rPr/>
  </w:style>
  <w:style w:type="paragraph" w:styleId="REBL5">
    <w:name w:val="REB_L5"/>
    <w:basedOn w:val="REBL4"/>
    <w:qFormat/>
    <w:pPr>
      <w:numPr>
        <w:ilvl w:val="0"/>
        <w:numId w:val="14"/>
      </w:numPr>
    </w:pPr>
    <w:rPr/>
  </w:style>
  <w:style w:type="paragraph" w:styleId="REBL6">
    <w:name w:val="REB_L6"/>
    <w:basedOn w:val="REBL5"/>
    <w:qFormat/>
    <w:pPr>
      <w:numPr>
        <w:ilvl w:val="0"/>
        <w:numId w:val="14"/>
      </w:numPr>
    </w:pPr>
    <w:rPr/>
  </w:style>
  <w:style w:type="paragraph" w:styleId="REBL7">
    <w:name w:val="REB_L7"/>
    <w:basedOn w:val="REBL6"/>
    <w:qFormat/>
    <w:pPr>
      <w:numPr>
        <w:ilvl w:val="0"/>
        <w:numId w:val="14"/>
      </w:numPr>
    </w:pPr>
    <w:rPr/>
  </w:style>
  <w:style w:type="paragraph" w:styleId="REBL8">
    <w:name w:val="REB_L8"/>
    <w:basedOn w:val="REBL7"/>
    <w:qFormat/>
    <w:pPr>
      <w:numPr>
        <w:ilvl w:val="0"/>
        <w:numId w:val="14"/>
      </w:numPr>
    </w:pPr>
    <w:rPr/>
  </w:style>
  <w:style w:type="paragraph" w:styleId="REBL9">
    <w:name w:val="REB_L9"/>
    <w:basedOn w:val="REBL8"/>
    <w:qFormat/>
    <w:pPr>
      <w:numPr>
        <w:ilvl w:val="0"/>
        <w:numId w:val="14"/>
      </w:numPr>
    </w:pPr>
    <w:rPr/>
  </w:style>
  <w:style w:type="paragraph" w:styleId="FWBullets3L1">
    <w:name w:val="FWBullets3_L1"/>
    <w:basedOn w:val="Normal"/>
    <w:qFormat/>
    <w:pPr>
      <w:numPr>
        <w:ilvl w:val="0"/>
        <w:numId w:val="19"/>
      </w:numPr>
      <w:spacing w:before="0" w:after="240"/>
      <w:jc w:val="both"/>
    </w:pPr>
    <w:rPr>
      <w:szCs w:val="20"/>
    </w:rPr>
  </w:style>
  <w:style w:type="paragraph" w:styleId="FWBullets3L2">
    <w:name w:val="FWBullets3_L2"/>
    <w:basedOn w:val="FWBullets3L1"/>
    <w:qFormat/>
    <w:pPr>
      <w:numPr>
        <w:ilvl w:val="0"/>
        <w:numId w:val="19"/>
      </w:numPr>
    </w:pPr>
    <w:rPr/>
  </w:style>
  <w:style w:type="paragraph" w:styleId="FWBullets3L3">
    <w:name w:val="FWBullets3_L3"/>
    <w:basedOn w:val="FWBullets3L2"/>
    <w:qFormat/>
    <w:pPr>
      <w:numPr>
        <w:ilvl w:val="0"/>
        <w:numId w:val="19"/>
      </w:numPr>
    </w:pPr>
    <w:rPr/>
  </w:style>
  <w:style w:type="paragraph" w:styleId="FWBullets3L4">
    <w:name w:val="FWBullets3_L4"/>
    <w:basedOn w:val="FWBullets3L3"/>
    <w:qFormat/>
    <w:pPr>
      <w:numPr>
        <w:ilvl w:val="0"/>
        <w:numId w:val="19"/>
      </w:numPr>
      <w:outlineLvl w:val="3"/>
    </w:pPr>
    <w:rPr/>
  </w:style>
  <w:style w:type="paragraph" w:styleId="FWBullets3L5">
    <w:name w:val="FWBullets3_L5"/>
    <w:basedOn w:val="FWBullets3L4"/>
    <w:qFormat/>
    <w:pPr>
      <w:numPr>
        <w:ilvl w:val="0"/>
        <w:numId w:val="19"/>
      </w:numPr>
      <w:outlineLvl w:val="4"/>
    </w:pPr>
    <w:rPr/>
  </w:style>
  <w:style w:type="paragraph" w:styleId="FWBullets3L6">
    <w:name w:val="FWBullets3_L6"/>
    <w:basedOn w:val="FWBullets3L5"/>
    <w:qFormat/>
    <w:pPr>
      <w:numPr>
        <w:ilvl w:val="0"/>
        <w:numId w:val="19"/>
      </w:numPr>
      <w:outlineLvl w:val="5"/>
    </w:pPr>
    <w:rPr/>
  </w:style>
  <w:style w:type="paragraph" w:styleId="FWBullets3L7">
    <w:name w:val="FWBullets3_L7"/>
    <w:basedOn w:val="FWBullets3L6"/>
    <w:qFormat/>
    <w:pPr>
      <w:numPr>
        <w:ilvl w:val="0"/>
        <w:numId w:val="19"/>
      </w:numPr>
      <w:outlineLvl w:val="6"/>
    </w:pPr>
    <w:rPr/>
  </w:style>
  <w:style w:type="paragraph" w:styleId="FWBullets3L8">
    <w:name w:val="FWBullets3_L8"/>
    <w:basedOn w:val="FWBullets3L7"/>
    <w:qFormat/>
    <w:pPr>
      <w:numPr>
        <w:ilvl w:val="0"/>
        <w:numId w:val="19"/>
      </w:numPr>
      <w:outlineLvl w:val="7"/>
    </w:pPr>
    <w:rPr/>
  </w:style>
  <w:style w:type="paragraph" w:styleId="FWBullets3L9">
    <w:name w:val="FWBullets3_L9"/>
    <w:basedOn w:val="FWBullets3L8"/>
    <w:qFormat/>
    <w:pPr>
      <w:numPr>
        <w:ilvl w:val="0"/>
        <w:numId w:val="19"/>
      </w:numPr>
      <w:outlineLvl w:val="8"/>
    </w:pPr>
    <w:rPr/>
  </w:style>
  <w:style w:type="paragraph" w:styleId="FWAL1">
    <w:name w:val="FWA_L1"/>
    <w:basedOn w:val="Normal"/>
    <w:next w:val="FWAL2"/>
    <w:qFormat/>
    <w:pPr>
      <w:keepNext w:val="true"/>
      <w:keepLines/>
      <w:numPr>
        <w:ilvl w:val="0"/>
        <w:numId w:val="11"/>
      </w:numPr>
      <w:spacing w:lineRule="auto" w:line="480" w:before="0" w:after="240"/>
      <w:jc w:val="center"/>
      <w:outlineLvl w:val="0"/>
    </w:pPr>
    <w:rPr>
      <w:b/>
      <w:caps/>
      <w:szCs w:val="20"/>
    </w:rPr>
  </w:style>
  <w:style w:type="paragraph" w:styleId="FWAL2">
    <w:name w:val="FWA_L2"/>
    <w:basedOn w:val="FWAL1"/>
    <w:next w:val="FWAL4"/>
    <w:qFormat/>
    <w:pPr>
      <w:numPr>
        <w:ilvl w:val="0"/>
        <w:numId w:val="11"/>
      </w:numPr>
      <w:spacing w:lineRule="auto" w:line="240"/>
      <w:jc w:val="start"/>
      <w:outlineLvl w:val="1"/>
    </w:pPr>
    <w:rPr>
      <w:caps w:val="false"/>
      <w:smallCaps w:val="false"/>
    </w:rPr>
  </w:style>
  <w:style w:type="paragraph" w:styleId="FWAL3">
    <w:name w:val="FWA_L3"/>
    <w:basedOn w:val="FWAL2"/>
    <w:qFormat/>
    <w:pPr>
      <w:keepNext w:val="false"/>
      <w:keepLines w:val="false"/>
      <w:numPr>
        <w:ilvl w:val="0"/>
        <w:numId w:val="11"/>
      </w:numPr>
      <w:jc w:val="both"/>
      <w:outlineLvl w:val="9"/>
    </w:pPr>
    <w:rPr>
      <w:b w:val="false"/>
      <w:caps w:val="false"/>
      <w:smallCaps w:val="false"/>
    </w:rPr>
  </w:style>
  <w:style w:type="paragraph" w:styleId="FWAL4">
    <w:name w:val="FWA_L4"/>
    <w:basedOn w:val="FWAL3"/>
    <w:qFormat/>
    <w:pPr>
      <w:numPr>
        <w:ilvl w:val="0"/>
        <w:numId w:val="11"/>
      </w:numPr>
    </w:pPr>
    <w:rPr/>
  </w:style>
  <w:style w:type="paragraph" w:styleId="FWAL5">
    <w:name w:val="FWA_L5"/>
    <w:basedOn w:val="FWAL4"/>
    <w:qFormat/>
    <w:pPr>
      <w:numPr>
        <w:ilvl w:val="0"/>
        <w:numId w:val="11"/>
      </w:numPr>
    </w:pPr>
    <w:rPr/>
  </w:style>
  <w:style w:type="paragraph" w:styleId="FWAL6">
    <w:name w:val="FWA_L6"/>
    <w:basedOn w:val="FWAL5"/>
    <w:qFormat/>
    <w:pPr>
      <w:numPr>
        <w:ilvl w:val="0"/>
        <w:numId w:val="11"/>
      </w:numPr>
    </w:pPr>
    <w:rPr/>
  </w:style>
  <w:style w:type="paragraph" w:styleId="FWAL7">
    <w:name w:val="FWA_L7"/>
    <w:basedOn w:val="FWAL6"/>
    <w:qFormat/>
    <w:pPr>
      <w:numPr>
        <w:ilvl w:val="0"/>
        <w:numId w:val="11"/>
      </w:numPr>
    </w:pPr>
    <w:rPr/>
  </w:style>
  <w:style w:type="paragraph" w:styleId="FWAL8">
    <w:name w:val="FWA_L8"/>
    <w:basedOn w:val="FWAL7"/>
    <w:qFormat/>
    <w:pPr>
      <w:numPr>
        <w:ilvl w:val="0"/>
        <w:numId w:val="11"/>
      </w:numPr>
    </w:pPr>
    <w:rPr/>
  </w:style>
  <w:style w:type="paragraph" w:styleId="FWAL9">
    <w:name w:val="FWA_L9"/>
    <w:basedOn w:val="FWAL8"/>
    <w:qFormat/>
    <w:pPr>
      <w:numPr>
        <w:ilvl w:val="0"/>
        <w:numId w:val="11"/>
      </w:numPr>
    </w:pPr>
    <w:rPr/>
  </w:style>
  <w:style w:type="paragraph" w:styleId="FWNCont1">
    <w:name w:val="FWN Cont 1"/>
    <w:basedOn w:val="Normal"/>
    <w:qFormat/>
    <w:pPr/>
    <w:rPr>
      <w:szCs w:val="20"/>
    </w:rPr>
  </w:style>
  <w:style w:type="paragraph" w:styleId="BlockText">
    <w:name w:val="Block Text"/>
    <w:basedOn w:val="Normal"/>
    <w:qFormat/>
    <w:pPr>
      <w:spacing w:before="0" w:after="240"/>
      <w:ind w:hanging="0" w:start="1440" w:end="1440"/>
      <w:jc w:val="both"/>
    </w:pPr>
    <w:rPr>
      <w:rFonts w:eastAsia="SimSun;宋体"/>
      <w:lang w:eastAsia="zh-CN"/>
    </w:rPr>
  </w:style>
  <w:style w:type="paragraph" w:styleId="FWDCont1">
    <w:name w:val="FWD Cont 1"/>
    <w:basedOn w:val="Normal"/>
    <w:qFormat/>
    <w:pPr>
      <w:spacing w:before="0" w:after="240"/>
      <w:jc w:val="both"/>
    </w:pPr>
    <w:rPr>
      <w:szCs w:val="20"/>
    </w:rPr>
  </w:style>
  <w:style w:type="paragraph" w:styleId="FWSCont1">
    <w:name w:val="FWS Cont 1"/>
    <w:basedOn w:val="Normal"/>
    <w:qFormat/>
    <w:pPr>
      <w:spacing w:before="0" w:after="240"/>
      <w:jc w:val="both"/>
    </w:pPr>
    <w:rPr>
      <w:szCs w:val="20"/>
    </w:rPr>
  </w:style>
  <w:style w:type="paragraph" w:styleId="FWSCont2">
    <w:name w:val="FWS Cont 2"/>
    <w:basedOn w:val="FWSCont1"/>
    <w:qFormat/>
    <w:pPr/>
    <w:rPr/>
  </w:style>
  <w:style w:type="paragraph" w:styleId="FWSCont3">
    <w:name w:val="FWS Cont 3"/>
    <w:basedOn w:val="FWSCont2"/>
    <w:qFormat/>
    <w:pPr/>
    <w:rPr/>
  </w:style>
  <w:style w:type="paragraph" w:styleId="FWSCont4">
    <w:name w:val="FWS Cont 4"/>
    <w:basedOn w:val="FWSCont3"/>
    <w:qFormat/>
    <w:pPr/>
    <w:rPr/>
  </w:style>
  <w:style w:type="paragraph" w:styleId="FWSCont5">
    <w:name w:val="FWS Cont 5"/>
    <w:basedOn w:val="FWSCont4"/>
    <w:qFormat/>
    <w:pPr/>
    <w:rPr/>
  </w:style>
  <w:style w:type="paragraph" w:styleId="FWSCont6">
    <w:name w:val="FWS Cont 6"/>
    <w:basedOn w:val="FWSCont5"/>
    <w:qFormat/>
    <w:pPr>
      <w:ind w:hanging="0" w:start="720" w:end="0"/>
    </w:pPr>
    <w:rPr/>
  </w:style>
  <w:style w:type="paragraph" w:styleId="FWSCont7">
    <w:name w:val="FWS Cont 7"/>
    <w:basedOn w:val="FWSCont6"/>
    <w:qFormat/>
    <w:pPr>
      <w:ind w:hanging="0" w:start="1440" w:end="0"/>
    </w:pPr>
    <w:rPr/>
  </w:style>
  <w:style w:type="paragraph" w:styleId="FWBullets3Cont1">
    <w:name w:val="FWBullets3 Cont 1"/>
    <w:basedOn w:val="Normal"/>
    <w:qFormat/>
    <w:pPr>
      <w:spacing w:before="0" w:after="240"/>
      <w:ind w:hanging="0" w:start="720" w:end="0"/>
      <w:jc w:val="both"/>
    </w:pPr>
    <w:rPr>
      <w:szCs w:val="20"/>
    </w:rPr>
  </w:style>
  <w:style w:type="paragraph" w:styleId="FWNCont2">
    <w:name w:val="FWN Cont 2"/>
    <w:basedOn w:val="FWNCont1"/>
    <w:qFormat/>
    <w:pPr>
      <w:spacing w:before="0" w:after="240"/>
      <w:ind w:hanging="0" w:start="720" w:end="0"/>
      <w:jc w:val="both"/>
    </w:pPr>
    <w:rPr/>
  </w:style>
  <w:style w:type="paragraph" w:styleId="FWNCont3">
    <w:name w:val="FWN Cont 3"/>
    <w:basedOn w:val="FWNCont2"/>
    <w:qFormat/>
    <w:pPr>
      <w:ind w:hanging="0" w:start="1440" w:end="0"/>
    </w:pPr>
    <w:rPr/>
  </w:style>
  <w:style w:type="paragraph" w:styleId="FWNCont4">
    <w:name w:val="FWN Cont 4"/>
    <w:basedOn w:val="FWNCont3"/>
    <w:qFormat/>
    <w:pPr>
      <w:ind w:hanging="0" w:start="2160" w:end="0"/>
    </w:pPr>
    <w:rPr/>
  </w:style>
  <w:style w:type="paragraph" w:styleId="FWNCont5">
    <w:name w:val="FWN Cont 5"/>
    <w:basedOn w:val="FWNCont4"/>
    <w:qFormat/>
    <w:pPr>
      <w:ind w:hanging="0" w:start="2880" w:end="0"/>
    </w:pPr>
    <w:rPr/>
  </w:style>
  <w:style w:type="paragraph" w:styleId="FWACont1">
    <w:name w:val="FWA Cont 1"/>
    <w:basedOn w:val="Normal"/>
    <w:qFormat/>
    <w:pPr>
      <w:spacing w:before="0" w:after="240"/>
      <w:jc w:val="both"/>
    </w:pPr>
    <w:rPr>
      <w:szCs w:val="20"/>
    </w:rPr>
  </w:style>
  <w:style w:type="paragraph" w:styleId="FWACont2">
    <w:name w:val="FWA Cont 2"/>
    <w:basedOn w:val="FWACont1"/>
    <w:next w:val="FWACont3"/>
    <w:qFormat/>
    <w:pPr/>
    <w:rPr/>
  </w:style>
  <w:style w:type="paragraph" w:styleId="FWACont3">
    <w:name w:val="FWA Cont 3"/>
    <w:basedOn w:val="FWACont2"/>
    <w:next w:val="FWACont4"/>
    <w:qFormat/>
    <w:pPr/>
    <w:rPr/>
  </w:style>
  <w:style w:type="paragraph" w:styleId="FWACont4">
    <w:name w:val="FWA Cont 4"/>
    <w:basedOn w:val="FWACont3"/>
    <w:next w:val="FWACont5"/>
    <w:qFormat/>
    <w:pPr/>
    <w:rPr/>
  </w:style>
  <w:style w:type="paragraph" w:styleId="FWACont5">
    <w:name w:val="FWA Cont 5"/>
    <w:basedOn w:val="FWACont4"/>
    <w:next w:val="FWACont6"/>
    <w:qFormat/>
    <w:pPr>
      <w:ind w:hanging="0" w:start="720" w:end="0"/>
    </w:pPr>
    <w:rPr/>
  </w:style>
  <w:style w:type="paragraph" w:styleId="FWACont6">
    <w:name w:val="FWA Cont 6"/>
    <w:basedOn w:val="FWACont5"/>
    <w:next w:val="FWACont7"/>
    <w:qFormat/>
    <w:pPr>
      <w:ind w:hanging="0" w:start="1440" w:end="0"/>
    </w:pPr>
    <w:rPr/>
  </w:style>
  <w:style w:type="paragraph" w:styleId="FWACont7">
    <w:name w:val="FWA Cont 7"/>
    <w:basedOn w:val="FWACont6"/>
    <w:qFormat/>
    <w:pPr>
      <w:ind w:hanging="0" w:start="2160" w:end="0"/>
    </w:pPr>
    <w:rPr/>
  </w:style>
  <w:style w:type="paragraph" w:styleId="FWSCont8">
    <w:name w:val="FWS Cont 8"/>
    <w:basedOn w:val="FWSCont7"/>
    <w:qFormat/>
    <w:pPr>
      <w:ind w:hanging="0" w:start="2160" w:end="0"/>
    </w:pPr>
    <w:rPr/>
  </w:style>
  <w:style w:type="paragraph" w:styleId="FWSCont9">
    <w:name w:val="FWS Cont 9"/>
    <w:basedOn w:val="FWSCont7"/>
    <w:qFormat/>
    <w:pPr>
      <w:ind w:hanging="0" w:start="2880" w:end="0"/>
    </w:pPr>
    <w:rPr/>
  </w:style>
  <w:style w:type="paragraph" w:styleId="FootNoteSeparator">
    <w:name w:val="FootNote Separator"/>
    <w:basedOn w:val="Normal"/>
    <w:qFormat/>
    <w:pPr>
      <w:pBdr>
        <w:top w:val="single" w:sz="4" w:space="1" w:color="000000"/>
      </w:pBdr>
    </w:pPr>
    <w:rPr/>
  </w:style>
  <w:style w:type="paragraph" w:styleId="FWOutCont1">
    <w:name w:val="FWOut Cont 1"/>
    <w:basedOn w:val="Normal"/>
    <w:qFormat/>
    <w:pPr>
      <w:keepNext w:val="true"/>
      <w:keepLines/>
      <w:spacing w:before="0" w:after="240"/>
    </w:pPr>
    <w:rPr>
      <w:b/>
      <w:caps/>
      <w:szCs w:val="20"/>
    </w:rPr>
  </w:style>
  <w:style w:type="paragraph" w:styleId="FWOutCont2">
    <w:name w:val="FWOut Cont 2"/>
    <w:basedOn w:val="FWOutCont1"/>
    <w:qFormat/>
    <w:pPr>
      <w:ind w:firstLine="720" w:start="0" w:end="0"/>
    </w:pPr>
    <w:rPr>
      <w:caps w:val="false"/>
      <w:smallCaps w:val="false"/>
    </w:rPr>
  </w:style>
  <w:style w:type="paragraph" w:styleId="FWOutCont3">
    <w:name w:val="FWOut Cont 3"/>
    <w:basedOn w:val="FWOutCont2"/>
    <w:qFormat/>
    <w:pPr>
      <w:keepNext w:val="false"/>
      <w:keepLines w:val="false"/>
      <w:jc w:val="both"/>
    </w:pPr>
    <w:rPr>
      <w:b w:val="false"/>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7"/>
      </w:numPr>
      <w:spacing w:before="0" w:after="240"/>
      <w:jc w:val="center"/>
      <w:outlineLvl w:val="0"/>
    </w:pPr>
    <w:rPr>
      <w:b/>
      <w:caps/>
      <w:szCs w:val="20"/>
    </w:rPr>
  </w:style>
  <w:style w:type="paragraph" w:styleId="FWOutL2">
    <w:name w:val="FWOut_L2"/>
    <w:basedOn w:val="FWOutL1"/>
    <w:qFormat/>
    <w:pPr>
      <w:numPr>
        <w:ilvl w:val="0"/>
        <w:numId w:val="7"/>
      </w:numPr>
      <w:jc w:val="start"/>
      <w:outlineLvl w:val="1"/>
    </w:pPr>
    <w:rPr>
      <w:caps w:val="false"/>
      <w:smallCaps w:val="false"/>
    </w:rPr>
  </w:style>
  <w:style w:type="paragraph" w:styleId="FWOutL3">
    <w:name w:val="FWOut_L3"/>
    <w:basedOn w:val="FWOutL2"/>
    <w:qFormat/>
    <w:pPr>
      <w:keepNext w:val="false"/>
      <w:keepLines w:val="false"/>
      <w:numPr>
        <w:ilvl w:val="0"/>
        <w:numId w:val="7"/>
      </w:numPr>
      <w:jc w:val="both"/>
      <w:outlineLvl w:val="9"/>
    </w:pPr>
    <w:rPr>
      <w:b w:val="false"/>
    </w:rPr>
  </w:style>
  <w:style w:type="paragraph" w:styleId="FWOutL4">
    <w:name w:val="FWOut_L4"/>
    <w:basedOn w:val="FWOutL3"/>
    <w:qFormat/>
    <w:pPr>
      <w:numPr>
        <w:ilvl w:val="0"/>
        <w:numId w:val="7"/>
      </w:numPr>
    </w:pPr>
    <w:rPr/>
  </w:style>
  <w:style w:type="paragraph" w:styleId="FWOutL5">
    <w:name w:val="FWOut_L5"/>
    <w:basedOn w:val="FWOutL4"/>
    <w:qFormat/>
    <w:pPr>
      <w:numPr>
        <w:ilvl w:val="0"/>
        <w:numId w:val="7"/>
      </w:numPr>
    </w:pPr>
    <w:rPr/>
  </w:style>
  <w:style w:type="paragraph" w:styleId="FWOutL6">
    <w:name w:val="FWOut_L6"/>
    <w:basedOn w:val="FWOutL5"/>
    <w:qFormat/>
    <w:pPr>
      <w:numPr>
        <w:ilvl w:val="0"/>
        <w:numId w:val="7"/>
      </w:numPr>
    </w:pPr>
    <w:rPr/>
  </w:style>
  <w:style w:type="paragraph" w:styleId="FWOutL7">
    <w:name w:val="FWOut_L7"/>
    <w:basedOn w:val="FWOutL6"/>
    <w:qFormat/>
    <w:pPr>
      <w:numPr>
        <w:ilvl w:val="0"/>
        <w:numId w:val="7"/>
      </w:numPr>
    </w:pPr>
    <w:rPr/>
  </w:style>
  <w:style w:type="paragraph" w:styleId="FWOutL8">
    <w:name w:val="FWOut_L8"/>
    <w:basedOn w:val="FWOutL7"/>
    <w:qFormat/>
    <w:pPr>
      <w:numPr>
        <w:ilvl w:val="0"/>
        <w:numId w:val="7"/>
      </w:numPr>
    </w:pPr>
    <w:rPr/>
  </w:style>
  <w:style w:type="paragraph" w:styleId="FWOutL9">
    <w:name w:val="FWOut_L9"/>
    <w:basedOn w:val="FWOutL8"/>
    <w:qFormat/>
    <w:pPr>
      <w:numPr>
        <w:ilvl w:val="0"/>
        <w:numId w:val="7"/>
      </w:numPr>
    </w:pPr>
    <w:rPr/>
  </w:style>
  <w:style w:type="paragraph" w:styleId="AMBodyL1">
    <w:name w:val="AMBody_L1"/>
    <w:basedOn w:val="Normal"/>
    <w:next w:val="AMBodyL2"/>
    <w:qFormat/>
    <w:pPr>
      <w:keepNext w:val="true"/>
      <w:keepLines/>
      <w:numPr>
        <w:ilvl w:val="0"/>
        <w:numId w:val="17"/>
      </w:numPr>
      <w:spacing w:before="0" w:after="240"/>
      <w:outlineLvl w:val="0"/>
    </w:pPr>
    <w:rPr>
      <w:b/>
      <w:smallCaps/>
      <w:szCs w:val="20"/>
      <w:lang w:val="nl-NL"/>
    </w:rPr>
  </w:style>
  <w:style w:type="paragraph" w:styleId="AMBodyL2">
    <w:name w:val="AMBody_L2"/>
    <w:basedOn w:val="AMBodyL1"/>
    <w:qFormat/>
    <w:pPr>
      <w:keepNext w:val="false"/>
      <w:keepLines w:val="false"/>
      <w:numPr>
        <w:ilvl w:val="0"/>
        <w:numId w:val="17"/>
      </w:numPr>
      <w:tabs>
        <w:tab w:val="clear" w:pos="720"/>
      </w:tabs>
      <w:jc w:val="both"/>
      <w:outlineLvl w:val="9"/>
    </w:pPr>
    <w:rPr>
      <w:b w:val="false"/>
      <w:caps w:val="false"/>
      <w:smallCaps w:val="false"/>
    </w:rPr>
  </w:style>
  <w:style w:type="paragraph" w:styleId="AMBodyL3">
    <w:name w:val="AMBody_L3"/>
    <w:basedOn w:val="AMBodyL2"/>
    <w:qFormat/>
    <w:pPr>
      <w:numPr>
        <w:ilvl w:val="0"/>
        <w:numId w:val="17"/>
      </w:numPr>
    </w:pPr>
    <w:rPr/>
  </w:style>
  <w:style w:type="paragraph" w:styleId="AMBodyL4">
    <w:name w:val="AMBody_L4"/>
    <w:basedOn w:val="AMBodyL3"/>
    <w:qFormat/>
    <w:pPr>
      <w:numPr>
        <w:ilvl w:val="0"/>
        <w:numId w:val="17"/>
      </w:numPr>
    </w:pPr>
    <w:rPr/>
  </w:style>
  <w:style w:type="paragraph" w:styleId="AMBodyL5">
    <w:name w:val="AMBody_L5"/>
    <w:basedOn w:val="AMBodyL4"/>
    <w:qFormat/>
    <w:pPr>
      <w:numPr>
        <w:ilvl w:val="0"/>
        <w:numId w:val="17"/>
      </w:numPr>
    </w:pPr>
    <w:rPr/>
  </w:style>
  <w:style w:type="paragraph" w:styleId="AMBodyL6">
    <w:name w:val="AMBody_L6"/>
    <w:basedOn w:val="AMBodyL5"/>
    <w:qFormat/>
    <w:pPr>
      <w:numPr>
        <w:ilvl w:val="0"/>
        <w:numId w:val="17"/>
      </w:numPr>
    </w:pPr>
    <w:rPr/>
  </w:style>
  <w:style w:type="paragraph" w:styleId="AMBodyL7">
    <w:name w:val="AMBody_L7"/>
    <w:basedOn w:val="AMBodyL6"/>
    <w:qFormat/>
    <w:pPr>
      <w:numPr>
        <w:ilvl w:val="0"/>
        <w:numId w:val="17"/>
      </w:numPr>
    </w:pPr>
    <w:rPr/>
  </w:style>
  <w:style w:type="paragraph" w:styleId="AMBodyL8">
    <w:name w:val="AMBody_L8"/>
    <w:basedOn w:val="AMBodyL7"/>
    <w:qFormat/>
    <w:pPr>
      <w:numPr>
        <w:ilvl w:val="0"/>
        <w:numId w:val="17"/>
      </w:numPr>
    </w:pPr>
    <w:rPr/>
  </w:style>
  <w:style w:type="paragraph" w:styleId="FWAnnexL1">
    <w:name w:val="FWAnnex_L1"/>
    <w:basedOn w:val="Normal"/>
    <w:next w:val="FWAnnexL2"/>
    <w:qFormat/>
    <w:pPr>
      <w:keepNext w:val="true"/>
      <w:keepLines/>
      <w:numPr>
        <w:ilvl w:val="0"/>
        <w:numId w:val="15"/>
      </w:numPr>
      <w:spacing w:lineRule="auto" w:line="480" w:before="0" w:after="240"/>
      <w:jc w:val="center"/>
      <w:outlineLvl w:val="0"/>
    </w:pPr>
    <w:rPr>
      <w:b/>
      <w:caps/>
      <w:szCs w:val="20"/>
      <w:lang w:val="nl-NL"/>
    </w:rPr>
  </w:style>
  <w:style w:type="paragraph" w:styleId="FWAnnexL2">
    <w:name w:val="FWAnnex_L2"/>
    <w:basedOn w:val="FWAnnexL1"/>
    <w:next w:val="FWAnnexL4"/>
    <w:qFormat/>
    <w:pPr>
      <w:numPr>
        <w:ilvl w:val="0"/>
        <w:numId w:val="15"/>
      </w:numPr>
      <w:tabs>
        <w:tab w:val="clear" w:pos="720"/>
        <w:tab w:val="left" w:pos="1800" w:leader="none"/>
      </w:tabs>
      <w:spacing w:lineRule="auto" w:line="240"/>
      <w:ind w:hanging="360" w:start="1800" w:end="0"/>
      <w:jc w:val="start"/>
      <w:outlineLvl w:val="1"/>
    </w:pPr>
    <w:rPr>
      <w:caps w:val="false"/>
      <w:smallCaps w:val="false"/>
    </w:rPr>
  </w:style>
  <w:style w:type="paragraph" w:styleId="FWAnnexL3">
    <w:name w:val="FWAnnex_L3"/>
    <w:basedOn w:val="FWAnnexL2"/>
    <w:qFormat/>
    <w:pPr>
      <w:keepNext w:val="false"/>
      <w:keepLines w:val="false"/>
      <w:numPr>
        <w:ilvl w:val="0"/>
        <w:numId w:val="15"/>
      </w:numPr>
      <w:ind w:hanging="360" w:start="1800" w:end="0"/>
      <w:jc w:val="both"/>
      <w:outlineLvl w:val="9"/>
    </w:pPr>
    <w:rPr>
      <w:b w:val="false"/>
      <w:caps w:val="false"/>
      <w:smallCaps w:val="false"/>
    </w:rPr>
  </w:style>
  <w:style w:type="paragraph" w:styleId="FWAnnexL4">
    <w:name w:val="FWAnnex_L4"/>
    <w:basedOn w:val="FWAnnexL3"/>
    <w:qFormat/>
    <w:pPr>
      <w:numPr>
        <w:ilvl w:val="0"/>
        <w:numId w:val="15"/>
      </w:numPr>
      <w:ind w:hanging="360" w:start="1800" w:end="0"/>
    </w:pPr>
    <w:rPr/>
  </w:style>
  <w:style w:type="paragraph" w:styleId="FWAnnexL5">
    <w:name w:val="FWAnnex_L5"/>
    <w:basedOn w:val="FWAnnexL4"/>
    <w:qFormat/>
    <w:pPr>
      <w:numPr>
        <w:ilvl w:val="0"/>
        <w:numId w:val="15"/>
      </w:numPr>
      <w:ind w:hanging="360" w:start="1800" w:end="0"/>
    </w:pPr>
    <w:rPr/>
  </w:style>
  <w:style w:type="paragraph" w:styleId="FWAnnexL6">
    <w:name w:val="FWAnnex_L6"/>
    <w:basedOn w:val="FWAnnexL5"/>
    <w:qFormat/>
    <w:pPr>
      <w:numPr>
        <w:ilvl w:val="0"/>
        <w:numId w:val="15"/>
      </w:numPr>
      <w:ind w:hanging="360" w:start="1800" w:end="0"/>
    </w:pPr>
    <w:rPr/>
  </w:style>
  <w:style w:type="paragraph" w:styleId="FWAnnexL7">
    <w:name w:val="FWAnnex_L7"/>
    <w:basedOn w:val="FWAnnexL6"/>
    <w:qFormat/>
    <w:pPr>
      <w:numPr>
        <w:ilvl w:val="0"/>
        <w:numId w:val="15"/>
      </w:numPr>
      <w:ind w:hanging="360" w:start="1800" w:end="0"/>
    </w:pPr>
    <w:rPr/>
  </w:style>
  <w:style w:type="paragraph" w:styleId="FWAnnexL8">
    <w:name w:val="FWAnnex_L8"/>
    <w:basedOn w:val="FWAnnexL7"/>
    <w:qFormat/>
    <w:pPr>
      <w:numPr>
        <w:ilvl w:val="0"/>
        <w:numId w:val="15"/>
      </w:numPr>
      <w:ind w:hanging="360" w:start="1800" w:end="0"/>
    </w:pPr>
    <w:rPr/>
  </w:style>
  <w:style w:type="paragraph" w:styleId="FWAnnexL9">
    <w:name w:val="FWAnnex_L9"/>
    <w:basedOn w:val="FWAnnexL8"/>
    <w:qFormat/>
    <w:pPr>
      <w:numPr>
        <w:ilvl w:val="0"/>
        <w:numId w:val="15"/>
      </w:numPr>
      <w:ind w:hanging="360" w:start="1800" w:end="0"/>
    </w:pPr>
    <w:rPr/>
  </w:style>
  <w:style w:type="paragraph" w:styleId="TableText">
    <w:name w:val="Table Text"/>
    <w:basedOn w:val="Normal"/>
    <w:qFormat/>
    <w:pPr>
      <w:spacing w:before="120" w:after="120"/>
    </w:pPr>
    <w:rPr>
      <w:sz w:val="22"/>
      <w:lang w:val="en-US"/>
    </w:rPr>
  </w:style>
  <w:style w:type="paragraph" w:styleId="NormalWeb">
    <w:name w:val="Normal (Web)"/>
    <w:basedOn w:val="Normal"/>
    <w:qFormat/>
    <w:pPr>
      <w:spacing w:before="280" w:after="280"/>
    </w:pPr>
    <w:rPr>
      <w:rFonts w:ascii="Arial Unicode MS" w:hAnsi="Arial Unicode MS" w:eastAsia="Arial Unicode MS" w:cs="Arial Unicode MS"/>
    </w:rPr>
  </w:style>
  <w:style w:type="paragraph" w:styleId="BalloonText1">
    <w:name w:val="Balloon Text1"/>
    <w:basedOn w:val="Normal"/>
    <w:qFormat/>
    <w:pPr/>
    <w:rPr>
      <w:rFonts w:ascii="Tahoma" w:hAnsi="Tahoma" w:cs="Tahoma"/>
      <w:sz w:val="16"/>
      <w:szCs w:val="16"/>
    </w:rPr>
  </w:style>
  <w:style w:type="paragraph" w:styleId="CommentSubject1">
    <w:name w:val="Comment Subject1"/>
    <w:basedOn w:val="CommentText"/>
    <w:next w:val="CommentText"/>
    <w:qFormat/>
    <w:pPr>
      <w:spacing w:before="0" w:after="0"/>
      <w:ind w:hanging="0" w:start="0" w:end="0"/>
    </w:pPr>
    <w:rPr>
      <w:b/>
      <w:bCs/>
      <w:sz w:val="20"/>
      <w:szCs w:val="20"/>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spacing w:before="0" w:after="0"/>
      <w:ind w:hanging="0" w:start="0" w:end="0"/>
    </w:pPr>
    <w:rPr>
      <w:b/>
      <w:bCs/>
      <w:sz w:val="20"/>
      <w:szCs w:val="20"/>
    </w:rPr>
  </w:style>
  <w:style w:type="paragraph" w:styleId="HeaderCPN">
    <w:name w:val="HeaderCPN"/>
    <w:basedOn w:val="BodyText"/>
    <w:qFormat/>
    <w:pPr>
      <w:spacing w:before="360" w:after="0"/>
      <w:jc w:val="end"/>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LON-FRE-ENG-DOC.DOT</Template>
  <TotalTime>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2006-12-11T22:57:00Z</dcterms:created>
  <dc:creator>Diederik Sillevissmitt</dc:creator>
  <dc:description/>
  <cp:keywords/>
  <dc:language>en-US</dc:language>
  <cp:lastModifiedBy>Stuart Johnson</cp:lastModifiedBy>
  <cp:lastPrinted>2006-11-20T21:08:00Z</cp:lastPrinted>
  <dcterms:modified xsi:type="dcterms:W3CDTF">2006-12-11T23:01:00Z</dcterms:modified>
  <cp:revision>3</cp:revision>
  <dc:subject>0+</dc:subject>
  <dc:title>New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1259319844</vt:r8>
  </property>
  <property fmtid="{D5CDD505-2E9C-101B-9397-08002B2CF9AE}" pid="3" name="_AuthorEmail">
    <vt:lpwstr>Yogesh.Dashrath@mail.ing.nl</vt:lpwstr>
  </property>
  <property fmtid="{D5CDD505-2E9C-101B-9397-08002B2CF9AE}" pid="4" name="_AuthorEmailDisplayName">
    <vt:lpwstr>Dashrath, Y.Y. (Yogesh)</vt:lpwstr>
  </property>
  <property fmtid="{D5CDD505-2E9C-101B-9397-08002B2CF9AE}" pid="5" name="_EmailSubject">
    <vt:lpwstr>MATA SJ v1.8_YD</vt:lpwstr>
  </property>
  <property fmtid="{D5CDD505-2E9C-101B-9397-08002B2CF9AE}" pid="6" name="_PreviousAdHocReviewCycleID">
    <vt:r8>1259319844</vt:r8>
  </property>
  <property fmtid="{D5CDD505-2E9C-101B-9397-08002B2CF9AE}" pid="7" name="_ReviewingToolsShownOnce">
    <vt:lpwstr/>
  </property>
  <property fmtid="{D5CDD505-2E9C-101B-9397-08002B2CF9AE}" pid="8" name="authCorresp">
    <vt:lpwstr>Mark Parsons</vt:lpwstr>
  </property>
  <property fmtid="{D5CDD505-2E9C-101B-9397-08002B2CF9AE}" pid="9" name="authEmail">
    <vt:lpwstr>mark.parsons@freshfields.com</vt:lpwstr>
  </property>
  <property fmtid="{D5CDD505-2E9C-101B-9397-08002B2CF9AE}" pid="10" name="authExtension">
    <vt:lpwstr>4651</vt:lpwstr>
  </property>
  <property fmtid="{D5CDD505-2E9C-101B-9397-08002B2CF9AE}" pid="11" name="authFax">
    <vt:lpwstr>44 20 7108 4651</vt:lpwstr>
  </property>
  <property fmtid="{D5CDD505-2E9C-101B-9397-08002B2CF9AE}" pid="12" name="authId">
    <vt:lpwstr>MXPARSONS</vt:lpwstr>
  </property>
  <property fmtid="{D5CDD505-2E9C-101B-9397-08002B2CF9AE}" pid="13" name="authInitials">
    <vt:lpwstr>MP</vt:lpwstr>
  </property>
  <property fmtid="{D5CDD505-2E9C-101B-9397-08002B2CF9AE}" pid="14" name="authLocation">
    <vt:lpwstr>London</vt:lpwstr>
  </property>
  <property fmtid="{D5CDD505-2E9C-101B-9397-08002B2CF9AE}" pid="15" name="authName">
    <vt:lpwstr>Parsons, Mark</vt:lpwstr>
  </property>
  <property fmtid="{D5CDD505-2E9C-101B-9397-08002B2CF9AE}" pid="16" name="authPhone">
    <vt:lpwstr>44 20 7716 4651</vt:lpwstr>
  </property>
  <property fmtid="{D5CDD505-2E9C-101B-9397-08002B2CF9AE}" pid="17" name="docClass">
    <vt:lpwstr>-NONE-</vt:lpwstr>
  </property>
  <property fmtid="{D5CDD505-2E9C-101B-9397-08002B2CF9AE}" pid="18" name="docCliMat">
    <vt:lpwstr>104955-0076</vt:lpwstr>
  </property>
  <property fmtid="{D5CDD505-2E9C-101B-9397-08002B2CF9AE}" pid="19" name="docClient">
    <vt:lpwstr>104955</vt:lpwstr>
  </property>
  <property fmtid="{D5CDD505-2E9C-101B-9397-08002B2CF9AE}" pid="20" name="docDesc">
    <vt:lpwstr>ING/SWS - MATA with Tax Language (26.06.2006)</vt:lpwstr>
  </property>
  <property fmtid="{D5CDD505-2E9C-101B-9397-08002B2CF9AE}" pid="21" name="docGlobPracGroup">
    <vt:lpwstr>IPT</vt:lpwstr>
  </property>
  <property fmtid="{D5CDD505-2E9C-101B-9397-08002B2CF9AE}" pid="22" name="docGlobSectGroup">
    <vt:lpwstr/>
  </property>
  <property fmtid="{D5CDD505-2E9C-101B-9397-08002B2CF9AE}" pid="23" name="docId">
    <vt:lpwstr>LC1496038</vt:lpwstr>
  </property>
  <property fmtid="{D5CDD505-2E9C-101B-9397-08002B2CF9AE}" pid="24" name="docIdVer">
    <vt:lpwstr>LC1496038/4</vt:lpwstr>
  </property>
  <property fmtid="{D5CDD505-2E9C-101B-9397-08002B2CF9AE}" pid="25" name="docLanguage">
    <vt:lpwstr>EN(UK)</vt:lpwstr>
  </property>
  <property fmtid="{D5CDD505-2E9C-101B-9397-08002B2CF9AE}" pid="26" name="docMatter">
    <vt:lpwstr>0076</vt:lpwstr>
  </property>
  <property fmtid="{D5CDD505-2E9C-101B-9397-08002B2CF9AE}" pid="27" name="docOrganisation">
    <vt:lpwstr/>
  </property>
  <property fmtid="{D5CDD505-2E9C-101B-9397-08002B2CF9AE}" pid="28" name="docSubClass">
    <vt:lpwstr/>
  </property>
  <property fmtid="{D5CDD505-2E9C-101B-9397-08002B2CF9AE}" pid="29" name="docVersion">
    <vt:lpwstr>4</vt:lpwstr>
  </property>
  <property fmtid="{D5CDD505-2E9C-101B-9397-08002B2CF9AE}" pid="30" name="operCorresp">
    <vt:lpwstr>Mark Parsons</vt:lpwstr>
  </property>
  <property fmtid="{D5CDD505-2E9C-101B-9397-08002B2CF9AE}" pid="31" name="operEmail">
    <vt:lpwstr>mark.parsons@freshfields.com</vt:lpwstr>
  </property>
  <property fmtid="{D5CDD505-2E9C-101B-9397-08002B2CF9AE}" pid="32" name="operExtension">
    <vt:lpwstr>4651</vt:lpwstr>
  </property>
  <property fmtid="{D5CDD505-2E9C-101B-9397-08002B2CF9AE}" pid="33" name="operFax">
    <vt:lpwstr>44 20 7108 4651</vt:lpwstr>
  </property>
  <property fmtid="{D5CDD505-2E9C-101B-9397-08002B2CF9AE}" pid="34" name="operId">
    <vt:lpwstr>MXPARSONS</vt:lpwstr>
  </property>
  <property fmtid="{D5CDD505-2E9C-101B-9397-08002B2CF9AE}" pid="35" name="operInitials">
    <vt:lpwstr>MP</vt:lpwstr>
  </property>
  <property fmtid="{D5CDD505-2E9C-101B-9397-08002B2CF9AE}" pid="36" name="operLocation">
    <vt:lpwstr>London</vt:lpwstr>
  </property>
  <property fmtid="{D5CDD505-2E9C-101B-9397-08002B2CF9AE}" pid="37" name="operName">
    <vt:lpwstr>Parsons, Mark</vt:lpwstr>
  </property>
  <property fmtid="{D5CDD505-2E9C-101B-9397-08002B2CF9AE}" pid="38" name="operPhone">
    <vt:lpwstr>44 20 7716 4651</vt:lpwstr>
  </property>
</Properties>
</file>